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1F3" w:rsidRPr="009375B3" w:rsidRDefault="008601F3" w:rsidP="008601F3">
      <w:pPr>
        <w:pStyle w:val="Heading1"/>
      </w:pPr>
      <w:bookmarkStart w:id="0" w:name="OLE_LINK8"/>
      <w:bookmarkStart w:id="1" w:name="OLE_LINK9"/>
      <w:r w:rsidRPr="009375B3">
        <w:t>JUSTICE AND COMMUNITY SAFETY directorate</w:t>
      </w:r>
    </w:p>
    <w:p w:rsidR="008601F3" w:rsidRPr="00A63B7F" w:rsidRDefault="008601F3" w:rsidP="008601F3">
      <w:pPr>
        <w:pStyle w:val="Heading3"/>
      </w:pPr>
      <w:r w:rsidRPr="00A63B7F">
        <w:t>Purpose</w:t>
      </w:r>
    </w:p>
    <w:p w:rsidR="008601F3" w:rsidRPr="00A63B7F" w:rsidRDefault="008601F3" w:rsidP="008601F3">
      <w:pPr>
        <w:pStyle w:val="BodyText"/>
      </w:pPr>
      <w:r w:rsidRPr="00A63B7F">
        <w:t>The Justice and Community Safety Directorate (the Directorate) seeks to maintain a fair, safe and peaceful community in the ACT where people’s rights and interests are respected and protected.  This is achieved through the objectives of:</w:t>
      </w:r>
    </w:p>
    <w:p w:rsidR="008601F3" w:rsidRPr="00A63B7F" w:rsidRDefault="008601F3" w:rsidP="008601F3">
      <w:pPr>
        <w:pStyle w:val="BodyTextIndent"/>
      </w:pPr>
      <w:r w:rsidRPr="00A63B7F">
        <w:t>maintaining the rule of law and the Westminster style of democratic government;</w:t>
      </w:r>
    </w:p>
    <w:p w:rsidR="008601F3" w:rsidRPr="00A63B7F" w:rsidRDefault="008601F3" w:rsidP="008601F3">
      <w:pPr>
        <w:pStyle w:val="BodyTextIndent"/>
      </w:pPr>
      <w:r w:rsidRPr="00A63B7F">
        <w:t>promoting the protection of human rights in the Territory;</w:t>
      </w:r>
    </w:p>
    <w:p w:rsidR="008601F3" w:rsidRPr="00A63B7F" w:rsidRDefault="008601F3" w:rsidP="008601F3">
      <w:pPr>
        <w:pStyle w:val="BodyTextIndent"/>
      </w:pPr>
      <w:r w:rsidRPr="00A63B7F">
        <w:t>providing effective offender management and opportunities for rehabilitation;</w:t>
      </w:r>
    </w:p>
    <w:p w:rsidR="008601F3" w:rsidRPr="00A63B7F" w:rsidRDefault="008601F3" w:rsidP="008601F3">
      <w:pPr>
        <w:pStyle w:val="BodyTextIndent"/>
      </w:pPr>
      <w:r w:rsidRPr="00A63B7F">
        <w:t>protecting and preserving life, property and the environment;</w:t>
      </w:r>
    </w:p>
    <w:p w:rsidR="008601F3" w:rsidRPr="00A63B7F" w:rsidRDefault="008601F3" w:rsidP="008601F3">
      <w:pPr>
        <w:pStyle w:val="BodyTextIndent"/>
      </w:pPr>
      <w:r w:rsidRPr="00A63B7F">
        <w:t>providing for effective and cohesive emergency response and management; and</w:t>
      </w:r>
    </w:p>
    <w:p w:rsidR="008601F3" w:rsidRPr="00A63B7F" w:rsidRDefault="008601F3" w:rsidP="008601F3">
      <w:pPr>
        <w:pStyle w:val="BodyTextIndent"/>
      </w:pPr>
      <w:proofErr w:type="gramStart"/>
      <w:r w:rsidRPr="00A63B7F">
        <w:t>implementing</w:t>
      </w:r>
      <w:proofErr w:type="gramEnd"/>
      <w:r w:rsidRPr="00A63B7F">
        <w:t xml:space="preserve"> and enforcing legislation covering regulatory functions of government.</w:t>
      </w:r>
    </w:p>
    <w:p w:rsidR="008601F3" w:rsidRPr="00A63B7F" w:rsidRDefault="008601F3" w:rsidP="008601F3">
      <w:pPr>
        <w:pStyle w:val="BodyText"/>
      </w:pPr>
      <w:r w:rsidRPr="00A63B7F">
        <w:t>To support the achievement of its objectives, the Directorate aims to improve service delivery to government and the community and to ensure it continues to meet community needs into the future.</w:t>
      </w:r>
    </w:p>
    <w:p w:rsidR="008601F3" w:rsidRPr="00A63B7F" w:rsidRDefault="008601F3" w:rsidP="008601F3">
      <w:pPr>
        <w:pStyle w:val="Heading3"/>
      </w:pPr>
      <w:r>
        <w:t>2013</w:t>
      </w:r>
      <w:r>
        <w:noBreakHyphen/>
        <w:t>14</w:t>
      </w:r>
      <w:r w:rsidRPr="00A63B7F">
        <w:t xml:space="preserve"> Priorities</w:t>
      </w:r>
    </w:p>
    <w:p w:rsidR="008601F3" w:rsidRPr="009375B3" w:rsidRDefault="008601F3" w:rsidP="008601F3">
      <w:pPr>
        <w:pStyle w:val="BodyText"/>
      </w:pPr>
      <w:r w:rsidRPr="009375B3">
        <w:t>Strategic and operational issues to be pursued in 201</w:t>
      </w:r>
      <w:r>
        <w:t>3</w:t>
      </w:r>
      <w:r w:rsidRPr="009375B3">
        <w:noBreakHyphen/>
        <w:t>1</w:t>
      </w:r>
      <w:r>
        <w:t>4</w:t>
      </w:r>
      <w:r w:rsidRPr="009375B3">
        <w:t xml:space="preserve"> include:</w:t>
      </w:r>
    </w:p>
    <w:p w:rsidR="008601F3" w:rsidRPr="000B69A6" w:rsidRDefault="008601F3" w:rsidP="008601F3">
      <w:pPr>
        <w:pStyle w:val="BodyTextIndent"/>
      </w:pPr>
      <w:r w:rsidRPr="000B69A6">
        <w:t>progressing the Emergency Service Agency (ESA) Station Upgrade and Relocation project with the completion of a new station at Charnwood, commencement of construction of a new station in South Tuggeranong and further due diligence and concept design for future sites;</w:t>
      </w:r>
    </w:p>
    <w:p w:rsidR="008601F3" w:rsidRPr="000B69A6" w:rsidRDefault="008601F3" w:rsidP="008601F3">
      <w:pPr>
        <w:pStyle w:val="BodyTextIndent"/>
      </w:pPr>
      <w:r w:rsidRPr="000B69A6">
        <w:t>supporting capability in the frontline operational areas of Emergency Services and Corrective Services;</w:t>
      </w:r>
    </w:p>
    <w:p w:rsidR="008601F3" w:rsidRPr="000B69A6" w:rsidRDefault="008601F3" w:rsidP="008601F3">
      <w:pPr>
        <w:pStyle w:val="BodyTextIndent"/>
      </w:pPr>
      <w:r w:rsidRPr="000B69A6">
        <w:t>extending the ACT Fire and Rescue Platform on Demand capability</w:t>
      </w:r>
      <w:r w:rsidR="0021795B">
        <w:t>,</w:t>
      </w:r>
      <w:r w:rsidRPr="000B69A6">
        <w:t xml:space="preserve"> designed to transport and deploy </w:t>
      </w:r>
      <w:r w:rsidR="0008156E">
        <w:t xml:space="preserve">specialist equipment such as </w:t>
      </w:r>
      <w:r w:rsidRPr="000B69A6">
        <w:t>urban search and rescue equipment</w:t>
      </w:r>
      <w:r w:rsidR="0021795B">
        <w:t>,</w:t>
      </w:r>
      <w:r w:rsidRPr="000B69A6">
        <w:t xml:space="preserve"> through additional staffing;</w:t>
      </w:r>
    </w:p>
    <w:p w:rsidR="008601F3" w:rsidRPr="000B69A6" w:rsidRDefault="008601F3" w:rsidP="008601F3">
      <w:pPr>
        <w:pStyle w:val="BodyTextIndent"/>
      </w:pPr>
      <w:r w:rsidRPr="000B69A6">
        <w:t xml:space="preserve">continuing the </w:t>
      </w:r>
      <w:proofErr w:type="spellStart"/>
      <w:r w:rsidRPr="000B69A6">
        <w:t>Throughcare</w:t>
      </w:r>
      <w:proofErr w:type="spellEnd"/>
      <w:r w:rsidRPr="000B69A6">
        <w:t xml:space="preserve"> Model to support offenders returning to the community</w:t>
      </w:r>
      <w:r w:rsidR="0021795B">
        <w:t>,</w:t>
      </w:r>
      <w:r w:rsidRPr="000B69A6">
        <w:t xml:space="preserve"> to assist their reintegration with the aim of reducing recidivism;</w:t>
      </w:r>
    </w:p>
    <w:p w:rsidR="0008156E" w:rsidRDefault="0008156E" w:rsidP="0008156E">
      <w:pPr>
        <w:pStyle w:val="BodyTextIndent"/>
      </w:pPr>
      <w:r>
        <w:t xml:space="preserve">developing final sketch plans for new flexible accommodation at </w:t>
      </w:r>
      <w:r w:rsidR="008601F3" w:rsidRPr="000B69A6">
        <w:t>the Ale</w:t>
      </w:r>
      <w:r>
        <w:t>xander </w:t>
      </w:r>
      <w:proofErr w:type="spellStart"/>
      <w:r w:rsidR="008601F3" w:rsidRPr="000B69A6">
        <w:t>Maconochie</w:t>
      </w:r>
      <w:proofErr w:type="spellEnd"/>
      <w:r w:rsidR="008601F3" w:rsidRPr="000B69A6">
        <w:t xml:space="preserve"> Centre</w:t>
      </w:r>
      <w:r>
        <w:t>;</w:t>
      </w:r>
    </w:p>
    <w:p w:rsidR="0008156E" w:rsidRPr="0008156E" w:rsidRDefault="0008156E" w:rsidP="0008156E">
      <w:pPr>
        <w:pStyle w:val="BodyTextIndent"/>
      </w:pPr>
      <w:r>
        <w:t>continuing to support staffing to effectively m</w:t>
      </w:r>
      <w:r w:rsidR="00134E37">
        <w:t>anage offenders on parole or cou</w:t>
      </w:r>
      <w:r>
        <w:t xml:space="preserve">rt ordered sanctions; </w:t>
      </w:r>
    </w:p>
    <w:p w:rsidR="004C03B8" w:rsidRPr="0064190B" w:rsidRDefault="004C03B8" w:rsidP="004C03B8">
      <w:pPr>
        <w:pStyle w:val="BodyTextIndent"/>
      </w:pPr>
      <w:r w:rsidRPr="0064190B">
        <w:t xml:space="preserve">reviewing </w:t>
      </w:r>
      <w:r w:rsidR="00814427">
        <w:t xml:space="preserve">legislation including </w:t>
      </w:r>
      <w:r w:rsidRPr="0064190B">
        <w:t xml:space="preserve">the impact of the reforms in the </w:t>
      </w:r>
      <w:r w:rsidRPr="0064190B">
        <w:rPr>
          <w:i/>
        </w:rPr>
        <w:t>Liquor Act 2010</w:t>
      </w:r>
      <w:r w:rsidR="00814427">
        <w:rPr>
          <w:i/>
        </w:rPr>
        <w:t xml:space="preserve">, </w:t>
      </w:r>
      <w:r w:rsidR="00814427" w:rsidRPr="0064190B">
        <w:t>the Victims of Crime Financial Assistance scheme</w:t>
      </w:r>
      <w:r w:rsidR="00814427">
        <w:t xml:space="preserve">, </w:t>
      </w:r>
      <w:r w:rsidR="00814427" w:rsidRPr="000B69A6">
        <w:t>workplace privacy laws</w:t>
      </w:r>
      <w:r w:rsidR="00814427">
        <w:t xml:space="preserve">, and </w:t>
      </w:r>
      <w:r w:rsidR="0008156E">
        <w:rPr>
          <w:i/>
        </w:rPr>
        <w:t>Mental </w:t>
      </w:r>
      <w:r w:rsidR="00814427" w:rsidRPr="007715EA">
        <w:rPr>
          <w:i/>
        </w:rPr>
        <w:t>Health (Treatment and Care) Act 1994</w:t>
      </w:r>
      <w:r w:rsidR="00814427">
        <w:t xml:space="preserve"> in partnership with ACT Health</w:t>
      </w:r>
      <w:r w:rsidRPr="0064190B">
        <w:t>;</w:t>
      </w:r>
    </w:p>
    <w:p w:rsidR="004C03B8" w:rsidRDefault="004C03B8" w:rsidP="004C03B8">
      <w:pPr>
        <w:pStyle w:val="BodyTextIndent"/>
      </w:pPr>
      <w:r w:rsidRPr="0064190B">
        <w:t xml:space="preserve">implementing the Government response to the review of the </w:t>
      </w:r>
      <w:r w:rsidRPr="003C55E3">
        <w:rPr>
          <w:i/>
        </w:rPr>
        <w:t>Prostitution Act 1992</w:t>
      </w:r>
      <w:r w:rsidR="00814427" w:rsidRPr="00814427">
        <w:t xml:space="preserve"> </w:t>
      </w:r>
      <w:r w:rsidR="00814427">
        <w:t>and the Beyond the Binary report</w:t>
      </w:r>
      <w:r w:rsidRPr="0064190B">
        <w:t>;</w:t>
      </w:r>
    </w:p>
    <w:p w:rsidR="004C03B8" w:rsidRDefault="00814427" w:rsidP="004C03B8">
      <w:pPr>
        <w:pStyle w:val="BodyTextIndent"/>
      </w:pPr>
      <w:r>
        <w:lastRenderedPageBreak/>
        <w:t xml:space="preserve">progressing the legislative program including </w:t>
      </w:r>
      <w:r w:rsidR="004C03B8">
        <w:t xml:space="preserve">establishing recognition of </w:t>
      </w:r>
      <w:r w:rsidR="000B69A6">
        <w:t xml:space="preserve">the cultural rights of </w:t>
      </w:r>
      <w:r w:rsidR="004C03B8">
        <w:t xml:space="preserve">Aboriginal and Torres Strait Islander people in the </w:t>
      </w:r>
      <w:r w:rsidR="004C03B8" w:rsidRPr="003C55E3">
        <w:rPr>
          <w:i/>
        </w:rPr>
        <w:t>Human Rights Act</w:t>
      </w:r>
      <w:r w:rsidR="003C55E3" w:rsidRPr="003C55E3">
        <w:rPr>
          <w:i/>
        </w:rPr>
        <w:t xml:space="preserve"> 2004</w:t>
      </w:r>
      <w:r>
        <w:t>, legislating for same</w:t>
      </w:r>
      <w:r w:rsidR="00373A84">
        <w:t xml:space="preserve"> sex marriage, and establishing</w:t>
      </w:r>
      <w:r>
        <w:t xml:space="preserve"> an Industrial Magistrates Court</w:t>
      </w:r>
      <w:r w:rsidR="004C03B8">
        <w:t>;</w:t>
      </w:r>
    </w:p>
    <w:p w:rsidR="008601F3" w:rsidRPr="007079E7" w:rsidRDefault="008601F3" w:rsidP="008601F3">
      <w:pPr>
        <w:pStyle w:val="BodyTextIndent"/>
        <w:keepNext w:val="0"/>
        <w:keepLines w:val="0"/>
        <w:spacing w:after="100"/>
      </w:pPr>
      <w:r w:rsidRPr="007079E7">
        <w:t>progressing the development of a new Courts and Tribunal ICT Case Management System to facilitate the efficient operation of the Courts;</w:t>
      </w:r>
    </w:p>
    <w:p w:rsidR="008601F3" w:rsidRPr="007F4D65" w:rsidRDefault="0089492F" w:rsidP="008601F3">
      <w:pPr>
        <w:pStyle w:val="BodyTextIndent"/>
        <w:keepNext w:val="0"/>
        <w:keepLines w:val="0"/>
        <w:spacing w:after="100"/>
      </w:pPr>
      <w:r w:rsidRPr="007F4D65">
        <w:t>continuing the N</w:t>
      </w:r>
      <w:r w:rsidR="008601F3" w:rsidRPr="007F4D65">
        <w:t xml:space="preserve">ew </w:t>
      </w:r>
      <w:r w:rsidRPr="007F4D65">
        <w:t>Court F</w:t>
      </w:r>
      <w:r w:rsidR="008601F3" w:rsidRPr="007F4D65">
        <w:t xml:space="preserve">acilities </w:t>
      </w:r>
      <w:r w:rsidRPr="007F4D65">
        <w:t>(</w:t>
      </w:r>
      <w:r w:rsidR="007F4D65" w:rsidRPr="007F4D65">
        <w:t>d</w:t>
      </w:r>
      <w:r w:rsidRPr="007F4D65">
        <w:t>esign and P</w:t>
      </w:r>
      <w:r w:rsidR="007C4866">
        <w:t xml:space="preserve">ublic </w:t>
      </w:r>
      <w:r w:rsidRPr="007F4D65">
        <w:t>P</w:t>
      </w:r>
      <w:r w:rsidR="007C4866">
        <w:t xml:space="preserve">rivate </w:t>
      </w:r>
      <w:r w:rsidRPr="007F4D65">
        <w:t>P</w:t>
      </w:r>
      <w:r w:rsidR="007C4866">
        <w:t>artnership</w:t>
      </w:r>
      <w:r w:rsidR="007079E7" w:rsidRPr="007F4D65">
        <w:t xml:space="preserve"> scoping</w:t>
      </w:r>
      <w:r w:rsidRPr="007F4D65">
        <w:t xml:space="preserve">) </w:t>
      </w:r>
      <w:r w:rsidR="008601F3" w:rsidRPr="007F4D65">
        <w:t>project;</w:t>
      </w:r>
    </w:p>
    <w:p w:rsidR="008601F3" w:rsidRPr="00E40463" w:rsidRDefault="007079E7" w:rsidP="008601F3">
      <w:pPr>
        <w:pStyle w:val="BodyTextIndent"/>
        <w:keepNext w:val="0"/>
        <w:keepLines w:val="0"/>
        <w:spacing w:after="100"/>
      </w:pPr>
      <w:r w:rsidRPr="00E40463">
        <w:t>progressing the establishment of</w:t>
      </w:r>
      <w:r w:rsidR="00CB4443" w:rsidRPr="00E40463">
        <w:t xml:space="preserve"> </w:t>
      </w:r>
      <w:r w:rsidR="008601F3" w:rsidRPr="00E40463">
        <w:t>an ACT sentencing database to enable sentencing information to be better utilised by the Judiciary and to facilitate greater transparency and consistency in sentencing;</w:t>
      </w:r>
    </w:p>
    <w:p w:rsidR="008601F3" w:rsidRPr="00E40463" w:rsidRDefault="008601F3" w:rsidP="008601F3">
      <w:pPr>
        <w:pStyle w:val="BodyTextIndent"/>
        <w:keepNext w:val="0"/>
        <w:keepLines w:val="0"/>
        <w:spacing w:after="100"/>
      </w:pPr>
      <w:r w:rsidRPr="00E40463">
        <w:t xml:space="preserve">enhancing the capacity of Community Legal Centres (CLCs) to provide legal services by </w:t>
      </w:r>
      <w:r w:rsidR="000072E3">
        <w:t>assisting to establish</w:t>
      </w:r>
      <w:r w:rsidRPr="00E40463">
        <w:t xml:space="preserve"> a CLC Hub which co-locates CLCs;</w:t>
      </w:r>
    </w:p>
    <w:p w:rsidR="008601F3" w:rsidRDefault="008601F3" w:rsidP="008601F3">
      <w:pPr>
        <w:pStyle w:val="BodyTextIndent"/>
      </w:pPr>
      <w:r w:rsidRPr="00E40463">
        <w:t>enhancing the official visitor scheme;</w:t>
      </w:r>
    </w:p>
    <w:p w:rsidR="006D7DDA" w:rsidRPr="00E40463" w:rsidRDefault="006D7DDA" w:rsidP="006D7DDA">
      <w:pPr>
        <w:pStyle w:val="BodyTextIndent"/>
        <w:keepNext w:val="0"/>
        <w:keepLines w:val="0"/>
        <w:spacing w:after="100"/>
      </w:pPr>
      <w:r w:rsidRPr="00E40463">
        <w:t>implementing election campaign finance reforms, to include a new online reporting system and ongoing support;</w:t>
      </w:r>
    </w:p>
    <w:p w:rsidR="008601F3" w:rsidRPr="00E40463" w:rsidRDefault="008601F3" w:rsidP="008601F3">
      <w:pPr>
        <w:pStyle w:val="BodyTextIndent"/>
      </w:pPr>
      <w:r w:rsidRPr="00E40463">
        <w:t>implementing a framework for motorists to enter into time to pay, work and development programs and waiver arrangements, to address motor vehicle related infringements in line with the Government</w:t>
      </w:r>
      <w:r w:rsidR="00323171">
        <w:t>’s</w:t>
      </w:r>
      <w:r w:rsidRPr="00E40463">
        <w:t xml:space="preserve"> Targeted Assistance Strategy t</w:t>
      </w:r>
      <w:r w:rsidR="00E40463" w:rsidRPr="00E40463">
        <w:t xml:space="preserve">o assist lower income </w:t>
      </w:r>
      <w:proofErr w:type="spellStart"/>
      <w:r w:rsidR="00E40463" w:rsidRPr="00E40463">
        <w:t>Canberran</w:t>
      </w:r>
      <w:r w:rsidRPr="00E40463">
        <w:t>s</w:t>
      </w:r>
      <w:proofErr w:type="spellEnd"/>
      <w:r w:rsidRPr="00E40463">
        <w:t>;</w:t>
      </w:r>
    </w:p>
    <w:p w:rsidR="008601F3" w:rsidRDefault="00D66D5D" w:rsidP="008601F3">
      <w:pPr>
        <w:pStyle w:val="BodyTextIndent"/>
        <w:keepNext w:val="0"/>
        <w:keepLines w:val="0"/>
        <w:spacing w:after="100"/>
        <w:rPr>
          <w:rFonts w:cs="Calibri"/>
        </w:rPr>
      </w:pPr>
      <w:r>
        <w:t xml:space="preserve">further expanding </w:t>
      </w:r>
      <w:r w:rsidR="008601F3" w:rsidRPr="007716CB">
        <w:t>the Road Safety Operational Team (RSOT)</w:t>
      </w:r>
      <w:r w:rsidR="008601F3" w:rsidRPr="007716CB">
        <w:rPr>
          <w:rFonts w:cs="Calibri"/>
        </w:rPr>
        <w:t xml:space="preserve"> to </w:t>
      </w:r>
      <w:r w:rsidR="009A60EE">
        <w:rPr>
          <w:rFonts w:cs="Calibri"/>
        </w:rPr>
        <w:t xml:space="preserve">improve </w:t>
      </w:r>
      <w:r w:rsidR="008601F3" w:rsidRPr="007716CB">
        <w:rPr>
          <w:rFonts w:cs="Calibri"/>
        </w:rPr>
        <w:t xml:space="preserve">road safety in the ACT </w:t>
      </w:r>
      <w:r w:rsidR="008601F3">
        <w:rPr>
          <w:rFonts w:cs="Calibri"/>
        </w:rPr>
        <w:t>by providing</w:t>
      </w:r>
      <w:r w:rsidR="008601F3" w:rsidRPr="007716CB">
        <w:rPr>
          <w:rFonts w:cs="Calibri"/>
        </w:rPr>
        <w:t xml:space="preserve"> </w:t>
      </w:r>
      <w:r w:rsidR="008601F3">
        <w:rPr>
          <w:rFonts w:cs="Calibri"/>
        </w:rPr>
        <w:t>additional police resourcing and specialised vehicles</w:t>
      </w:r>
      <w:r w:rsidR="008601F3" w:rsidRPr="007716CB">
        <w:rPr>
          <w:rFonts w:cs="Calibri"/>
        </w:rPr>
        <w:t>;</w:t>
      </w:r>
    </w:p>
    <w:p w:rsidR="004C03B8" w:rsidRPr="004C03B8" w:rsidRDefault="004C03B8" w:rsidP="004C03B8">
      <w:pPr>
        <w:pStyle w:val="BodyTextIndent"/>
        <w:keepNext w:val="0"/>
        <w:keepLines w:val="0"/>
        <w:spacing w:after="100"/>
        <w:rPr>
          <w:rFonts w:cs="Calibri"/>
        </w:rPr>
      </w:pPr>
      <w:r>
        <w:rPr>
          <w:rFonts w:cs="Calibri"/>
        </w:rPr>
        <w:t xml:space="preserve">developing and implementing the 2014-2017 Road Safety Action Plan, under the </w:t>
      </w:r>
      <w:r w:rsidRPr="0064190B">
        <w:rPr>
          <w:rFonts w:cs="Calibri"/>
          <w:i/>
        </w:rPr>
        <w:t>ACT</w:t>
      </w:r>
      <w:r w:rsidR="0073518C">
        <w:rPr>
          <w:rFonts w:cs="Calibri"/>
          <w:i/>
        </w:rPr>
        <w:t> </w:t>
      </w:r>
      <w:r w:rsidRPr="0064190B">
        <w:rPr>
          <w:rFonts w:cs="Calibri"/>
          <w:i/>
        </w:rPr>
        <w:t>Road Safety Strategy</w:t>
      </w:r>
      <w:r>
        <w:rPr>
          <w:rFonts w:cs="Calibri"/>
        </w:rPr>
        <w:t>;</w:t>
      </w:r>
    </w:p>
    <w:p w:rsidR="008601F3" w:rsidRPr="007716CB" w:rsidRDefault="008601F3" w:rsidP="008601F3">
      <w:pPr>
        <w:pStyle w:val="BodyTextIndent"/>
        <w:keepNext w:val="0"/>
        <w:keepLines w:val="0"/>
        <w:spacing w:after="100"/>
        <w:rPr>
          <w:rFonts w:cs="Calibri"/>
        </w:rPr>
      </w:pPr>
      <w:r>
        <w:rPr>
          <w:rFonts w:cs="Calibri"/>
        </w:rPr>
        <w:t>improving</w:t>
      </w:r>
      <w:r w:rsidRPr="007716CB">
        <w:rPr>
          <w:rFonts w:cs="Calibri"/>
        </w:rPr>
        <w:t xml:space="preserve"> road safety through implementing a</w:t>
      </w:r>
      <w:r>
        <w:rPr>
          <w:rFonts w:cs="Calibri"/>
        </w:rPr>
        <w:t>n</w:t>
      </w:r>
      <w:r w:rsidRPr="007716CB">
        <w:rPr>
          <w:rFonts w:cs="Calibri"/>
        </w:rPr>
        <w:t xml:space="preserve"> alcohol ignition interlock program </w:t>
      </w:r>
      <w:r w:rsidR="00B3010A">
        <w:rPr>
          <w:rFonts w:cs="Calibri"/>
        </w:rPr>
        <w:t>aimed at addressing drink driver offender behaviour</w:t>
      </w:r>
      <w:r w:rsidR="00323171">
        <w:rPr>
          <w:rFonts w:cs="Calibri"/>
        </w:rPr>
        <w:t>,</w:t>
      </w:r>
      <w:r w:rsidR="00B3010A" w:rsidRPr="007716CB">
        <w:rPr>
          <w:rFonts w:cs="Calibri"/>
        </w:rPr>
        <w:t xml:space="preserve"> </w:t>
      </w:r>
      <w:r w:rsidRPr="007716CB">
        <w:rPr>
          <w:rFonts w:cs="Calibri"/>
        </w:rPr>
        <w:t>as a collaboration between law enforcement and health services;</w:t>
      </w:r>
    </w:p>
    <w:p w:rsidR="008601F3" w:rsidRPr="007716CB" w:rsidRDefault="008601F3" w:rsidP="008601F3">
      <w:pPr>
        <w:pStyle w:val="BodyTextIndent"/>
        <w:keepNext w:val="0"/>
        <w:keepLines w:val="0"/>
        <w:spacing w:after="100"/>
        <w:rPr>
          <w:rFonts w:cs="Calibri"/>
        </w:rPr>
      </w:pPr>
      <w:r>
        <w:t>encouraging and rewarding</w:t>
      </w:r>
      <w:r w:rsidRPr="007716CB">
        <w:t xml:space="preserve"> </w:t>
      </w:r>
      <w:r>
        <w:t>good driver</w:t>
      </w:r>
      <w:r w:rsidRPr="007716CB">
        <w:t xml:space="preserve"> </w:t>
      </w:r>
      <w:r>
        <w:t>behaviour</w:t>
      </w:r>
      <w:r w:rsidRPr="007716CB">
        <w:rPr>
          <w:rFonts w:cs="Calibri"/>
        </w:rPr>
        <w:t xml:space="preserve">, in alignment with the ACT Road Safety Strategy, </w:t>
      </w:r>
      <w:r>
        <w:rPr>
          <w:rFonts w:cs="Calibri"/>
        </w:rPr>
        <w:t xml:space="preserve">through </w:t>
      </w:r>
      <w:r w:rsidRPr="007716CB">
        <w:rPr>
          <w:rFonts w:cs="Calibri"/>
        </w:rPr>
        <w:t xml:space="preserve">discounted driver’s licence renewal fees </w:t>
      </w:r>
      <w:r>
        <w:rPr>
          <w:rFonts w:cs="Calibri"/>
        </w:rPr>
        <w:t>for drivers</w:t>
      </w:r>
      <w:r w:rsidRPr="007716CB">
        <w:rPr>
          <w:rFonts w:cs="Calibri"/>
        </w:rPr>
        <w:t xml:space="preserve"> who have attracted no demerit points and no traffic infringements for at</w:t>
      </w:r>
      <w:r>
        <w:rPr>
          <w:rFonts w:cs="Calibri"/>
        </w:rPr>
        <w:t xml:space="preserve"> least the last five years</w:t>
      </w:r>
      <w:r w:rsidRPr="007716CB">
        <w:rPr>
          <w:rFonts w:cs="Calibri"/>
        </w:rPr>
        <w:t>;</w:t>
      </w:r>
    </w:p>
    <w:p w:rsidR="008601F3" w:rsidRPr="007716CB" w:rsidRDefault="008601F3" w:rsidP="008601F3">
      <w:pPr>
        <w:pStyle w:val="BodyTextIndent"/>
        <w:keepNext w:val="0"/>
        <w:keepLines w:val="0"/>
        <w:spacing w:after="100"/>
      </w:pPr>
      <w:r w:rsidRPr="007716CB">
        <w:t>reviewing the operation of the</w:t>
      </w:r>
      <w:r w:rsidR="00941B10">
        <w:t xml:space="preserve"> </w:t>
      </w:r>
      <w:r w:rsidRPr="007716CB">
        <w:t>Wheelchair Accessible Taxi system</w:t>
      </w:r>
      <w:r w:rsidR="00323171">
        <w:t>,</w:t>
      </w:r>
      <w:r w:rsidRPr="007716CB">
        <w:t xml:space="preserve"> after 12 months</w:t>
      </w:r>
      <w:r w:rsidR="00323171">
        <w:t>,</w:t>
      </w:r>
      <w:r w:rsidRPr="007716CB">
        <w:t xml:space="preserve"> to assess </w:t>
      </w:r>
      <w:r>
        <w:t xml:space="preserve">if </w:t>
      </w:r>
      <w:r w:rsidRPr="007716CB">
        <w:t>the Centralised Booking Service is meeting the needs of users;</w:t>
      </w:r>
    </w:p>
    <w:p w:rsidR="008601F3" w:rsidRDefault="009A60EE" w:rsidP="008601F3">
      <w:pPr>
        <w:pStyle w:val="BodyTextIndent"/>
        <w:keepNext w:val="0"/>
        <w:keepLines w:val="0"/>
        <w:spacing w:after="100"/>
      </w:pPr>
      <w:r>
        <w:t xml:space="preserve">commencing the redevelopment of </w:t>
      </w:r>
      <w:r w:rsidR="008601F3">
        <w:t>the ACT Parliamentary Coun</w:t>
      </w:r>
      <w:r w:rsidR="00B36E95">
        <w:t>sel’s</w:t>
      </w:r>
      <w:r w:rsidR="008601F3">
        <w:t xml:space="preserve"> Office Legislation Register; and</w:t>
      </w:r>
    </w:p>
    <w:p w:rsidR="008601F3" w:rsidRDefault="008601F3" w:rsidP="008601F3">
      <w:pPr>
        <w:pStyle w:val="BodyTextIndent"/>
        <w:keepNext w:val="0"/>
        <w:keepLines w:val="0"/>
        <w:spacing w:after="100"/>
      </w:pPr>
      <w:r>
        <w:t>implem</w:t>
      </w:r>
      <w:r w:rsidR="009A60EE">
        <w:t xml:space="preserve">enting the </w:t>
      </w:r>
      <w:r w:rsidR="009A60EE" w:rsidRPr="009A60EE">
        <w:rPr>
          <w:i/>
        </w:rPr>
        <w:t>Getting Home Safely</w:t>
      </w:r>
      <w:r>
        <w:t xml:space="preserve"> report recommendations, including providing additional resources for </w:t>
      </w:r>
      <w:proofErr w:type="spellStart"/>
      <w:r>
        <w:t>WorkSafe</w:t>
      </w:r>
      <w:proofErr w:type="spellEnd"/>
      <w:r>
        <w:t xml:space="preserve"> ACT to enforce work health and safety laws and the establishment of an Industrial Magistrates Court.</w:t>
      </w:r>
    </w:p>
    <w:p w:rsidR="00124693" w:rsidRDefault="00124693">
      <w:pPr>
        <w:rPr>
          <w:rFonts w:ascii="Arial" w:hAnsi="Arial" w:cs="Arial"/>
          <w:b/>
          <w:bCs/>
          <w:szCs w:val="26"/>
        </w:rPr>
      </w:pPr>
      <w:r>
        <w:br w:type="page"/>
      </w:r>
    </w:p>
    <w:p w:rsidR="008601F3" w:rsidRPr="00A63B7F" w:rsidRDefault="008601F3" w:rsidP="008601F3">
      <w:pPr>
        <w:pStyle w:val="Heading3"/>
      </w:pPr>
      <w:r w:rsidRPr="00A63B7F">
        <w:lastRenderedPageBreak/>
        <w:t>Business and Corporate Strategies</w:t>
      </w:r>
    </w:p>
    <w:p w:rsidR="008601F3" w:rsidRPr="00FB46C0" w:rsidRDefault="008601F3" w:rsidP="008601F3">
      <w:pPr>
        <w:pStyle w:val="BodyText"/>
      </w:pPr>
      <w:r w:rsidRPr="00FB46C0">
        <w:t xml:space="preserve">Specific business and corporate </w:t>
      </w:r>
      <w:r>
        <w:t>strategies to be pursued in 2013</w:t>
      </w:r>
      <w:r>
        <w:noBreakHyphen/>
        <w:t>14</w:t>
      </w:r>
      <w:r w:rsidRPr="00FB46C0">
        <w:t xml:space="preserve"> include:</w:t>
      </w:r>
    </w:p>
    <w:p w:rsidR="008601F3" w:rsidRPr="00A63B7F" w:rsidRDefault="008601F3" w:rsidP="008601F3">
      <w:pPr>
        <w:pStyle w:val="BodyTextIndent"/>
        <w:keepNext w:val="0"/>
        <w:keepLines w:val="0"/>
        <w:spacing w:after="100"/>
      </w:pPr>
      <w:r w:rsidRPr="00A63B7F">
        <w:t>continuing to build strong working relationships across the justice portfolio, including with statutory office holders within the portfolio and ACT Policing;</w:t>
      </w:r>
    </w:p>
    <w:p w:rsidR="008601F3" w:rsidRPr="00A63B7F" w:rsidRDefault="008601F3" w:rsidP="008601F3">
      <w:pPr>
        <w:pStyle w:val="BodyTextIndent"/>
        <w:keepNext w:val="0"/>
        <w:keepLines w:val="0"/>
        <w:spacing w:after="100"/>
      </w:pPr>
      <w:r w:rsidRPr="00A63B7F">
        <w:t>continuing to embed the outcomes of the ACT Public Service Review and the culture of one public service;</w:t>
      </w:r>
    </w:p>
    <w:p w:rsidR="008601F3" w:rsidRPr="00A63B7F" w:rsidRDefault="008601F3" w:rsidP="008601F3">
      <w:pPr>
        <w:pStyle w:val="BodyTextIndent"/>
        <w:keepNext w:val="0"/>
        <w:keepLines w:val="0"/>
        <w:spacing w:after="100"/>
      </w:pPr>
      <w:r w:rsidRPr="00A63B7F">
        <w:t>enhancing collaboration between governments in implementing policies to achieve local and national legislative agenda in the justice, emergency services and regulatory sectors;</w:t>
      </w:r>
    </w:p>
    <w:p w:rsidR="008601F3" w:rsidRPr="00A63B7F" w:rsidRDefault="008601F3" w:rsidP="008601F3">
      <w:pPr>
        <w:pStyle w:val="BodyTextIndent"/>
        <w:keepNext w:val="0"/>
        <w:keepLines w:val="0"/>
        <w:spacing w:after="100"/>
        <w:ind w:left="357" w:hanging="357"/>
      </w:pPr>
      <w:r w:rsidRPr="00A63B7F">
        <w:t>continuing to identify strategies that address environmental and fiscal sustainability;</w:t>
      </w:r>
    </w:p>
    <w:p w:rsidR="008601F3" w:rsidRPr="00A63B7F" w:rsidRDefault="008601F3" w:rsidP="008601F3">
      <w:pPr>
        <w:pStyle w:val="BodyTextIndent"/>
        <w:keepNext w:val="0"/>
        <w:keepLines w:val="0"/>
        <w:spacing w:after="100"/>
        <w:ind w:left="357" w:hanging="357"/>
      </w:pPr>
      <w:r w:rsidRPr="00A63B7F">
        <w:t xml:space="preserve">enabling timely and cost effective delivery of the Directorate’s capital </w:t>
      </w:r>
      <w:r w:rsidR="00876573">
        <w:t xml:space="preserve">works </w:t>
      </w:r>
      <w:r w:rsidR="00EC6EEE">
        <w:t xml:space="preserve">and ICT </w:t>
      </w:r>
      <w:r w:rsidRPr="00A63B7F">
        <w:t>program</w:t>
      </w:r>
      <w:r w:rsidR="00EC6EEE">
        <w:t>s</w:t>
      </w:r>
      <w:r w:rsidRPr="00A63B7F">
        <w:t xml:space="preserve"> through strategic planning, effective governance frameworks and sound management of projects;</w:t>
      </w:r>
    </w:p>
    <w:p w:rsidR="00941B10" w:rsidRPr="00941B10" w:rsidRDefault="009A60EE" w:rsidP="003C1D5E">
      <w:pPr>
        <w:pStyle w:val="BodyTextIndent"/>
      </w:pPr>
      <w:r>
        <w:t>continuing</w:t>
      </w:r>
      <w:r w:rsidR="00941B10">
        <w:t xml:space="preserve"> to strengthen </w:t>
      </w:r>
      <w:r w:rsidR="00837A73">
        <w:t xml:space="preserve">the </w:t>
      </w:r>
      <w:r w:rsidR="00941B10">
        <w:t>Directorate</w:t>
      </w:r>
      <w:r w:rsidR="00837A73">
        <w:t>’s</w:t>
      </w:r>
      <w:r w:rsidR="00080674">
        <w:t xml:space="preserve"> governance and accountability f</w:t>
      </w:r>
      <w:r w:rsidR="00941B10">
        <w:t>rameworks, incorporating strategic planning, business planning</w:t>
      </w:r>
      <w:r w:rsidR="00876573">
        <w:t>, risk management and audit;</w:t>
      </w:r>
    </w:p>
    <w:p w:rsidR="008601F3" w:rsidRDefault="008601F3" w:rsidP="008601F3">
      <w:pPr>
        <w:pStyle w:val="BodyTextIndent"/>
        <w:keepNext w:val="0"/>
        <w:keepLines w:val="0"/>
        <w:ind w:left="357" w:hanging="357"/>
      </w:pPr>
      <w:r w:rsidRPr="00A63B7F">
        <w:t>strengthening the Directorate’s diverse workforce through directed human resource strategies</w:t>
      </w:r>
      <w:r w:rsidR="00876573">
        <w:t>; and</w:t>
      </w:r>
    </w:p>
    <w:p w:rsidR="00876573" w:rsidRPr="00876573" w:rsidRDefault="00876573" w:rsidP="00876573">
      <w:pPr>
        <w:pStyle w:val="BodyTextIndent"/>
      </w:pPr>
      <w:proofErr w:type="gramStart"/>
      <w:r>
        <w:t>continuing</w:t>
      </w:r>
      <w:proofErr w:type="gramEnd"/>
      <w:r>
        <w:t xml:space="preserve"> to strengthen the Directorate’s Workers</w:t>
      </w:r>
      <w:r w:rsidR="006B2C0C">
        <w:t>’</w:t>
      </w:r>
      <w:r>
        <w:t xml:space="preserve"> Compensation performance, in partnership with Chief Minister and Treasury Directorate.</w:t>
      </w:r>
    </w:p>
    <w:p w:rsidR="008601F3" w:rsidRPr="00FB46C0" w:rsidRDefault="008601F3" w:rsidP="008601F3">
      <w:pPr>
        <w:pStyle w:val="Heading3"/>
      </w:pPr>
      <w:r w:rsidRPr="00FB46C0">
        <w:t>Estimated Employment Level</w:t>
      </w:r>
    </w:p>
    <w:tbl>
      <w:tblPr>
        <w:tblW w:w="9100" w:type="dxa"/>
        <w:tblLayout w:type="fixed"/>
        <w:tblCellMar>
          <w:left w:w="0" w:type="dxa"/>
          <w:right w:w="0" w:type="dxa"/>
        </w:tblCellMar>
        <w:tblLook w:val="0000"/>
      </w:tblPr>
      <w:tblGrid>
        <w:gridCol w:w="1638"/>
        <w:gridCol w:w="2545"/>
        <w:gridCol w:w="1639"/>
        <w:gridCol w:w="1639"/>
        <w:gridCol w:w="1639"/>
      </w:tblGrid>
      <w:tr w:rsidR="008601F3" w:rsidRPr="00C5482F" w:rsidTr="00523D95">
        <w:trPr>
          <w:trHeight w:hRule="exact" w:val="510"/>
        </w:trPr>
        <w:tc>
          <w:tcPr>
            <w:tcW w:w="1638" w:type="dxa"/>
            <w:tcBorders>
              <w:top w:val="single" w:sz="4" w:space="0" w:color="auto"/>
              <w:left w:val="nil"/>
              <w:bottom w:val="single" w:sz="4" w:space="0" w:color="auto"/>
              <w:right w:val="nil"/>
            </w:tcBorders>
          </w:tcPr>
          <w:p w:rsidR="008601F3" w:rsidRPr="007D7E5E" w:rsidRDefault="008601F3" w:rsidP="00523D95">
            <w:pPr>
              <w:pStyle w:val="TableTextRightBold-BP410pt"/>
            </w:pPr>
            <w:r>
              <w:t>2011</w:t>
            </w:r>
            <w:r>
              <w:noBreakHyphen/>
              <w:t>12</w:t>
            </w:r>
          </w:p>
          <w:p w:rsidR="008601F3" w:rsidRPr="007D7E5E" w:rsidRDefault="008601F3" w:rsidP="00523D95">
            <w:pPr>
              <w:pStyle w:val="TableTextRightBold-BP410pt"/>
            </w:pPr>
            <w:r w:rsidRPr="007D7E5E">
              <w:t>Actual Outcome</w:t>
            </w:r>
          </w:p>
        </w:tc>
        <w:tc>
          <w:tcPr>
            <w:tcW w:w="2545" w:type="dxa"/>
            <w:tcBorders>
              <w:top w:val="single" w:sz="4" w:space="0" w:color="auto"/>
              <w:left w:val="nil"/>
              <w:bottom w:val="single" w:sz="4" w:space="0" w:color="auto"/>
              <w:right w:val="nil"/>
            </w:tcBorders>
            <w:noWrap/>
            <w:tcMar>
              <w:top w:w="18" w:type="dxa"/>
              <w:left w:w="18" w:type="dxa"/>
              <w:bottom w:w="0" w:type="dxa"/>
              <w:right w:w="18" w:type="dxa"/>
            </w:tcMar>
          </w:tcPr>
          <w:p w:rsidR="008601F3" w:rsidRPr="007D7E5E" w:rsidRDefault="008601F3" w:rsidP="00523D95">
            <w:pPr>
              <w:pStyle w:val="TableTextRightBold-BP410pt"/>
              <w:rPr>
                <w:rFonts w:ascii="Arial" w:hAnsi="Arial" w:cs="Arial"/>
                <w:bCs/>
              </w:rPr>
            </w:pPr>
          </w:p>
        </w:tc>
        <w:tc>
          <w:tcPr>
            <w:tcW w:w="1639" w:type="dxa"/>
            <w:tcBorders>
              <w:top w:val="single" w:sz="4" w:space="0" w:color="auto"/>
              <w:left w:val="nil"/>
              <w:bottom w:val="single" w:sz="4" w:space="0" w:color="auto"/>
              <w:right w:val="nil"/>
            </w:tcBorders>
          </w:tcPr>
          <w:p w:rsidR="008601F3" w:rsidRPr="007D7E5E" w:rsidRDefault="008601F3" w:rsidP="00523D95">
            <w:pPr>
              <w:pStyle w:val="TableTextRightBold-BP410pt"/>
            </w:pPr>
            <w:r>
              <w:t>2012</w:t>
            </w:r>
            <w:r>
              <w:noBreakHyphen/>
              <w:t>13</w:t>
            </w:r>
          </w:p>
          <w:p w:rsidR="008601F3" w:rsidRPr="007D7E5E" w:rsidRDefault="008601F3" w:rsidP="00523D95">
            <w:pPr>
              <w:pStyle w:val="TableTextRightBold-BP410pt"/>
            </w:pPr>
            <w:r w:rsidRPr="007D7E5E">
              <w:t>Budget</w:t>
            </w:r>
          </w:p>
          <w:p w:rsidR="008601F3" w:rsidRPr="007D7E5E" w:rsidRDefault="008601F3" w:rsidP="00523D95">
            <w:pPr>
              <w:pStyle w:val="TableTextRightBold-BP410pt"/>
            </w:pPr>
            <w:r w:rsidRPr="007D7E5E">
              <w:t>2</w:t>
            </w:r>
          </w:p>
        </w:tc>
        <w:tc>
          <w:tcPr>
            <w:tcW w:w="1639" w:type="dxa"/>
            <w:tcBorders>
              <w:top w:val="single" w:sz="4" w:space="0" w:color="auto"/>
              <w:left w:val="nil"/>
              <w:bottom w:val="single" w:sz="4" w:space="0" w:color="auto"/>
              <w:right w:val="nil"/>
            </w:tcBorders>
          </w:tcPr>
          <w:p w:rsidR="008601F3" w:rsidRPr="007D7E5E" w:rsidRDefault="008601F3" w:rsidP="00523D95">
            <w:pPr>
              <w:pStyle w:val="TableTextRightBold-BP410pt"/>
            </w:pPr>
            <w:r>
              <w:t>2012</w:t>
            </w:r>
            <w:r>
              <w:noBreakHyphen/>
              <w:t>13</w:t>
            </w:r>
          </w:p>
          <w:p w:rsidR="008601F3" w:rsidRPr="007D7E5E" w:rsidRDefault="008601F3" w:rsidP="00523D95">
            <w:pPr>
              <w:pStyle w:val="TableTextRightBold-BP410pt"/>
            </w:pPr>
            <w:r w:rsidRPr="007D7E5E">
              <w:t>Est. Outcome</w:t>
            </w:r>
          </w:p>
        </w:tc>
        <w:tc>
          <w:tcPr>
            <w:tcW w:w="1639" w:type="dxa"/>
            <w:tcBorders>
              <w:top w:val="single" w:sz="4" w:space="0" w:color="auto"/>
              <w:left w:val="nil"/>
              <w:bottom w:val="single" w:sz="4" w:space="0" w:color="auto"/>
              <w:right w:val="nil"/>
            </w:tcBorders>
            <w:noWrap/>
            <w:tcMar>
              <w:top w:w="18" w:type="dxa"/>
              <w:left w:w="18" w:type="dxa"/>
              <w:bottom w:w="0" w:type="dxa"/>
              <w:right w:w="18" w:type="dxa"/>
            </w:tcMar>
          </w:tcPr>
          <w:p w:rsidR="008601F3" w:rsidRPr="007D7E5E" w:rsidRDefault="008601F3" w:rsidP="00523D95">
            <w:pPr>
              <w:pStyle w:val="TableTextRightBold-BP410pt"/>
            </w:pPr>
            <w:r>
              <w:t>2013</w:t>
            </w:r>
            <w:r>
              <w:noBreakHyphen/>
              <w:t>14</w:t>
            </w:r>
          </w:p>
          <w:p w:rsidR="008601F3" w:rsidRPr="007D7E5E" w:rsidRDefault="008601F3" w:rsidP="00523D95">
            <w:pPr>
              <w:pStyle w:val="TableTextRightBold-BP410pt"/>
            </w:pPr>
            <w:r w:rsidRPr="007D7E5E">
              <w:t>Budget</w:t>
            </w:r>
          </w:p>
          <w:p w:rsidR="008601F3" w:rsidRPr="007D7E5E" w:rsidRDefault="008601F3" w:rsidP="00523D95">
            <w:pPr>
              <w:pStyle w:val="TableTextRightBold-BP410pt"/>
            </w:pPr>
            <w:r w:rsidRPr="007D7E5E">
              <w:t>2</w:t>
            </w:r>
          </w:p>
        </w:tc>
      </w:tr>
      <w:tr w:rsidR="008601F3" w:rsidRPr="004A60D9" w:rsidTr="00523D95">
        <w:trPr>
          <w:trHeight w:val="392"/>
        </w:trPr>
        <w:tc>
          <w:tcPr>
            <w:tcW w:w="1638" w:type="dxa"/>
            <w:tcBorders>
              <w:top w:val="single" w:sz="4" w:space="0" w:color="auto"/>
              <w:left w:val="nil"/>
              <w:bottom w:val="single" w:sz="4" w:space="0" w:color="auto"/>
              <w:right w:val="nil"/>
            </w:tcBorders>
            <w:vAlign w:val="center"/>
          </w:tcPr>
          <w:p w:rsidR="008601F3" w:rsidRPr="007716CB" w:rsidRDefault="008601F3" w:rsidP="00523D95">
            <w:pPr>
              <w:pStyle w:val="TableTextRight-BP410pt"/>
              <w:rPr>
                <w:vertAlign w:val="superscript"/>
              </w:rPr>
            </w:pPr>
            <w:r w:rsidRPr="007716CB">
              <w:t>1,710</w:t>
            </w:r>
            <w:r w:rsidRPr="007716CB">
              <w:rPr>
                <w:vertAlign w:val="superscript"/>
              </w:rPr>
              <w:t>1</w:t>
            </w:r>
          </w:p>
        </w:tc>
        <w:tc>
          <w:tcPr>
            <w:tcW w:w="2545" w:type="dxa"/>
            <w:tcBorders>
              <w:top w:val="single" w:sz="4" w:space="0" w:color="auto"/>
              <w:left w:val="nil"/>
              <w:bottom w:val="single" w:sz="4" w:space="0" w:color="auto"/>
              <w:right w:val="nil"/>
            </w:tcBorders>
            <w:tcMar>
              <w:top w:w="18" w:type="dxa"/>
              <w:left w:w="421" w:type="dxa"/>
              <w:bottom w:w="0" w:type="dxa"/>
              <w:right w:w="18" w:type="dxa"/>
            </w:tcMar>
            <w:vAlign w:val="center"/>
          </w:tcPr>
          <w:p w:rsidR="008601F3" w:rsidRPr="007716CB" w:rsidRDefault="008601F3" w:rsidP="00523D95">
            <w:pPr>
              <w:pStyle w:val="TableTextLeftBold-BP410pt"/>
              <w:ind w:hanging="358"/>
              <w:rPr>
                <w:vertAlign w:val="superscript"/>
              </w:rPr>
            </w:pPr>
            <w:r w:rsidRPr="007716CB">
              <w:t xml:space="preserve">Staffing (FTE) </w:t>
            </w:r>
          </w:p>
        </w:tc>
        <w:tc>
          <w:tcPr>
            <w:tcW w:w="1639" w:type="dxa"/>
            <w:tcBorders>
              <w:top w:val="single" w:sz="4" w:space="0" w:color="auto"/>
              <w:left w:val="nil"/>
              <w:bottom w:val="single" w:sz="4" w:space="0" w:color="auto"/>
              <w:right w:val="nil"/>
            </w:tcBorders>
            <w:shd w:val="clear" w:color="auto" w:fill="auto"/>
            <w:vAlign w:val="center"/>
          </w:tcPr>
          <w:p w:rsidR="008601F3" w:rsidRPr="00526E92" w:rsidRDefault="008601F3" w:rsidP="00523D95">
            <w:pPr>
              <w:pStyle w:val="TableTextRight-BP410pt"/>
            </w:pPr>
            <w:r w:rsidRPr="00D92DF2">
              <w:t>1,728</w:t>
            </w:r>
            <w:r w:rsidRPr="00526E92">
              <w:rPr>
                <w:vertAlign w:val="superscript"/>
              </w:rPr>
              <w:t>2</w:t>
            </w:r>
          </w:p>
        </w:tc>
        <w:tc>
          <w:tcPr>
            <w:tcW w:w="1639" w:type="dxa"/>
            <w:tcBorders>
              <w:top w:val="single" w:sz="4" w:space="0" w:color="auto"/>
              <w:left w:val="nil"/>
              <w:bottom w:val="single" w:sz="4" w:space="0" w:color="auto"/>
              <w:right w:val="nil"/>
            </w:tcBorders>
            <w:shd w:val="clear" w:color="auto" w:fill="auto"/>
            <w:vAlign w:val="center"/>
          </w:tcPr>
          <w:p w:rsidR="008601F3" w:rsidRPr="007716CB" w:rsidRDefault="00CD4283" w:rsidP="00523D95">
            <w:pPr>
              <w:pStyle w:val="TableTextRight-BP410pt"/>
            </w:pPr>
            <w:r>
              <w:t>1</w:t>
            </w:r>
            <w:r w:rsidR="00AB4BB0">
              <w:t>,</w:t>
            </w:r>
            <w:r>
              <w:t>762</w:t>
            </w:r>
            <w:r w:rsidR="008A7E03" w:rsidRPr="008A7E03">
              <w:rPr>
                <w:vertAlign w:val="superscript"/>
              </w:rPr>
              <w:t>3</w:t>
            </w:r>
          </w:p>
        </w:tc>
        <w:tc>
          <w:tcPr>
            <w:tcW w:w="1639" w:type="dxa"/>
            <w:tcBorders>
              <w:top w:val="single" w:sz="4" w:space="0" w:color="auto"/>
              <w:left w:val="nil"/>
              <w:bottom w:val="single" w:sz="4" w:space="0" w:color="auto"/>
              <w:right w:val="nil"/>
            </w:tcBorders>
            <w:shd w:val="clear" w:color="auto" w:fill="auto"/>
            <w:noWrap/>
            <w:tcMar>
              <w:top w:w="18" w:type="dxa"/>
              <w:left w:w="18" w:type="dxa"/>
              <w:bottom w:w="0" w:type="dxa"/>
              <w:right w:w="18" w:type="dxa"/>
            </w:tcMar>
            <w:vAlign w:val="center"/>
          </w:tcPr>
          <w:p w:rsidR="008601F3" w:rsidRPr="004A60D9" w:rsidRDefault="008A7E03" w:rsidP="00523D95">
            <w:pPr>
              <w:pStyle w:val="TableTextRight-BP410pt"/>
            </w:pPr>
            <w:r w:rsidRPr="008A7E03">
              <w:t>1,790</w:t>
            </w:r>
            <w:r w:rsidR="008601F3" w:rsidRPr="008A7E03">
              <w:rPr>
                <w:vertAlign w:val="superscript"/>
              </w:rPr>
              <w:t>4</w:t>
            </w:r>
          </w:p>
        </w:tc>
      </w:tr>
    </w:tbl>
    <w:p w:rsidR="008601F3" w:rsidRPr="00FB46C0" w:rsidRDefault="008601F3" w:rsidP="008601F3">
      <w:pPr>
        <w:pStyle w:val="NoteHeading0"/>
      </w:pPr>
      <w:r w:rsidRPr="00FB46C0">
        <w:t>Notes:</w:t>
      </w:r>
    </w:p>
    <w:p w:rsidR="008601F3" w:rsidRPr="00CD4283" w:rsidRDefault="008601F3" w:rsidP="008601F3">
      <w:pPr>
        <w:pStyle w:val="AINotes"/>
      </w:pPr>
      <w:r w:rsidRPr="00CD4283">
        <w:t>The 2011-12 actual outcome of 1,710 FTE differs from the FTE disclosed in the Justice and Community Safety Directorate’s 2011</w:t>
      </w:r>
      <w:r w:rsidR="00293816">
        <w:noBreakHyphen/>
      </w:r>
      <w:r w:rsidRPr="00CD4283">
        <w:t>12</w:t>
      </w:r>
      <w:r w:rsidR="00293816">
        <w:t> </w:t>
      </w:r>
      <w:r w:rsidRPr="00CD4283">
        <w:t>Annual Report (1,748) as it excludes the Public Trustee for the ACT (38 FTE).</w:t>
      </w:r>
    </w:p>
    <w:p w:rsidR="008601F3" w:rsidRPr="00CD4283" w:rsidRDefault="008601F3" w:rsidP="008601F3">
      <w:pPr>
        <w:pStyle w:val="AINotes"/>
      </w:pPr>
      <w:r w:rsidRPr="00CD4283">
        <w:t xml:space="preserve">The increase of 18 FTE in the 2012-13 </w:t>
      </w:r>
      <w:proofErr w:type="gramStart"/>
      <w:r w:rsidRPr="00CD4283">
        <w:t>Budget</w:t>
      </w:r>
      <w:proofErr w:type="gramEnd"/>
      <w:r w:rsidRPr="00CD4283">
        <w:t xml:space="preserve"> from the 2011-12 actual outcome mainly reflects </w:t>
      </w:r>
      <w:r w:rsidR="0076104C">
        <w:t xml:space="preserve">the net increase </w:t>
      </w:r>
      <w:r w:rsidRPr="00CD4283">
        <w:t>associated with</w:t>
      </w:r>
      <w:r w:rsidR="0076104C">
        <w:t xml:space="preserve"> the</w:t>
      </w:r>
      <w:r w:rsidRPr="00CD4283">
        <w:t xml:space="preserve"> 2012-13 Budget</w:t>
      </w:r>
      <w:r w:rsidR="008A7E03">
        <w:t xml:space="preserve"> initiatives</w:t>
      </w:r>
      <w:r w:rsidRPr="00CD4283">
        <w:t>.</w:t>
      </w:r>
    </w:p>
    <w:p w:rsidR="008601F3" w:rsidRPr="008A7E03" w:rsidRDefault="008601F3" w:rsidP="008601F3">
      <w:pPr>
        <w:pStyle w:val="AINotes"/>
      </w:pPr>
      <w:r w:rsidRPr="0052529E">
        <w:t xml:space="preserve">The increase of </w:t>
      </w:r>
      <w:r w:rsidR="009B20C5" w:rsidRPr="0052529E">
        <w:t xml:space="preserve">34 </w:t>
      </w:r>
      <w:r w:rsidRPr="0052529E">
        <w:t xml:space="preserve">FTE in the 2012-13 estimated outcome from the original Budget </w:t>
      </w:r>
      <w:r w:rsidR="00984A17">
        <w:t xml:space="preserve">includes </w:t>
      </w:r>
      <w:r w:rsidRPr="0052529E">
        <w:t>additional resources associated with the Board of Inquiry into the conviction of Mr Eastman (</w:t>
      </w:r>
      <w:r w:rsidR="0052529E" w:rsidRPr="0052529E">
        <w:t xml:space="preserve">4 </w:t>
      </w:r>
      <w:r w:rsidRPr="0052529E">
        <w:t>FTE), additional Supreme Court judicial resources (</w:t>
      </w:r>
      <w:r w:rsidR="0052529E" w:rsidRPr="0052529E">
        <w:t>6</w:t>
      </w:r>
      <w:r w:rsidRPr="0052529E">
        <w:t xml:space="preserve"> FTE)</w:t>
      </w:r>
      <w:r w:rsidR="00413457">
        <w:t>,</w:t>
      </w:r>
      <w:r w:rsidRPr="0052529E">
        <w:t xml:space="preserve"> the </w:t>
      </w:r>
      <w:r w:rsidR="00984A17" w:rsidRPr="008A7E03">
        <w:t>implementation of</w:t>
      </w:r>
      <w:r w:rsidRPr="008A7E03">
        <w:t xml:space="preserve"> the 2012-13 ACT Ambulance Service Sustainable Front Line Resourcing Stage 2 initiative (8 FTE)</w:t>
      </w:r>
      <w:r w:rsidR="008A7E03" w:rsidRPr="008A7E03">
        <w:t xml:space="preserve"> and additional resources funded through Commonwealth and own sourced revenue</w:t>
      </w:r>
      <w:r w:rsidRPr="008A7E03">
        <w:t>.</w:t>
      </w:r>
    </w:p>
    <w:p w:rsidR="008601F3" w:rsidRPr="008A7E03" w:rsidRDefault="008601F3" w:rsidP="008601F3">
      <w:pPr>
        <w:pStyle w:val="AINotes"/>
      </w:pPr>
      <w:r w:rsidRPr="008A7E03">
        <w:t xml:space="preserve">The increase of </w:t>
      </w:r>
      <w:r w:rsidR="008A7E03" w:rsidRPr="008A7E03">
        <w:t xml:space="preserve">28 </w:t>
      </w:r>
      <w:r w:rsidRPr="008A7E03">
        <w:t xml:space="preserve">FTE in the 2013-14 </w:t>
      </w:r>
      <w:proofErr w:type="gramStart"/>
      <w:r w:rsidRPr="008A7E03">
        <w:t>Budget</w:t>
      </w:r>
      <w:proofErr w:type="gramEnd"/>
      <w:r w:rsidRPr="008A7E03">
        <w:t xml:space="preserve"> from the 2012-13 estimated outcome mainly reflects </w:t>
      </w:r>
      <w:r w:rsidR="008A7E03" w:rsidRPr="008A7E03">
        <w:t>increased staffing resources associated with the</w:t>
      </w:r>
      <w:r w:rsidRPr="008A7E03">
        <w:t xml:space="preserve"> 2013-14 Budget.</w:t>
      </w:r>
    </w:p>
    <w:bookmarkEnd w:id="0"/>
    <w:bookmarkEnd w:id="1"/>
    <w:p w:rsidR="00C93B9A" w:rsidRDefault="00C93B9A">
      <w:pPr>
        <w:rPr>
          <w:rFonts w:ascii="Arial" w:hAnsi="Arial" w:cs="Arial"/>
          <w:b/>
          <w:bCs/>
          <w:szCs w:val="26"/>
        </w:rPr>
      </w:pPr>
      <w:r>
        <w:br w:type="page"/>
      </w:r>
    </w:p>
    <w:p w:rsidR="008601F3" w:rsidRDefault="008601F3" w:rsidP="008601F3">
      <w:pPr>
        <w:pStyle w:val="Heading3"/>
      </w:pPr>
      <w:r>
        <w:lastRenderedPageBreak/>
        <w:t>Strategic Objectives and Indicators</w:t>
      </w:r>
    </w:p>
    <w:p w:rsidR="008601F3" w:rsidRPr="00FB46C0" w:rsidRDefault="008601F3" w:rsidP="008601F3">
      <w:pPr>
        <w:pStyle w:val="SIHeading1"/>
      </w:pPr>
      <w:r w:rsidRPr="00FB46C0">
        <w:t>Strategic Objective 1</w:t>
      </w:r>
    </w:p>
    <w:p w:rsidR="008601F3" w:rsidRPr="00FB46C0" w:rsidRDefault="008601F3" w:rsidP="008601F3">
      <w:pPr>
        <w:pStyle w:val="SIHeading2"/>
      </w:pPr>
      <w:r w:rsidRPr="00FB46C0">
        <w:t>Accessible Justice System</w:t>
      </w:r>
    </w:p>
    <w:p w:rsidR="008601F3" w:rsidRPr="00FB46C0" w:rsidRDefault="008601F3" w:rsidP="008601F3">
      <w:pPr>
        <w:pStyle w:val="BodyText"/>
      </w:pPr>
      <w:r w:rsidRPr="00FB46C0">
        <w:t>The ACT justice system seeks to ensure fairness to all persons involved.  A fair justice system is accessible, deals with matters in a reasonably expeditious manner and is one in which all persons involved conduct themselves in a way that promotes, protects and respects rights.</w:t>
      </w:r>
    </w:p>
    <w:p w:rsidR="008601F3" w:rsidRPr="00FB46C0" w:rsidRDefault="008601F3" w:rsidP="008601F3">
      <w:pPr>
        <w:pStyle w:val="SIHeading1"/>
        <w:jc w:val="left"/>
      </w:pPr>
      <w:r>
        <w:t xml:space="preserve">Strategic Indicator 1:  </w:t>
      </w:r>
      <w:r w:rsidRPr="00FB46C0">
        <w:rPr>
          <w:b w:val="0"/>
        </w:rPr>
        <w:t xml:space="preserve">Justice System </w:t>
      </w:r>
      <w:r>
        <w:rPr>
          <w:b w:val="0"/>
        </w:rPr>
        <w:t>Completion Rates</w:t>
      </w:r>
    </w:p>
    <w:tbl>
      <w:tblPr>
        <w:tblW w:w="9100" w:type="dxa"/>
        <w:tblBorders>
          <w:top w:val="single" w:sz="4" w:space="0" w:color="auto"/>
          <w:bottom w:val="single" w:sz="4" w:space="0" w:color="auto"/>
        </w:tblBorders>
        <w:tblLayout w:type="fixed"/>
        <w:tblLook w:val="01E0"/>
      </w:tblPr>
      <w:tblGrid>
        <w:gridCol w:w="1753"/>
        <w:gridCol w:w="2721"/>
        <w:gridCol w:w="1542"/>
        <w:gridCol w:w="1542"/>
        <w:gridCol w:w="1542"/>
      </w:tblGrid>
      <w:tr w:rsidR="008601F3" w:rsidRPr="00FB46C0" w:rsidTr="000524C0">
        <w:tc>
          <w:tcPr>
            <w:tcW w:w="1814" w:type="dxa"/>
            <w:tcBorders>
              <w:top w:val="single" w:sz="4" w:space="0" w:color="auto"/>
              <w:bottom w:val="single" w:sz="4" w:space="0" w:color="auto"/>
            </w:tcBorders>
          </w:tcPr>
          <w:p w:rsidR="008601F3" w:rsidRPr="00FB46C0" w:rsidRDefault="008601F3" w:rsidP="003D031A">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19"/>
                <w:szCs w:val="19"/>
              </w:rPr>
            </w:pPr>
            <w:r w:rsidRPr="00FB46C0">
              <w:rPr>
                <w:rFonts w:cs="Calibri"/>
                <w:sz w:val="19"/>
                <w:szCs w:val="19"/>
              </w:rPr>
              <w:t>Success</w:t>
            </w:r>
          </w:p>
        </w:tc>
        <w:tc>
          <w:tcPr>
            <w:tcW w:w="2819" w:type="dxa"/>
            <w:tcBorders>
              <w:top w:val="single" w:sz="4" w:space="0" w:color="auto"/>
              <w:bottom w:val="single" w:sz="4" w:space="0" w:color="auto"/>
            </w:tcBorders>
          </w:tcPr>
          <w:p w:rsidR="008601F3" w:rsidRPr="00FB46C0" w:rsidRDefault="008601F3" w:rsidP="003D031A">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19"/>
                <w:szCs w:val="19"/>
              </w:rPr>
            </w:pPr>
            <w:r w:rsidRPr="00FB46C0">
              <w:rPr>
                <w:rFonts w:cs="Calibri"/>
                <w:sz w:val="19"/>
                <w:szCs w:val="19"/>
              </w:rPr>
              <w:t xml:space="preserve">Strategic Indicator </w:t>
            </w:r>
          </w:p>
        </w:tc>
        <w:tc>
          <w:tcPr>
            <w:tcW w:w="1593" w:type="dxa"/>
            <w:tcBorders>
              <w:top w:val="single" w:sz="4" w:space="0" w:color="auto"/>
              <w:bottom w:val="single" w:sz="4" w:space="0" w:color="auto"/>
            </w:tcBorders>
          </w:tcPr>
          <w:p w:rsidR="008601F3" w:rsidRPr="00FB46C0" w:rsidRDefault="008601F3" w:rsidP="003D031A">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Pr>
                <w:rFonts w:cs="Calibri"/>
                <w:sz w:val="19"/>
                <w:szCs w:val="19"/>
              </w:rPr>
              <w:t>2012-13</w:t>
            </w:r>
          </w:p>
          <w:p w:rsidR="008601F3" w:rsidRPr="00FB46C0" w:rsidRDefault="008601F3" w:rsidP="003D031A">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sidRPr="00FB46C0">
              <w:rPr>
                <w:rFonts w:cs="Calibri"/>
                <w:sz w:val="19"/>
                <w:szCs w:val="19"/>
              </w:rPr>
              <w:t>Target</w:t>
            </w:r>
          </w:p>
        </w:tc>
        <w:tc>
          <w:tcPr>
            <w:tcW w:w="1593" w:type="dxa"/>
            <w:tcBorders>
              <w:top w:val="single" w:sz="4" w:space="0" w:color="auto"/>
              <w:bottom w:val="single" w:sz="4" w:space="0" w:color="auto"/>
            </w:tcBorders>
          </w:tcPr>
          <w:p w:rsidR="008601F3" w:rsidRPr="00FB46C0" w:rsidRDefault="008601F3" w:rsidP="003D031A">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Pr>
                <w:rFonts w:cs="Calibri"/>
                <w:sz w:val="19"/>
                <w:szCs w:val="19"/>
              </w:rPr>
              <w:t>2012-13</w:t>
            </w:r>
          </w:p>
          <w:p w:rsidR="008601F3" w:rsidRPr="00FB46C0" w:rsidRDefault="008601F3" w:rsidP="003D031A">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sidRPr="00FB46C0">
              <w:rPr>
                <w:rFonts w:cs="Calibri"/>
                <w:sz w:val="19"/>
                <w:szCs w:val="19"/>
              </w:rPr>
              <w:t>Est. Outcome</w:t>
            </w:r>
          </w:p>
        </w:tc>
        <w:tc>
          <w:tcPr>
            <w:tcW w:w="1593" w:type="dxa"/>
            <w:tcBorders>
              <w:top w:val="single" w:sz="4" w:space="0" w:color="auto"/>
              <w:bottom w:val="single" w:sz="4" w:space="0" w:color="auto"/>
            </w:tcBorders>
          </w:tcPr>
          <w:p w:rsidR="008601F3" w:rsidRPr="00FB46C0" w:rsidRDefault="008601F3" w:rsidP="003D031A">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Pr>
                <w:rFonts w:cs="Calibri"/>
                <w:sz w:val="19"/>
                <w:szCs w:val="19"/>
              </w:rPr>
              <w:t>2013-14</w:t>
            </w:r>
          </w:p>
          <w:p w:rsidR="008601F3" w:rsidRPr="00FB46C0" w:rsidRDefault="008601F3" w:rsidP="003D031A">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sidRPr="00FB46C0">
              <w:rPr>
                <w:rFonts w:cs="Calibri"/>
                <w:sz w:val="19"/>
                <w:szCs w:val="19"/>
              </w:rPr>
              <w:t>Target</w:t>
            </w:r>
          </w:p>
        </w:tc>
      </w:tr>
      <w:tr w:rsidR="008601F3" w:rsidRPr="00FB46C0" w:rsidTr="000524C0">
        <w:trPr>
          <w:trHeight w:hRule="exact" w:val="454"/>
        </w:trPr>
        <w:tc>
          <w:tcPr>
            <w:tcW w:w="1814" w:type="dxa"/>
            <w:vMerge w:val="restart"/>
            <w:tcBorders>
              <w:top w:val="single" w:sz="4" w:space="0" w:color="auto"/>
            </w:tcBorders>
          </w:tcPr>
          <w:p w:rsidR="008601F3" w:rsidRPr="00C93B9A" w:rsidRDefault="008601F3" w:rsidP="00C93B9A">
            <w:pPr>
              <w:pStyle w:val="TableText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cs="Calibri"/>
                <w:sz w:val="18"/>
              </w:rPr>
            </w:pPr>
            <w:r w:rsidRPr="00C93B9A">
              <w:rPr>
                <w:rFonts w:cs="Calibri"/>
                <w:sz w:val="18"/>
              </w:rPr>
              <w:t>Timely completion of civil cases in the courts</w:t>
            </w:r>
          </w:p>
        </w:tc>
        <w:tc>
          <w:tcPr>
            <w:tcW w:w="1593" w:type="dxa"/>
            <w:gridSpan w:val="4"/>
            <w:tcBorders>
              <w:top w:val="single" w:sz="4" w:space="0" w:color="auto"/>
            </w:tcBorders>
          </w:tcPr>
          <w:p w:rsidR="008601F3" w:rsidRPr="00C93B9A" w:rsidRDefault="008601F3" w:rsidP="00C93B9A">
            <w:pPr>
              <w:pStyle w:val="TableTextNumbers"/>
              <w:spacing w:before="0" w:after="0"/>
              <w:jc w:val="left"/>
              <w:rPr>
                <w:rFonts w:cs="Calibri"/>
              </w:rPr>
            </w:pPr>
            <w:r w:rsidRPr="00C93B9A">
              <w:rPr>
                <w:rFonts w:cs="Calibri"/>
              </w:rPr>
              <w:t xml:space="preserve">Average number of days to finalise </w:t>
            </w:r>
          </w:p>
          <w:p w:rsidR="008601F3" w:rsidRPr="00C93B9A" w:rsidRDefault="008601F3" w:rsidP="00C93B9A">
            <w:pPr>
              <w:pStyle w:val="TableTextNumbers"/>
              <w:spacing w:before="0" w:after="0"/>
              <w:jc w:val="left"/>
              <w:rPr>
                <w:rFonts w:cs="Calibri"/>
              </w:rPr>
            </w:pPr>
            <w:r w:rsidRPr="00C93B9A">
              <w:rPr>
                <w:rFonts w:cs="Calibri"/>
              </w:rPr>
              <w:t>civil cases from time of lodgement</w:t>
            </w:r>
          </w:p>
        </w:tc>
      </w:tr>
      <w:tr w:rsidR="008601F3" w:rsidRPr="00FB46C0" w:rsidTr="000524C0">
        <w:trPr>
          <w:trHeight w:val="148"/>
        </w:trPr>
        <w:tc>
          <w:tcPr>
            <w:tcW w:w="1814" w:type="dxa"/>
            <w:vMerge/>
            <w:vAlign w:val="center"/>
          </w:tcPr>
          <w:p w:rsidR="008601F3" w:rsidRPr="00C93B9A" w:rsidRDefault="008601F3" w:rsidP="00C93B9A">
            <w:pPr>
              <w:pStyle w:val="BodyText"/>
              <w:keepNext w:val="0"/>
              <w:keepLines w:val="0"/>
              <w:spacing w:before="0" w:after="0"/>
              <w:jc w:val="left"/>
              <w:rPr>
                <w:rFonts w:cs="Calibri"/>
                <w:sz w:val="18"/>
                <w:szCs w:val="18"/>
              </w:rPr>
            </w:pPr>
          </w:p>
        </w:tc>
        <w:tc>
          <w:tcPr>
            <w:tcW w:w="2819" w:type="dxa"/>
          </w:tcPr>
          <w:p w:rsidR="008601F3" w:rsidRPr="00C93B9A" w:rsidRDefault="008601F3" w:rsidP="00402708">
            <w:pPr>
              <w:pStyle w:val="BodyTextIndent"/>
              <w:tabs>
                <w:tab w:val="clear" w:pos="360"/>
                <w:tab w:val="left" w:pos="284"/>
              </w:tabs>
              <w:spacing w:after="0"/>
              <w:ind w:left="284" w:hanging="284"/>
              <w:rPr>
                <w:rFonts w:cs="Calibri"/>
                <w:sz w:val="18"/>
                <w:szCs w:val="18"/>
              </w:rPr>
            </w:pPr>
            <w:bookmarkStart w:id="2" w:name="OLE_LINK2"/>
            <w:bookmarkStart w:id="3" w:name="OLE_LINK5"/>
            <w:r w:rsidRPr="00C93B9A">
              <w:rPr>
                <w:rFonts w:cs="Calibri"/>
                <w:sz w:val="18"/>
                <w:szCs w:val="18"/>
              </w:rPr>
              <w:t>Magistrates Court</w:t>
            </w:r>
            <w:r w:rsidR="001C579C" w:rsidRPr="00C93B9A">
              <w:rPr>
                <w:rFonts w:cs="Calibri"/>
                <w:sz w:val="18"/>
                <w:szCs w:val="18"/>
                <w:vertAlign w:val="superscript"/>
              </w:rPr>
              <w:t>1</w:t>
            </w:r>
            <w:bookmarkEnd w:id="2"/>
            <w:bookmarkEnd w:id="3"/>
          </w:p>
        </w:tc>
        <w:tc>
          <w:tcPr>
            <w:tcW w:w="1593" w:type="dxa"/>
          </w:tcPr>
          <w:p w:rsidR="008601F3" w:rsidRPr="00C93B9A" w:rsidRDefault="008601F3" w:rsidP="00C93B9A">
            <w:pPr>
              <w:pStyle w:val="TableTextNumbers"/>
              <w:keepNext/>
              <w:keepLines/>
              <w:spacing w:before="0" w:after="0"/>
              <w:ind w:left="357" w:hanging="357"/>
              <w:rPr>
                <w:rFonts w:cs="Calibri"/>
              </w:rPr>
            </w:pPr>
            <w:r w:rsidRPr="00C93B9A">
              <w:rPr>
                <w:rFonts w:cs="Calibri"/>
              </w:rPr>
              <w:t>80</w:t>
            </w:r>
          </w:p>
        </w:tc>
        <w:tc>
          <w:tcPr>
            <w:tcW w:w="1593" w:type="dxa"/>
          </w:tcPr>
          <w:p w:rsidR="008601F3" w:rsidRPr="00C93B9A" w:rsidRDefault="008601F3" w:rsidP="00C93B9A">
            <w:pPr>
              <w:pStyle w:val="TableTextNumbers"/>
              <w:keepNext/>
              <w:keepLines/>
              <w:spacing w:before="0" w:after="0"/>
              <w:ind w:left="357" w:hanging="357"/>
              <w:rPr>
                <w:rFonts w:cs="Calibri"/>
              </w:rPr>
            </w:pPr>
            <w:r w:rsidRPr="00C93B9A">
              <w:rPr>
                <w:rFonts w:cs="Calibri"/>
              </w:rPr>
              <w:t>48</w:t>
            </w:r>
          </w:p>
        </w:tc>
        <w:tc>
          <w:tcPr>
            <w:tcW w:w="1593" w:type="dxa"/>
          </w:tcPr>
          <w:p w:rsidR="008601F3" w:rsidRPr="00C93B9A" w:rsidRDefault="008601F3" w:rsidP="00C93B9A">
            <w:pPr>
              <w:pStyle w:val="TableTextNumbers"/>
              <w:keepNext/>
              <w:keepLines/>
              <w:spacing w:before="0" w:after="0"/>
              <w:ind w:left="357" w:hanging="357"/>
              <w:rPr>
                <w:rFonts w:cs="Calibri"/>
              </w:rPr>
            </w:pPr>
            <w:r w:rsidRPr="00C93B9A">
              <w:rPr>
                <w:rFonts w:cs="Calibri"/>
              </w:rPr>
              <w:t>60</w:t>
            </w:r>
          </w:p>
        </w:tc>
      </w:tr>
      <w:tr w:rsidR="008601F3" w:rsidRPr="00FB46C0" w:rsidTr="000524C0">
        <w:trPr>
          <w:trHeight w:val="153"/>
        </w:trPr>
        <w:tc>
          <w:tcPr>
            <w:tcW w:w="1814" w:type="dxa"/>
            <w:vMerge/>
            <w:vAlign w:val="center"/>
          </w:tcPr>
          <w:p w:rsidR="008601F3" w:rsidRPr="00C93B9A" w:rsidRDefault="008601F3" w:rsidP="00C93B9A">
            <w:pPr>
              <w:pStyle w:val="BodyText"/>
              <w:keepNext w:val="0"/>
              <w:keepLines w:val="0"/>
              <w:spacing w:before="0" w:after="0"/>
              <w:jc w:val="left"/>
              <w:rPr>
                <w:rFonts w:cs="Calibri"/>
                <w:sz w:val="18"/>
                <w:szCs w:val="18"/>
              </w:rPr>
            </w:pPr>
          </w:p>
        </w:tc>
        <w:tc>
          <w:tcPr>
            <w:tcW w:w="2819" w:type="dxa"/>
          </w:tcPr>
          <w:p w:rsidR="008601F3" w:rsidRPr="00C93B9A" w:rsidRDefault="008601F3" w:rsidP="00C93B9A">
            <w:pPr>
              <w:pStyle w:val="BodyTextIndent"/>
              <w:tabs>
                <w:tab w:val="clear" w:pos="360"/>
                <w:tab w:val="left" w:pos="284"/>
              </w:tabs>
              <w:spacing w:after="0"/>
              <w:ind w:left="284" w:hanging="284"/>
              <w:rPr>
                <w:rFonts w:cs="Calibri"/>
                <w:sz w:val="18"/>
                <w:szCs w:val="18"/>
              </w:rPr>
            </w:pPr>
            <w:r w:rsidRPr="00C93B9A">
              <w:rPr>
                <w:rFonts w:cs="Calibri"/>
                <w:sz w:val="18"/>
                <w:szCs w:val="18"/>
              </w:rPr>
              <w:t>Supreme Court</w:t>
            </w:r>
            <w:r w:rsidR="001C579C" w:rsidRPr="00C93B9A">
              <w:rPr>
                <w:rFonts w:cs="Calibri"/>
                <w:sz w:val="18"/>
                <w:szCs w:val="18"/>
                <w:vertAlign w:val="superscript"/>
              </w:rPr>
              <w:t>2</w:t>
            </w:r>
          </w:p>
        </w:tc>
        <w:tc>
          <w:tcPr>
            <w:tcW w:w="1593" w:type="dxa"/>
          </w:tcPr>
          <w:p w:rsidR="008601F3" w:rsidRPr="00C93B9A" w:rsidRDefault="008601F3" w:rsidP="00C93B9A">
            <w:pPr>
              <w:pStyle w:val="TableTextNumbers"/>
              <w:keepNext/>
              <w:keepLines/>
              <w:spacing w:before="0" w:after="0"/>
              <w:ind w:left="357" w:hanging="357"/>
              <w:rPr>
                <w:rFonts w:cs="Calibri"/>
              </w:rPr>
            </w:pPr>
            <w:r w:rsidRPr="00C93B9A">
              <w:rPr>
                <w:rFonts w:cs="Calibri"/>
              </w:rPr>
              <w:t>550</w:t>
            </w:r>
          </w:p>
        </w:tc>
        <w:tc>
          <w:tcPr>
            <w:tcW w:w="1593" w:type="dxa"/>
          </w:tcPr>
          <w:p w:rsidR="008601F3" w:rsidRPr="00C93B9A" w:rsidRDefault="008601F3" w:rsidP="00C93B9A">
            <w:pPr>
              <w:pStyle w:val="TableTextNumbers"/>
              <w:keepNext/>
              <w:keepLines/>
              <w:spacing w:before="0" w:after="0"/>
              <w:ind w:left="357" w:hanging="357"/>
              <w:rPr>
                <w:rFonts w:cs="Calibri"/>
              </w:rPr>
            </w:pPr>
            <w:r w:rsidRPr="00C93B9A">
              <w:rPr>
                <w:rFonts w:cs="Calibri"/>
              </w:rPr>
              <w:t>617</w:t>
            </w:r>
          </w:p>
        </w:tc>
        <w:tc>
          <w:tcPr>
            <w:tcW w:w="1593" w:type="dxa"/>
            <w:shd w:val="clear" w:color="auto" w:fill="auto"/>
          </w:tcPr>
          <w:p w:rsidR="008601F3" w:rsidRPr="00C93B9A" w:rsidRDefault="008601F3" w:rsidP="00C93B9A">
            <w:pPr>
              <w:pStyle w:val="TableTextNumbers"/>
              <w:keepNext/>
              <w:keepLines/>
              <w:spacing w:before="0" w:after="0"/>
              <w:ind w:left="357" w:hanging="357"/>
              <w:rPr>
                <w:rFonts w:cs="Calibri"/>
              </w:rPr>
            </w:pPr>
            <w:r w:rsidRPr="00C93B9A">
              <w:rPr>
                <w:rFonts w:cs="Calibri"/>
              </w:rPr>
              <w:t>550</w:t>
            </w:r>
          </w:p>
        </w:tc>
      </w:tr>
      <w:tr w:rsidR="00C93B9A" w:rsidRPr="00FB46C0" w:rsidTr="000524C0">
        <w:trPr>
          <w:trHeight w:hRule="exact" w:val="57"/>
        </w:trPr>
        <w:tc>
          <w:tcPr>
            <w:tcW w:w="1814" w:type="dxa"/>
            <w:vMerge/>
            <w:vAlign w:val="center"/>
          </w:tcPr>
          <w:p w:rsidR="00C93B9A" w:rsidRPr="00C93B9A" w:rsidRDefault="00C93B9A" w:rsidP="00C93B9A">
            <w:pPr>
              <w:pStyle w:val="BodyText"/>
              <w:keepNext w:val="0"/>
              <w:keepLines w:val="0"/>
              <w:spacing w:before="0" w:after="0"/>
              <w:jc w:val="left"/>
              <w:rPr>
                <w:rFonts w:cs="Calibri"/>
                <w:sz w:val="18"/>
                <w:szCs w:val="18"/>
              </w:rPr>
            </w:pPr>
          </w:p>
        </w:tc>
        <w:tc>
          <w:tcPr>
            <w:tcW w:w="1593" w:type="dxa"/>
            <w:gridSpan w:val="4"/>
          </w:tcPr>
          <w:p w:rsidR="00C93B9A" w:rsidRPr="00C93B9A" w:rsidRDefault="00C93B9A" w:rsidP="00C93B9A">
            <w:pPr>
              <w:pStyle w:val="TableTextNumbers"/>
              <w:spacing w:before="0" w:after="0"/>
              <w:jc w:val="left"/>
              <w:rPr>
                <w:rFonts w:cs="Calibri"/>
              </w:rPr>
            </w:pPr>
          </w:p>
        </w:tc>
      </w:tr>
      <w:tr w:rsidR="008601F3" w:rsidRPr="00FB46C0" w:rsidTr="000524C0">
        <w:tc>
          <w:tcPr>
            <w:tcW w:w="1814" w:type="dxa"/>
            <w:vMerge/>
            <w:vAlign w:val="center"/>
          </w:tcPr>
          <w:p w:rsidR="008601F3" w:rsidRPr="00C93B9A" w:rsidRDefault="008601F3" w:rsidP="00C93B9A">
            <w:pPr>
              <w:pStyle w:val="BodyText"/>
              <w:keepNext w:val="0"/>
              <w:keepLines w:val="0"/>
              <w:spacing w:before="0" w:after="0"/>
              <w:jc w:val="left"/>
              <w:rPr>
                <w:rFonts w:cs="Calibri"/>
                <w:sz w:val="18"/>
                <w:szCs w:val="18"/>
              </w:rPr>
            </w:pPr>
          </w:p>
        </w:tc>
        <w:tc>
          <w:tcPr>
            <w:tcW w:w="1593" w:type="dxa"/>
            <w:gridSpan w:val="4"/>
          </w:tcPr>
          <w:p w:rsidR="008601F3" w:rsidRPr="00C93B9A" w:rsidRDefault="008601F3" w:rsidP="00C93B9A">
            <w:pPr>
              <w:pStyle w:val="TableTextNumbers"/>
              <w:spacing w:before="0" w:after="0"/>
              <w:jc w:val="left"/>
              <w:rPr>
                <w:rFonts w:cs="Calibri"/>
              </w:rPr>
            </w:pPr>
            <w:r w:rsidRPr="00C93B9A">
              <w:rPr>
                <w:rFonts w:cs="Calibri"/>
              </w:rPr>
              <w:t>Percentage change and number of</w:t>
            </w:r>
          </w:p>
          <w:p w:rsidR="008601F3" w:rsidRPr="00C93B9A" w:rsidRDefault="008601F3" w:rsidP="00C93B9A">
            <w:pPr>
              <w:pStyle w:val="TableTextNumbers"/>
              <w:spacing w:before="0" w:after="0"/>
              <w:jc w:val="left"/>
              <w:rPr>
                <w:rFonts w:cs="Calibri"/>
              </w:rPr>
            </w:pPr>
            <w:r w:rsidRPr="00C93B9A">
              <w:rPr>
                <w:rFonts w:cs="Calibri"/>
              </w:rPr>
              <w:t>cases in the backlog of civil cases</w:t>
            </w:r>
          </w:p>
        </w:tc>
      </w:tr>
      <w:tr w:rsidR="008601F3" w:rsidRPr="004A60D9" w:rsidTr="000524C0">
        <w:tc>
          <w:tcPr>
            <w:tcW w:w="1814" w:type="dxa"/>
            <w:vMerge/>
            <w:vAlign w:val="center"/>
          </w:tcPr>
          <w:p w:rsidR="008601F3" w:rsidRPr="00C93B9A" w:rsidRDefault="008601F3" w:rsidP="00C93B9A">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142" w:hanging="142"/>
              <w:rPr>
                <w:rFonts w:cs="Calibri"/>
                <w:sz w:val="18"/>
                <w:szCs w:val="18"/>
              </w:rPr>
            </w:pPr>
          </w:p>
        </w:tc>
        <w:tc>
          <w:tcPr>
            <w:tcW w:w="2819" w:type="dxa"/>
          </w:tcPr>
          <w:p w:rsidR="008601F3" w:rsidRPr="00C93B9A" w:rsidRDefault="00144D23" w:rsidP="00653F1A">
            <w:pPr>
              <w:pStyle w:val="BodyTextIndent"/>
              <w:tabs>
                <w:tab w:val="clear" w:pos="360"/>
                <w:tab w:val="left" w:pos="284"/>
              </w:tabs>
              <w:spacing w:after="0"/>
              <w:ind w:left="284" w:hanging="284"/>
              <w:jc w:val="left"/>
              <w:rPr>
                <w:rFonts w:cs="Calibri"/>
                <w:sz w:val="18"/>
                <w:szCs w:val="18"/>
              </w:rPr>
            </w:pPr>
            <w:r w:rsidRPr="00C93B9A">
              <w:rPr>
                <w:rFonts w:cs="Calibri"/>
                <w:sz w:val="18"/>
                <w:szCs w:val="18"/>
              </w:rPr>
              <w:t>Magistrates Court &gt;12 </w:t>
            </w:r>
            <w:r w:rsidR="008601F3" w:rsidRPr="00C93B9A">
              <w:rPr>
                <w:rFonts w:cs="Calibri"/>
                <w:sz w:val="18"/>
                <w:szCs w:val="18"/>
              </w:rPr>
              <w:t>mths</w:t>
            </w:r>
            <w:r w:rsidR="001C579C" w:rsidRPr="00C93B9A">
              <w:rPr>
                <w:rFonts w:cs="Calibri"/>
                <w:sz w:val="18"/>
                <w:szCs w:val="18"/>
                <w:vertAlign w:val="superscript"/>
              </w:rPr>
              <w:t>3</w:t>
            </w:r>
            <w:r w:rsidR="00DC0FED" w:rsidRPr="00C93B9A">
              <w:rPr>
                <w:rFonts w:cs="Calibri"/>
                <w:sz w:val="18"/>
                <w:szCs w:val="18"/>
                <w:vertAlign w:val="superscript"/>
              </w:rPr>
              <w:t>,4</w:t>
            </w:r>
          </w:p>
        </w:tc>
        <w:tc>
          <w:tcPr>
            <w:tcW w:w="1593" w:type="dxa"/>
          </w:tcPr>
          <w:p w:rsidR="008601F3" w:rsidRPr="00C93B9A" w:rsidRDefault="00795467" w:rsidP="00C93B9A">
            <w:pPr>
              <w:pStyle w:val="TableTextNumbers"/>
              <w:spacing w:before="0" w:after="0"/>
              <w:rPr>
                <w:rFonts w:cs="Calibri"/>
              </w:rPr>
            </w:pPr>
            <w:r>
              <w:rPr>
                <w:rFonts w:cs="Calibri"/>
              </w:rPr>
              <w:t>-</w:t>
            </w:r>
            <w:r w:rsidR="008601F3" w:rsidRPr="00C93B9A">
              <w:rPr>
                <w:rFonts w:cs="Calibri"/>
              </w:rPr>
              <w:t>15.9%</w:t>
            </w:r>
            <w:r w:rsidR="00144D23" w:rsidRPr="00C93B9A">
              <w:rPr>
                <w:rFonts w:cs="Calibri"/>
              </w:rPr>
              <w:t> </w:t>
            </w:r>
            <w:r w:rsidR="008601F3" w:rsidRPr="00C93B9A">
              <w:rPr>
                <w:rFonts w:cs="Calibri"/>
              </w:rPr>
              <w:t>(</w:t>
            </w:r>
            <w:r w:rsidR="00144D23" w:rsidRPr="00C93B9A">
              <w:rPr>
                <w:rFonts w:cs="Calibri"/>
              </w:rPr>
              <w:t>90 </w:t>
            </w:r>
            <w:r w:rsidR="008601F3" w:rsidRPr="00C93B9A">
              <w:rPr>
                <w:rFonts w:cs="Calibri"/>
              </w:rPr>
              <w:t>cases)</w:t>
            </w:r>
          </w:p>
        </w:tc>
        <w:tc>
          <w:tcPr>
            <w:tcW w:w="1593" w:type="dxa"/>
          </w:tcPr>
          <w:p w:rsidR="008601F3" w:rsidRPr="00C93B9A" w:rsidRDefault="008601F3" w:rsidP="00C93B9A">
            <w:pPr>
              <w:pStyle w:val="TableTextNumbers"/>
              <w:spacing w:before="0" w:after="0"/>
              <w:rPr>
                <w:rFonts w:cs="Calibri"/>
              </w:rPr>
            </w:pPr>
            <w:r w:rsidRPr="00C93B9A">
              <w:rPr>
                <w:rFonts w:cs="Calibri"/>
              </w:rPr>
              <w:t>0% (</w:t>
            </w:r>
            <w:r w:rsidR="00DC0FED" w:rsidRPr="00C93B9A">
              <w:rPr>
                <w:rFonts w:cs="Calibri"/>
              </w:rPr>
              <w:t>82</w:t>
            </w:r>
            <w:r w:rsidRPr="00C93B9A">
              <w:rPr>
                <w:rFonts w:cs="Calibri"/>
              </w:rPr>
              <w:t xml:space="preserve"> cases)</w:t>
            </w:r>
          </w:p>
        </w:tc>
        <w:tc>
          <w:tcPr>
            <w:tcW w:w="1593" w:type="dxa"/>
          </w:tcPr>
          <w:p w:rsidR="008601F3" w:rsidRPr="00C93B9A" w:rsidRDefault="00850C8B" w:rsidP="00C93B9A">
            <w:pPr>
              <w:pStyle w:val="TableTextNumbers"/>
              <w:spacing w:before="0" w:after="0"/>
              <w:rPr>
                <w:rFonts w:cs="Calibri"/>
              </w:rPr>
            </w:pPr>
            <w:r w:rsidRPr="00C93B9A">
              <w:rPr>
                <w:rFonts w:cs="Calibri"/>
              </w:rPr>
              <w:t xml:space="preserve">0% </w:t>
            </w:r>
            <w:r w:rsidR="008601F3" w:rsidRPr="00C93B9A">
              <w:rPr>
                <w:rFonts w:cs="Calibri"/>
              </w:rPr>
              <w:t>(</w:t>
            </w:r>
            <w:r w:rsidR="00DC0FED" w:rsidRPr="00C93B9A">
              <w:rPr>
                <w:rFonts w:cs="Calibri"/>
              </w:rPr>
              <w:t xml:space="preserve">82 </w:t>
            </w:r>
            <w:r w:rsidR="008601F3" w:rsidRPr="00C93B9A">
              <w:rPr>
                <w:rFonts w:cs="Calibri"/>
              </w:rPr>
              <w:t>cases)</w:t>
            </w:r>
          </w:p>
        </w:tc>
      </w:tr>
      <w:tr w:rsidR="008601F3" w:rsidRPr="004A60D9" w:rsidTr="000524C0">
        <w:tc>
          <w:tcPr>
            <w:tcW w:w="1814" w:type="dxa"/>
            <w:vMerge/>
            <w:vAlign w:val="center"/>
          </w:tcPr>
          <w:p w:rsidR="008601F3" w:rsidRPr="00C93B9A" w:rsidRDefault="008601F3" w:rsidP="00C93B9A">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142" w:hanging="142"/>
              <w:rPr>
                <w:rFonts w:cs="Calibri"/>
                <w:sz w:val="18"/>
                <w:szCs w:val="18"/>
              </w:rPr>
            </w:pPr>
          </w:p>
        </w:tc>
        <w:tc>
          <w:tcPr>
            <w:tcW w:w="2819" w:type="dxa"/>
          </w:tcPr>
          <w:p w:rsidR="008601F3" w:rsidRPr="00C93B9A" w:rsidRDefault="008601F3" w:rsidP="00C93B9A">
            <w:pPr>
              <w:pStyle w:val="BodyTextIndent"/>
              <w:tabs>
                <w:tab w:val="clear" w:pos="360"/>
                <w:tab w:val="left" w:pos="284"/>
              </w:tabs>
              <w:spacing w:after="0"/>
              <w:ind w:left="284" w:hanging="284"/>
              <w:jc w:val="left"/>
              <w:rPr>
                <w:rFonts w:cs="Calibri"/>
                <w:sz w:val="18"/>
                <w:szCs w:val="18"/>
              </w:rPr>
            </w:pPr>
            <w:r w:rsidRPr="00C93B9A">
              <w:rPr>
                <w:rFonts w:cs="Calibri"/>
                <w:sz w:val="18"/>
                <w:szCs w:val="18"/>
              </w:rPr>
              <w:t>Supreme Court &gt;24 mths</w:t>
            </w:r>
            <w:r w:rsidR="00DC0FED" w:rsidRPr="00C93B9A">
              <w:rPr>
                <w:rFonts w:cs="Calibri"/>
                <w:sz w:val="18"/>
                <w:szCs w:val="18"/>
                <w:vertAlign w:val="superscript"/>
              </w:rPr>
              <w:t>5,6</w:t>
            </w:r>
          </w:p>
        </w:tc>
        <w:tc>
          <w:tcPr>
            <w:tcW w:w="1593" w:type="dxa"/>
          </w:tcPr>
          <w:p w:rsidR="008601F3" w:rsidRPr="00C93B9A" w:rsidRDefault="008601F3" w:rsidP="00C93B9A">
            <w:pPr>
              <w:pStyle w:val="TableTextNumbers"/>
              <w:spacing w:before="0" w:after="0"/>
              <w:rPr>
                <w:rFonts w:cs="Calibri"/>
              </w:rPr>
            </w:pPr>
            <w:r w:rsidRPr="00C93B9A">
              <w:rPr>
                <w:rFonts w:cs="Calibri"/>
              </w:rPr>
              <w:t>-38% (280 cases)</w:t>
            </w:r>
          </w:p>
        </w:tc>
        <w:tc>
          <w:tcPr>
            <w:tcW w:w="1593" w:type="dxa"/>
          </w:tcPr>
          <w:p w:rsidR="008601F3" w:rsidRPr="00C93B9A" w:rsidRDefault="008601F3" w:rsidP="00C93B9A">
            <w:pPr>
              <w:pStyle w:val="TableTextNumbers"/>
              <w:spacing w:before="0" w:after="0"/>
              <w:rPr>
                <w:rFonts w:cs="Calibri"/>
              </w:rPr>
            </w:pPr>
            <w:r w:rsidRPr="00C93B9A">
              <w:rPr>
                <w:rFonts w:cs="Calibri"/>
              </w:rPr>
              <w:t>-</w:t>
            </w:r>
            <w:r w:rsidR="00DC0FED" w:rsidRPr="00C93B9A">
              <w:rPr>
                <w:rFonts w:cs="Calibri"/>
              </w:rPr>
              <w:t>28.</w:t>
            </w:r>
            <w:r w:rsidR="000B2BA4" w:rsidRPr="00C93B9A">
              <w:rPr>
                <w:rFonts w:cs="Calibri"/>
              </w:rPr>
              <w:t xml:space="preserve">6% </w:t>
            </w:r>
            <w:r w:rsidR="00DC0FED" w:rsidRPr="00C93B9A">
              <w:rPr>
                <w:rFonts w:cs="Calibri"/>
              </w:rPr>
              <w:t>(205 </w:t>
            </w:r>
            <w:r w:rsidRPr="00C93B9A">
              <w:rPr>
                <w:rFonts w:cs="Calibri"/>
              </w:rPr>
              <w:t>cases)</w:t>
            </w:r>
          </w:p>
        </w:tc>
        <w:tc>
          <w:tcPr>
            <w:tcW w:w="1593" w:type="dxa"/>
          </w:tcPr>
          <w:p w:rsidR="008601F3" w:rsidRPr="00C93B9A" w:rsidRDefault="008601F3" w:rsidP="00C93B9A">
            <w:pPr>
              <w:pStyle w:val="TableTextNumbers"/>
              <w:spacing w:before="0" w:after="0"/>
              <w:rPr>
                <w:rFonts w:cs="Calibri"/>
              </w:rPr>
            </w:pPr>
            <w:r w:rsidRPr="00C93B9A">
              <w:rPr>
                <w:rFonts w:cs="Calibri"/>
              </w:rPr>
              <w:t>-</w:t>
            </w:r>
            <w:r w:rsidR="00DC0FED" w:rsidRPr="00C93B9A">
              <w:rPr>
                <w:rFonts w:cs="Calibri"/>
              </w:rPr>
              <w:t>2.4</w:t>
            </w:r>
            <w:r w:rsidR="000B2BA4" w:rsidRPr="00C93B9A">
              <w:rPr>
                <w:rFonts w:cs="Calibri"/>
              </w:rPr>
              <w:t xml:space="preserve">% </w:t>
            </w:r>
            <w:r w:rsidRPr="00C93B9A">
              <w:rPr>
                <w:rFonts w:cs="Calibri"/>
              </w:rPr>
              <w:t>(200 cases)</w:t>
            </w:r>
          </w:p>
        </w:tc>
      </w:tr>
      <w:tr w:rsidR="00C93B9A" w:rsidRPr="00FB46C0" w:rsidTr="000524C0">
        <w:trPr>
          <w:trHeight w:hRule="exact" w:val="57"/>
        </w:trPr>
        <w:tc>
          <w:tcPr>
            <w:tcW w:w="1814" w:type="dxa"/>
          </w:tcPr>
          <w:p w:rsidR="00C93B9A" w:rsidRPr="00C93B9A" w:rsidRDefault="00C93B9A" w:rsidP="00C93B9A">
            <w:pPr>
              <w:pStyle w:val="BodyText"/>
              <w:keepNext w:val="0"/>
              <w:keepLines w:val="0"/>
              <w:spacing w:before="0" w:after="0"/>
              <w:jc w:val="left"/>
              <w:rPr>
                <w:rFonts w:cs="Calibri"/>
                <w:sz w:val="18"/>
                <w:szCs w:val="18"/>
              </w:rPr>
            </w:pPr>
          </w:p>
        </w:tc>
        <w:tc>
          <w:tcPr>
            <w:tcW w:w="2819" w:type="dxa"/>
          </w:tcPr>
          <w:p w:rsidR="00C93B9A" w:rsidRPr="00C93B9A" w:rsidRDefault="00C93B9A" w:rsidP="00C93B9A">
            <w:pPr>
              <w:pStyle w:val="TableTextLeftNoIndent"/>
              <w:spacing w:before="0" w:after="0"/>
              <w:rPr>
                <w:rFonts w:cs="Calibri"/>
                <w:sz w:val="18"/>
                <w:szCs w:val="18"/>
              </w:rPr>
            </w:pPr>
          </w:p>
        </w:tc>
        <w:tc>
          <w:tcPr>
            <w:tcW w:w="1593" w:type="dxa"/>
          </w:tcPr>
          <w:p w:rsidR="00C93B9A" w:rsidRPr="00C93B9A" w:rsidRDefault="00C93B9A" w:rsidP="00C93B9A">
            <w:pPr>
              <w:pStyle w:val="TableTextNumbers"/>
              <w:spacing w:before="0" w:after="0"/>
              <w:rPr>
                <w:rFonts w:cs="Calibri"/>
              </w:rPr>
            </w:pPr>
          </w:p>
        </w:tc>
        <w:tc>
          <w:tcPr>
            <w:tcW w:w="1593" w:type="dxa"/>
          </w:tcPr>
          <w:p w:rsidR="00C93B9A" w:rsidRPr="00C93B9A" w:rsidRDefault="00C93B9A" w:rsidP="00C93B9A">
            <w:pPr>
              <w:pStyle w:val="TableTextNumbers"/>
              <w:spacing w:before="0" w:after="0"/>
              <w:rPr>
                <w:rFonts w:cs="Calibri"/>
              </w:rPr>
            </w:pPr>
          </w:p>
        </w:tc>
        <w:tc>
          <w:tcPr>
            <w:tcW w:w="1593" w:type="dxa"/>
          </w:tcPr>
          <w:p w:rsidR="00C93B9A" w:rsidRPr="00C93B9A" w:rsidRDefault="00C93B9A" w:rsidP="00C93B9A">
            <w:pPr>
              <w:pStyle w:val="TableTextNumbers"/>
              <w:spacing w:before="0" w:after="0"/>
              <w:rPr>
                <w:rFonts w:cs="Calibri"/>
              </w:rPr>
            </w:pPr>
          </w:p>
        </w:tc>
      </w:tr>
      <w:tr w:rsidR="008601F3" w:rsidRPr="00FB46C0" w:rsidTr="000524C0">
        <w:tc>
          <w:tcPr>
            <w:tcW w:w="1814" w:type="dxa"/>
            <w:vMerge w:val="restart"/>
          </w:tcPr>
          <w:p w:rsidR="008601F3" w:rsidRPr="00C93B9A" w:rsidRDefault="008601F3" w:rsidP="00C93B9A">
            <w:pPr>
              <w:pStyle w:val="BodyText"/>
              <w:keepNext w:val="0"/>
              <w:keepLines w:val="0"/>
              <w:spacing w:before="0" w:after="0"/>
              <w:jc w:val="left"/>
              <w:rPr>
                <w:rFonts w:cs="Calibri"/>
                <w:sz w:val="18"/>
                <w:szCs w:val="18"/>
              </w:rPr>
            </w:pPr>
            <w:r w:rsidRPr="00C93B9A">
              <w:rPr>
                <w:rFonts w:cs="Calibri"/>
                <w:sz w:val="18"/>
                <w:szCs w:val="18"/>
              </w:rPr>
              <w:t>Timely completion of ACT Civil and Administrative Tribunal (ACAT) cases</w:t>
            </w:r>
          </w:p>
        </w:tc>
        <w:tc>
          <w:tcPr>
            <w:tcW w:w="2819" w:type="dxa"/>
          </w:tcPr>
          <w:p w:rsidR="008601F3" w:rsidRPr="00C93B9A" w:rsidRDefault="008601F3" w:rsidP="00C93B9A">
            <w:pPr>
              <w:pStyle w:val="TableTextLeftNoIndent"/>
              <w:spacing w:before="0" w:after="0"/>
              <w:rPr>
                <w:rFonts w:cs="Calibri"/>
                <w:sz w:val="18"/>
                <w:szCs w:val="18"/>
              </w:rPr>
            </w:pPr>
            <w:r w:rsidRPr="00C93B9A">
              <w:rPr>
                <w:rFonts w:cs="Calibri"/>
                <w:sz w:val="18"/>
                <w:szCs w:val="18"/>
              </w:rPr>
              <w:t>Average number of days to finalise ACAT cases from time of lodgement</w:t>
            </w:r>
          </w:p>
        </w:tc>
        <w:tc>
          <w:tcPr>
            <w:tcW w:w="1593" w:type="dxa"/>
          </w:tcPr>
          <w:p w:rsidR="008601F3" w:rsidRPr="00C93B9A" w:rsidRDefault="008601F3" w:rsidP="00C93B9A">
            <w:pPr>
              <w:pStyle w:val="TableTextNumbers"/>
              <w:spacing w:before="0" w:after="0"/>
              <w:rPr>
                <w:rFonts w:cs="Calibri"/>
              </w:rPr>
            </w:pPr>
            <w:r w:rsidRPr="00C93B9A">
              <w:rPr>
                <w:rFonts w:cs="Calibri"/>
              </w:rPr>
              <w:t>160</w:t>
            </w:r>
          </w:p>
        </w:tc>
        <w:tc>
          <w:tcPr>
            <w:tcW w:w="1593" w:type="dxa"/>
          </w:tcPr>
          <w:p w:rsidR="008601F3" w:rsidRPr="00C93B9A" w:rsidRDefault="008601F3" w:rsidP="00C93B9A">
            <w:pPr>
              <w:pStyle w:val="TableTextNumbers"/>
              <w:spacing w:before="0" w:after="0"/>
              <w:rPr>
                <w:rFonts w:cs="Calibri"/>
              </w:rPr>
            </w:pPr>
            <w:r w:rsidRPr="00C93B9A">
              <w:rPr>
                <w:rFonts w:cs="Calibri"/>
              </w:rPr>
              <w:t>160</w:t>
            </w:r>
          </w:p>
        </w:tc>
        <w:tc>
          <w:tcPr>
            <w:tcW w:w="1593" w:type="dxa"/>
          </w:tcPr>
          <w:p w:rsidR="008601F3" w:rsidRPr="00C93B9A" w:rsidRDefault="008601F3" w:rsidP="00C93B9A">
            <w:pPr>
              <w:pStyle w:val="TableTextNumbers"/>
              <w:spacing w:before="0" w:after="0"/>
              <w:rPr>
                <w:rFonts w:cs="Calibri"/>
              </w:rPr>
            </w:pPr>
            <w:r w:rsidRPr="00C93B9A">
              <w:rPr>
                <w:rFonts w:cs="Calibri"/>
              </w:rPr>
              <w:t>160</w:t>
            </w:r>
          </w:p>
        </w:tc>
      </w:tr>
      <w:tr w:rsidR="001F532C" w:rsidRPr="00FB46C0" w:rsidTr="000524C0">
        <w:tc>
          <w:tcPr>
            <w:tcW w:w="1814" w:type="dxa"/>
            <w:vMerge/>
          </w:tcPr>
          <w:p w:rsidR="001F532C" w:rsidRPr="00C93B9A" w:rsidRDefault="001F532C" w:rsidP="00C93B9A">
            <w:pPr>
              <w:pStyle w:val="BodyText"/>
              <w:keepNext w:val="0"/>
              <w:keepLines w:val="0"/>
              <w:numPr>
                <w:ilvl w:val="0"/>
                <w:numId w:val="1"/>
              </w:numPr>
              <w:tabs>
                <w:tab w:val="clear" w:pos="2016"/>
              </w:tabs>
              <w:spacing w:before="0" w:after="0"/>
              <w:ind w:left="0" w:firstLine="0"/>
              <w:jc w:val="left"/>
              <w:rPr>
                <w:rFonts w:cs="Calibri"/>
                <w:sz w:val="18"/>
                <w:szCs w:val="18"/>
                <w:highlight w:val="yellow"/>
              </w:rPr>
            </w:pPr>
          </w:p>
        </w:tc>
        <w:tc>
          <w:tcPr>
            <w:tcW w:w="2819" w:type="dxa"/>
            <w:shd w:val="clear" w:color="auto" w:fill="auto"/>
          </w:tcPr>
          <w:p w:rsidR="001F532C" w:rsidRPr="001F532C" w:rsidRDefault="001F532C" w:rsidP="00C93B9A">
            <w:pPr>
              <w:pStyle w:val="TableTextLeftNoIndent"/>
              <w:spacing w:before="0" w:after="0"/>
              <w:rPr>
                <w:rFonts w:cs="Calibri"/>
                <w:sz w:val="6"/>
                <w:szCs w:val="6"/>
              </w:rPr>
            </w:pPr>
          </w:p>
        </w:tc>
        <w:tc>
          <w:tcPr>
            <w:tcW w:w="1593" w:type="dxa"/>
            <w:shd w:val="clear" w:color="auto" w:fill="auto"/>
          </w:tcPr>
          <w:p w:rsidR="001F532C" w:rsidRPr="001F532C" w:rsidRDefault="001F532C" w:rsidP="00C93B9A">
            <w:pPr>
              <w:pStyle w:val="TableTextNumbers"/>
              <w:spacing w:before="0" w:after="0"/>
              <w:rPr>
                <w:rFonts w:cs="Calibri"/>
                <w:sz w:val="6"/>
                <w:szCs w:val="6"/>
              </w:rPr>
            </w:pPr>
          </w:p>
        </w:tc>
        <w:tc>
          <w:tcPr>
            <w:tcW w:w="1593" w:type="dxa"/>
            <w:shd w:val="clear" w:color="auto" w:fill="auto"/>
          </w:tcPr>
          <w:p w:rsidR="001F532C" w:rsidRPr="001F532C" w:rsidRDefault="001F532C" w:rsidP="00C93B9A">
            <w:pPr>
              <w:pStyle w:val="TableTextNumbers"/>
              <w:spacing w:before="0" w:after="0"/>
              <w:rPr>
                <w:rFonts w:cs="Calibri"/>
                <w:sz w:val="6"/>
                <w:szCs w:val="6"/>
              </w:rPr>
            </w:pPr>
          </w:p>
        </w:tc>
        <w:tc>
          <w:tcPr>
            <w:tcW w:w="1593" w:type="dxa"/>
            <w:shd w:val="clear" w:color="auto" w:fill="auto"/>
          </w:tcPr>
          <w:p w:rsidR="001F532C" w:rsidRPr="001F532C" w:rsidRDefault="001F532C" w:rsidP="00C93B9A">
            <w:pPr>
              <w:pStyle w:val="TableTextNumbers"/>
              <w:spacing w:before="0" w:after="0"/>
              <w:rPr>
                <w:rFonts w:cs="Calibri"/>
                <w:sz w:val="6"/>
                <w:szCs w:val="6"/>
              </w:rPr>
            </w:pPr>
          </w:p>
        </w:tc>
      </w:tr>
      <w:tr w:rsidR="008601F3" w:rsidRPr="00FB46C0" w:rsidTr="000524C0">
        <w:tc>
          <w:tcPr>
            <w:tcW w:w="1814" w:type="dxa"/>
            <w:vMerge/>
          </w:tcPr>
          <w:p w:rsidR="008601F3" w:rsidRPr="00C93B9A" w:rsidRDefault="008601F3" w:rsidP="00C93B9A">
            <w:pPr>
              <w:pStyle w:val="BodyText"/>
              <w:keepNext w:val="0"/>
              <w:keepLines w:val="0"/>
              <w:numPr>
                <w:ilvl w:val="0"/>
                <w:numId w:val="1"/>
              </w:numPr>
              <w:tabs>
                <w:tab w:val="clear" w:pos="2016"/>
              </w:tabs>
              <w:spacing w:before="0" w:after="0"/>
              <w:ind w:left="0" w:firstLine="0"/>
              <w:jc w:val="left"/>
              <w:rPr>
                <w:rFonts w:cs="Calibri"/>
                <w:sz w:val="18"/>
                <w:szCs w:val="18"/>
                <w:highlight w:val="yellow"/>
              </w:rPr>
            </w:pPr>
          </w:p>
        </w:tc>
        <w:tc>
          <w:tcPr>
            <w:tcW w:w="2819" w:type="dxa"/>
            <w:shd w:val="clear" w:color="auto" w:fill="auto"/>
          </w:tcPr>
          <w:p w:rsidR="008601F3" w:rsidRPr="00C93B9A" w:rsidRDefault="008601F3" w:rsidP="00C93B9A">
            <w:pPr>
              <w:pStyle w:val="TableTextLeftNoIndent"/>
              <w:spacing w:before="0" w:after="0"/>
              <w:rPr>
                <w:rFonts w:cs="Calibri"/>
                <w:sz w:val="18"/>
                <w:szCs w:val="18"/>
                <w:vertAlign w:val="superscript"/>
              </w:rPr>
            </w:pPr>
            <w:r w:rsidRPr="00C93B9A">
              <w:rPr>
                <w:rFonts w:cs="Calibri"/>
                <w:sz w:val="18"/>
                <w:szCs w:val="18"/>
              </w:rPr>
              <w:t>Percentage change and number of cases that are not finalised within 12 months</w:t>
            </w:r>
            <w:r w:rsidR="00DC0FED" w:rsidRPr="00C93B9A">
              <w:rPr>
                <w:rFonts w:cs="Calibri"/>
                <w:sz w:val="18"/>
                <w:szCs w:val="18"/>
                <w:vertAlign w:val="superscript"/>
              </w:rPr>
              <w:t>7</w:t>
            </w:r>
          </w:p>
        </w:tc>
        <w:tc>
          <w:tcPr>
            <w:tcW w:w="1593" w:type="dxa"/>
            <w:shd w:val="clear" w:color="auto" w:fill="auto"/>
          </w:tcPr>
          <w:p w:rsidR="008601F3" w:rsidRPr="00C93B9A" w:rsidRDefault="008601F3" w:rsidP="00C93B9A">
            <w:pPr>
              <w:pStyle w:val="TableTextNumbers"/>
              <w:spacing w:before="0" w:after="0"/>
              <w:rPr>
                <w:rFonts w:cs="Calibri"/>
              </w:rPr>
            </w:pPr>
            <w:r w:rsidRPr="00C93B9A">
              <w:rPr>
                <w:rFonts w:cs="Calibri"/>
              </w:rPr>
              <w:t>-3% (30 cases)</w:t>
            </w:r>
          </w:p>
        </w:tc>
        <w:tc>
          <w:tcPr>
            <w:tcW w:w="1593" w:type="dxa"/>
            <w:shd w:val="clear" w:color="auto" w:fill="auto"/>
          </w:tcPr>
          <w:p w:rsidR="008601F3" w:rsidRPr="00C93B9A" w:rsidRDefault="008601F3" w:rsidP="00C93B9A">
            <w:pPr>
              <w:pStyle w:val="TableTextNumbers"/>
              <w:spacing w:before="0" w:after="0"/>
              <w:rPr>
                <w:rFonts w:cs="Calibri"/>
              </w:rPr>
            </w:pPr>
            <w:r w:rsidRPr="00C93B9A">
              <w:rPr>
                <w:rFonts w:cs="Calibri"/>
              </w:rPr>
              <w:t>0% (30 cases)</w:t>
            </w:r>
          </w:p>
        </w:tc>
        <w:tc>
          <w:tcPr>
            <w:tcW w:w="1593" w:type="dxa"/>
            <w:shd w:val="clear" w:color="auto" w:fill="auto"/>
          </w:tcPr>
          <w:p w:rsidR="008601F3" w:rsidRPr="00C93B9A" w:rsidRDefault="008601F3" w:rsidP="00C93B9A">
            <w:pPr>
              <w:pStyle w:val="TableTextNumbers"/>
              <w:spacing w:before="0" w:after="0"/>
              <w:rPr>
                <w:rFonts w:cs="Calibri"/>
              </w:rPr>
            </w:pPr>
            <w:r w:rsidRPr="00C93B9A">
              <w:rPr>
                <w:rFonts w:cs="Calibri"/>
              </w:rPr>
              <w:t>0% (30 cases)</w:t>
            </w:r>
          </w:p>
        </w:tc>
      </w:tr>
    </w:tbl>
    <w:p w:rsidR="008601F3" w:rsidRPr="00FB46C0" w:rsidRDefault="008601F3" w:rsidP="008601F3">
      <w:pPr>
        <w:pStyle w:val="NoteHeading0"/>
      </w:pPr>
      <w:r w:rsidRPr="00FB46C0">
        <w:t>Notes:</w:t>
      </w:r>
    </w:p>
    <w:p w:rsidR="001C579C" w:rsidRPr="00C93B9A" w:rsidRDefault="00144D23" w:rsidP="008601F3">
      <w:pPr>
        <w:pStyle w:val="AINotes"/>
        <w:numPr>
          <w:ilvl w:val="0"/>
          <w:numId w:val="28"/>
        </w:numPr>
      </w:pPr>
      <w:bookmarkStart w:id="4" w:name="OLE_LINK14"/>
      <w:bookmarkStart w:id="5" w:name="OLE_LINK15"/>
      <w:r w:rsidRPr="00C93B9A">
        <w:t xml:space="preserve">The target of 80 </w:t>
      </w:r>
      <w:r w:rsidR="00B67441" w:rsidRPr="00C93B9A">
        <w:t>days was</w:t>
      </w:r>
      <w:r w:rsidRPr="00C93B9A">
        <w:t xml:space="preserve"> set in anticipation of </w:t>
      </w:r>
      <w:r w:rsidR="00B67441" w:rsidRPr="00C93B9A">
        <w:t>a</w:t>
      </w:r>
      <w:r w:rsidRPr="00C93B9A">
        <w:t xml:space="preserve"> change in the mix of cases coming to the Magistrates Court as a result of the jurisdiction limit change from $50,000 to $250,000.  The change is yet to have an effect on the number of days a matter takes to complete.</w:t>
      </w:r>
    </w:p>
    <w:p w:rsidR="008601F3" w:rsidRPr="00A63B7F" w:rsidRDefault="008601F3" w:rsidP="008601F3">
      <w:pPr>
        <w:pStyle w:val="AINotes"/>
        <w:numPr>
          <w:ilvl w:val="0"/>
          <w:numId w:val="28"/>
        </w:numPr>
      </w:pPr>
      <w:r w:rsidRPr="00A63B7F">
        <w:t>The average number of days is 61</w:t>
      </w:r>
      <w:r>
        <w:t>7</w:t>
      </w:r>
      <w:r w:rsidRPr="00A63B7F">
        <w:t xml:space="preserve"> as at </w:t>
      </w:r>
      <w:r>
        <w:t>28</w:t>
      </w:r>
      <w:r w:rsidRPr="00A63B7F">
        <w:t xml:space="preserve"> </w:t>
      </w:r>
      <w:r>
        <w:t>February</w:t>
      </w:r>
      <w:r w:rsidRPr="00A63B7F">
        <w:t xml:space="preserve"> 201</w:t>
      </w:r>
      <w:r>
        <w:t>3</w:t>
      </w:r>
      <w:r w:rsidRPr="00A63B7F">
        <w:t xml:space="preserve"> for Supreme Court Civil lodgements to finalisation.  </w:t>
      </w:r>
      <w:r>
        <w:t>Long wait cases remain with resident judicial officers.  Acting judges have been assisting in the Supreme Court to free resident judicial officers to concentrate on the long wait cases</w:t>
      </w:r>
      <w:r w:rsidRPr="00A63B7F">
        <w:t xml:space="preserve">. </w:t>
      </w:r>
      <w:r w:rsidR="006B2C0C">
        <w:t xml:space="preserve"> </w:t>
      </w:r>
      <w:r w:rsidRPr="00A63B7F">
        <w:t xml:space="preserve">With the change to jurisdiction where civil matters less than $250,000 are now heard in the Magistrates Court, it is likely </w:t>
      </w:r>
      <w:r>
        <w:t xml:space="preserve">that </w:t>
      </w:r>
      <w:r w:rsidRPr="00A63B7F">
        <w:t>over time the civil workload of the Supreme Court will comprise a higher proportion of more complex matters that will take longer to resolve.</w:t>
      </w:r>
    </w:p>
    <w:p w:rsidR="008601F3" w:rsidRDefault="008601F3" w:rsidP="008601F3">
      <w:pPr>
        <w:pStyle w:val="AINotes"/>
      </w:pPr>
      <w:r w:rsidRPr="00A63B7F">
        <w:t>The Magistrates Court has been continuing to focus on improving case management.</w:t>
      </w:r>
      <w:r>
        <w:t xml:space="preserve">  The 2012-1</w:t>
      </w:r>
      <w:r w:rsidR="00C93B9A">
        <w:t>3 estimated outcome and 2013</w:t>
      </w:r>
      <w:r w:rsidR="00C93B9A">
        <w:noBreakHyphen/>
        <w:t>14 </w:t>
      </w:r>
      <w:r>
        <w:t>target includes Children’s Court and Magistrates Court Civil cases.</w:t>
      </w:r>
    </w:p>
    <w:p w:rsidR="00DC0FED" w:rsidRPr="00A63B7F" w:rsidRDefault="00DC0FED" w:rsidP="008601F3">
      <w:pPr>
        <w:pStyle w:val="AINotes"/>
      </w:pPr>
      <w:r>
        <w:t xml:space="preserve">The 2012-13 estimated </w:t>
      </w:r>
      <w:proofErr w:type="gramStart"/>
      <w:r>
        <w:t>outcome</w:t>
      </w:r>
      <w:proofErr w:type="gramEnd"/>
      <w:r>
        <w:t xml:space="preserve"> is compared to the 2011-12 result of 82 cases.</w:t>
      </w:r>
    </w:p>
    <w:p w:rsidR="008601F3" w:rsidRDefault="008601F3" w:rsidP="008601F3">
      <w:pPr>
        <w:pStyle w:val="AINotes"/>
      </w:pPr>
      <w:r w:rsidRPr="00A63B7F">
        <w:t xml:space="preserve">The favourable trend </w:t>
      </w:r>
      <w:r w:rsidR="0070729C">
        <w:t>is primarily due to the “Blitz”</w:t>
      </w:r>
      <w:r w:rsidRPr="00A63B7F">
        <w:t xml:space="preserve"> and the proposed introduction of a docket case management system in the Supreme Court. </w:t>
      </w:r>
    </w:p>
    <w:p w:rsidR="00DC0FED" w:rsidRPr="00A63B7F" w:rsidRDefault="00DC0FED" w:rsidP="008601F3">
      <w:pPr>
        <w:pStyle w:val="AINotes"/>
      </w:pPr>
      <w:r>
        <w:t xml:space="preserve">The 2012-13 estimated </w:t>
      </w:r>
      <w:proofErr w:type="gramStart"/>
      <w:r>
        <w:t>outcome</w:t>
      </w:r>
      <w:proofErr w:type="gramEnd"/>
      <w:r>
        <w:t xml:space="preserve"> is compared to the 2011-12 actual of 287 cases.</w:t>
      </w:r>
    </w:p>
    <w:p w:rsidR="008601F3" w:rsidRPr="00A63B7F" w:rsidRDefault="008601F3" w:rsidP="008601F3">
      <w:pPr>
        <w:pStyle w:val="AINotes"/>
      </w:pPr>
      <w:r w:rsidRPr="00A63B7F">
        <w:t xml:space="preserve">The number of matters pending over 12 months for the ACAT is </w:t>
      </w:r>
      <w:r>
        <w:t>60</w:t>
      </w:r>
      <w:r w:rsidRPr="00A63B7F">
        <w:t xml:space="preserve"> as at 2</w:t>
      </w:r>
      <w:r>
        <w:t>8</w:t>
      </w:r>
      <w:r w:rsidRPr="00A63B7F">
        <w:t xml:space="preserve"> February 201</w:t>
      </w:r>
      <w:r>
        <w:t>3</w:t>
      </w:r>
      <w:r w:rsidRPr="00A63B7F">
        <w:t>.  The appointment of a new half time presidential member and full time ordinary member commencing in the last quarter should help to reduce the backlog of matters pending over 12 months for the ACAT.</w:t>
      </w:r>
      <w:r>
        <w:t xml:space="preserve">  The higher number of pending matters at the end of February 2013 is reflective of a group of related matters that will be finalised together and are expected to be finalised before the end of the year.</w:t>
      </w:r>
    </w:p>
    <w:p w:rsidR="008601F3" w:rsidRPr="00235A93" w:rsidRDefault="008601F3" w:rsidP="008601F3">
      <w:pPr>
        <w:pStyle w:val="SI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lastRenderedPageBreak/>
        <w:t>Strategic Objective 2</w:t>
      </w:r>
    </w:p>
    <w:p w:rsidR="008601F3" w:rsidRPr="00235A93" w:rsidRDefault="008601F3" w:rsidP="008601F3">
      <w:pPr>
        <w:pStyle w:val="SIHeading2"/>
      </w:pPr>
      <w:r>
        <w:t>Safe Community</w:t>
      </w:r>
    </w:p>
    <w:p w:rsidR="008601F3" w:rsidRPr="00235A93" w:rsidRDefault="008601F3" w:rsidP="00D977C7">
      <w:pPr>
        <w:pStyle w:val="BodyText"/>
      </w:pPr>
      <w:r>
        <w:t>An effective criminal justice system underpins the safety of the community.  Although neither the Directorate nor the ACT Government can control all of the factors that impact on community safety, effectiveness can be measured by examining the level of crime against people and property and whether the justice system deals with offenders in a way that reduces the risk of further offending.</w:t>
      </w:r>
    </w:p>
    <w:p w:rsidR="008601F3" w:rsidRPr="00FB46C0" w:rsidRDefault="008601F3" w:rsidP="008601F3">
      <w:pPr>
        <w:pStyle w:val="SI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pPr>
      <w:r>
        <w:t xml:space="preserve">Strategic Indicator 2: </w:t>
      </w:r>
      <w:r w:rsidRPr="00FB46C0">
        <w:t xml:space="preserve"> </w:t>
      </w:r>
      <w:r>
        <w:rPr>
          <w:b w:val="0"/>
        </w:rPr>
        <w:t>C</w:t>
      </w:r>
      <w:r w:rsidRPr="00FB46C0">
        <w:rPr>
          <w:b w:val="0"/>
        </w:rPr>
        <w:t xml:space="preserve">rime </w:t>
      </w:r>
      <w:r>
        <w:rPr>
          <w:b w:val="0"/>
        </w:rPr>
        <w:t>Related C</w:t>
      </w:r>
      <w:r w:rsidRPr="00FB46C0">
        <w:rPr>
          <w:b w:val="0"/>
        </w:rPr>
        <w:t xml:space="preserve">ommunity </w:t>
      </w:r>
      <w:r>
        <w:rPr>
          <w:b w:val="0"/>
        </w:rPr>
        <w:t>S</w:t>
      </w:r>
      <w:r w:rsidRPr="00FB46C0">
        <w:rPr>
          <w:b w:val="0"/>
        </w:rPr>
        <w:t>afety</w:t>
      </w:r>
    </w:p>
    <w:tbl>
      <w:tblPr>
        <w:tblW w:w="9100" w:type="dxa"/>
        <w:tblBorders>
          <w:top w:val="single" w:sz="4" w:space="0" w:color="auto"/>
          <w:bottom w:val="single" w:sz="4" w:space="0" w:color="auto"/>
        </w:tblBorders>
        <w:tblLayout w:type="fixed"/>
        <w:tblLook w:val="01E0"/>
      </w:tblPr>
      <w:tblGrid>
        <w:gridCol w:w="1753"/>
        <w:gridCol w:w="2721"/>
        <w:gridCol w:w="1542"/>
        <w:gridCol w:w="1542"/>
        <w:gridCol w:w="1542"/>
      </w:tblGrid>
      <w:tr w:rsidR="003D031A" w:rsidRPr="00FB46C0" w:rsidTr="003D031A">
        <w:tc>
          <w:tcPr>
            <w:tcW w:w="1753" w:type="dxa"/>
            <w:tcBorders>
              <w:top w:val="single" w:sz="4" w:space="0" w:color="auto"/>
              <w:bottom w:val="single" w:sz="4" w:space="0" w:color="auto"/>
            </w:tcBorders>
          </w:tcPr>
          <w:p w:rsidR="003D031A" w:rsidRPr="00FB46C0" w:rsidRDefault="003D031A" w:rsidP="0073064A">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19"/>
                <w:szCs w:val="19"/>
              </w:rPr>
            </w:pPr>
            <w:r w:rsidRPr="00FB46C0">
              <w:rPr>
                <w:rFonts w:cs="Calibri"/>
                <w:sz w:val="19"/>
                <w:szCs w:val="19"/>
              </w:rPr>
              <w:t>Success</w:t>
            </w:r>
          </w:p>
        </w:tc>
        <w:tc>
          <w:tcPr>
            <w:tcW w:w="2721" w:type="dxa"/>
            <w:tcBorders>
              <w:top w:val="single" w:sz="4" w:space="0" w:color="auto"/>
              <w:bottom w:val="single" w:sz="4" w:space="0" w:color="auto"/>
            </w:tcBorders>
          </w:tcPr>
          <w:p w:rsidR="003D031A" w:rsidRPr="00FB46C0" w:rsidRDefault="003D031A" w:rsidP="0073064A">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19"/>
                <w:szCs w:val="19"/>
              </w:rPr>
            </w:pPr>
            <w:r w:rsidRPr="00FB46C0">
              <w:rPr>
                <w:rFonts w:cs="Calibri"/>
                <w:sz w:val="19"/>
                <w:szCs w:val="19"/>
              </w:rPr>
              <w:t xml:space="preserve">Strategic Indicator </w:t>
            </w:r>
          </w:p>
        </w:tc>
        <w:tc>
          <w:tcPr>
            <w:tcW w:w="1542" w:type="dxa"/>
            <w:tcBorders>
              <w:top w:val="single" w:sz="4" w:space="0" w:color="auto"/>
              <w:bottom w:val="single" w:sz="4" w:space="0" w:color="auto"/>
            </w:tcBorders>
          </w:tcPr>
          <w:p w:rsidR="003D031A" w:rsidRPr="00FB46C0" w:rsidRDefault="003D031A" w:rsidP="0073064A">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Pr>
                <w:rFonts w:cs="Calibri"/>
                <w:sz w:val="19"/>
                <w:szCs w:val="19"/>
              </w:rPr>
              <w:t>2012-13</w:t>
            </w:r>
          </w:p>
          <w:p w:rsidR="003D031A" w:rsidRPr="00FB46C0" w:rsidRDefault="003D031A" w:rsidP="0073064A">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sidRPr="00FB46C0">
              <w:rPr>
                <w:rFonts w:cs="Calibri"/>
                <w:sz w:val="19"/>
                <w:szCs w:val="19"/>
              </w:rPr>
              <w:t>Target</w:t>
            </w:r>
          </w:p>
        </w:tc>
        <w:tc>
          <w:tcPr>
            <w:tcW w:w="1542" w:type="dxa"/>
            <w:tcBorders>
              <w:top w:val="single" w:sz="4" w:space="0" w:color="auto"/>
              <w:bottom w:val="single" w:sz="4" w:space="0" w:color="auto"/>
            </w:tcBorders>
          </w:tcPr>
          <w:p w:rsidR="003D031A" w:rsidRPr="00FB46C0" w:rsidRDefault="003D031A" w:rsidP="0073064A">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Pr>
                <w:rFonts w:cs="Calibri"/>
                <w:sz w:val="19"/>
                <w:szCs w:val="19"/>
              </w:rPr>
              <w:t>2012-13</w:t>
            </w:r>
          </w:p>
          <w:p w:rsidR="003D031A" w:rsidRPr="00FB46C0" w:rsidRDefault="003D031A" w:rsidP="0073064A">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sidRPr="00FB46C0">
              <w:rPr>
                <w:rFonts w:cs="Calibri"/>
                <w:sz w:val="19"/>
                <w:szCs w:val="19"/>
              </w:rPr>
              <w:t>Est. Outcome</w:t>
            </w:r>
          </w:p>
        </w:tc>
        <w:tc>
          <w:tcPr>
            <w:tcW w:w="1542" w:type="dxa"/>
            <w:tcBorders>
              <w:top w:val="single" w:sz="4" w:space="0" w:color="auto"/>
              <w:bottom w:val="single" w:sz="4" w:space="0" w:color="auto"/>
            </w:tcBorders>
          </w:tcPr>
          <w:p w:rsidR="003D031A" w:rsidRPr="00FB46C0" w:rsidRDefault="003D031A" w:rsidP="0073064A">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Pr>
                <w:rFonts w:cs="Calibri"/>
                <w:sz w:val="19"/>
                <w:szCs w:val="19"/>
              </w:rPr>
              <w:t>2013-14</w:t>
            </w:r>
          </w:p>
          <w:p w:rsidR="003D031A" w:rsidRPr="00FB46C0" w:rsidRDefault="003D031A" w:rsidP="0073064A">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sidRPr="00FB46C0">
              <w:rPr>
                <w:rFonts w:cs="Calibri"/>
                <w:sz w:val="19"/>
                <w:szCs w:val="19"/>
              </w:rPr>
              <w:t>Target</w:t>
            </w:r>
          </w:p>
        </w:tc>
      </w:tr>
      <w:tr w:rsidR="008601F3" w:rsidRPr="00CF2D1E" w:rsidTr="003D031A">
        <w:tblPrEx>
          <w:tblBorders>
            <w:top w:val="none" w:sz="0" w:space="0" w:color="auto"/>
            <w:bottom w:val="none" w:sz="0" w:space="0" w:color="auto"/>
          </w:tblBorders>
          <w:tblLook w:val="0000"/>
        </w:tblPrEx>
        <w:trPr>
          <w:cantSplit/>
          <w:trHeight w:val="280"/>
        </w:trPr>
        <w:tc>
          <w:tcPr>
            <w:tcW w:w="1753" w:type="dxa"/>
            <w:tcBorders>
              <w:top w:val="nil"/>
              <w:left w:val="nil"/>
              <w:bottom w:val="nil"/>
              <w:right w:val="nil"/>
            </w:tcBorders>
          </w:tcPr>
          <w:p w:rsidR="008601F3" w:rsidRPr="00CF2D1E" w:rsidRDefault="0058029E" w:rsidP="000524C0">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0"/>
              <w:rPr>
                <w:rFonts w:cs="Calibri"/>
                <w:sz w:val="18"/>
                <w:szCs w:val="18"/>
              </w:rPr>
            </w:pPr>
            <w:r>
              <w:rPr>
                <w:rFonts w:cs="Calibri"/>
                <w:sz w:val="18"/>
                <w:szCs w:val="18"/>
              </w:rPr>
              <w:t xml:space="preserve">Reduction in level of </w:t>
            </w:r>
            <w:r w:rsidR="008601F3" w:rsidRPr="00CF2D1E">
              <w:rPr>
                <w:rFonts w:cs="Calibri"/>
                <w:sz w:val="18"/>
                <w:szCs w:val="18"/>
              </w:rPr>
              <w:t>crime</w:t>
            </w:r>
          </w:p>
        </w:tc>
        <w:tc>
          <w:tcPr>
            <w:tcW w:w="2721" w:type="dxa"/>
            <w:tcBorders>
              <w:top w:val="nil"/>
              <w:left w:val="nil"/>
              <w:bottom w:val="nil"/>
              <w:right w:val="nil"/>
            </w:tcBorders>
          </w:tcPr>
          <w:p w:rsidR="008601F3" w:rsidRPr="00CF2D1E" w:rsidRDefault="008601F3" w:rsidP="008F37D1">
            <w:pPr>
              <w:pStyle w:val="TableTextLeftNoIndent"/>
              <w:keepNext/>
              <w:outlineLvl w:val="1"/>
              <w:rPr>
                <w:rFonts w:cs="Calibri"/>
                <w:sz w:val="18"/>
                <w:szCs w:val="18"/>
              </w:rPr>
            </w:pPr>
            <w:r w:rsidRPr="00CF2D1E">
              <w:rPr>
                <w:rFonts w:cs="Calibri"/>
                <w:sz w:val="18"/>
                <w:szCs w:val="18"/>
              </w:rPr>
              <w:t>Percentage change and number of</w:t>
            </w:r>
            <w:r w:rsidR="00CF2D1E">
              <w:rPr>
                <w:rFonts w:cs="Calibri"/>
                <w:sz w:val="18"/>
                <w:szCs w:val="18"/>
              </w:rPr>
              <w:t xml:space="preserve"> </w:t>
            </w:r>
            <w:r w:rsidRPr="00CF2D1E">
              <w:rPr>
                <w:rFonts w:cs="Calibri"/>
                <w:sz w:val="18"/>
                <w:szCs w:val="18"/>
              </w:rPr>
              <w:t>known and reported criminal offences</w:t>
            </w:r>
            <w:r w:rsidR="00CF2D1E">
              <w:rPr>
                <w:rFonts w:cs="Calibri"/>
                <w:sz w:val="18"/>
                <w:szCs w:val="18"/>
              </w:rPr>
              <w:t>:</w:t>
            </w:r>
          </w:p>
        </w:tc>
        <w:tc>
          <w:tcPr>
            <w:tcW w:w="1542" w:type="dxa"/>
            <w:tcBorders>
              <w:top w:val="nil"/>
              <w:left w:val="nil"/>
              <w:bottom w:val="nil"/>
              <w:right w:val="nil"/>
            </w:tcBorders>
            <w:shd w:val="clear" w:color="auto" w:fill="auto"/>
          </w:tcPr>
          <w:p w:rsidR="008601F3" w:rsidRPr="00CF2D1E" w:rsidRDefault="008601F3" w:rsidP="00523D95">
            <w:pPr>
              <w:pStyle w:val="TableTextLeftNoIndent"/>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outlineLvl w:val="1"/>
              <w:rPr>
                <w:rFonts w:cs="Calibri"/>
                <w:sz w:val="18"/>
                <w:szCs w:val="18"/>
              </w:rPr>
            </w:pPr>
          </w:p>
        </w:tc>
        <w:tc>
          <w:tcPr>
            <w:tcW w:w="1542" w:type="dxa"/>
            <w:tcBorders>
              <w:top w:val="nil"/>
              <w:left w:val="nil"/>
              <w:bottom w:val="nil"/>
              <w:right w:val="nil"/>
            </w:tcBorders>
            <w:shd w:val="clear" w:color="auto" w:fill="auto"/>
          </w:tcPr>
          <w:p w:rsidR="008601F3" w:rsidRPr="00CF2D1E" w:rsidRDefault="008601F3" w:rsidP="00523D95">
            <w:pPr>
              <w:pStyle w:val="TableTextLeftNoIndent"/>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outlineLvl w:val="1"/>
              <w:rPr>
                <w:rFonts w:cs="Calibri"/>
                <w:sz w:val="18"/>
                <w:szCs w:val="18"/>
              </w:rPr>
            </w:pPr>
          </w:p>
        </w:tc>
        <w:tc>
          <w:tcPr>
            <w:tcW w:w="1542" w:type="dxa"/>
            <w:tcBorders>
              <w:top w:val="nil"/>
              <w:left w:val="nil"/>
              <w:bottom w:val="nil"/>
              <w:right w:val="nil"/>
            </w:tcBorders>
            <w:shd w:val="clear" w:color="auto" w:fill="auto"/>
          </w:tcPr>
          <w:p w:rsidR="008601F3" w:rsidRPr="00CF2D1E" w:rsidRDefault="008601F3" w:rsidP="00523D95">
            <w:pPr>
              <w:pStyle w:val="TableTextLeftNoIndent"/>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outlineLvl w:val="1"/>
              <w:rPr>
                <w:rFonts w:cs="Calibri"/>
                <w:sz w:val="18"/>
                <w:szCs w:val="18"/>
              </w:rPr>
            </w:pPr>
          </w:p>
        </w:tc>
      </w:tr>
      <w:tr w:rsidR="00CF2D1E" w:rsidRPr="00CF2D1E" w:rsidTr="003D031A">
        <w:tblPrEx>
          <w:tblBorders>
            <w:top w:val="none" w:sz="0" w:space="0" w:color="auto"/>
            <w:bottom w:val="none" w:sz="0" w:space="0" w:color="auto"/>
          </w:tblBorders>
          <w:tblLook w:val="0000"/>
        </w:tblPrEx>
        <w:trPr>
          <w:cantSplit/>
          <w:trHeight w:val="63"/>
        </w:trPr>
        <w:tc>
          <w:tcPr>
            <w:tcW w:w="1753" w:type="dxa"/>
            <w:tcBorders>
              <w:top w:val="nil"/>
              <w:left w:val="nil"/>
              <w:bottom w:val="nil"/>
              <w:right w:val="nil"/>
            </w:tcBorders>
          </w:tcPr>
          <w:p w:rsidR="00CF2D1E" w:rsidRPr="00CF2D1E" w:rsidRDefault="00CF2D1E" w:rsidP="000524C0">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142"/>
              <w:rPr>
                <w:rFonts w:cs="Calibri"/>
                <w:sz w:val="18"/>
                <w:szCs w:val="18"/>
              </w:rPr>
            </w:pPr>
          </w:p>
        </w:tc>
        <w:tc>
          <w:tcPr>
            <w:tcW w:w="2721" w:type="dxa"/>
            <w:tcBorders>
              <w:top w:val="nil"/>
              <w:left w:val="nil"/>
              <w:bottom w:val="nil"/>
              <w:right w:val="nil"/>
            </w:tcBorders>
          </w:tcPr>
          <w:p w:rsidR="00CF2D1E" w:rsidRPr="00CF2D1E" w:rsidRDefault="00CF2D1E" w:rsidP="008F37D1">
            <w:pPr>
              <w:pStyle w:val="BodyTextIndent"/>
              <w:tabs>
                <w:tab w:val="clear" w:pos="360"/>
                <w:tab w:val="left" w:pos="284"/>
              </w:tabs>
              <w:spacing w:after="0"/>
              <w:ind w:left="284" w:hanging="284"/>
              <w:jc w:val="left"/>
              <w:rPr>
                <w:rFonts w:cs="Calibri"/>
                <w:sz w:val="18"/>
                <w:szCs w:val="18"/>
              </w:rPr>
            </w:pPr>
            <w:r w:rsidRPr="00CF2D1E">
              <w:rPr>
                <w:rFonts w:cs="Calibri"/>
                <w:sz w:val="18"/>
                <w:szCs w:val="18"/>
              </w:rPr>
              <w:t>per 100,000 population</w:t>
            </w:r>
            <w:r w:rsidRPr="00CF2D1E">
              <w:rPr>
                <w:rFonts w:cs="Calibri"/>
                <w:sz w:val="18"/>
                <w:szCs w:val="18"/>
                <w:vertAlign w:val="superscript"/>
              </w:rPr>
              <w:t>1,2</w:t>
            </w:r>
          </w:p>
        </w:tc>
        <w:tc>
          <w:tcPr>
            <w:tcW w:w="1542" w:type="dxa"/>
            <w:tcBorders>
              <w:top w:val="nil"/>
              <w:left w:val="nil"/>
              <w:bottom w:val="nil"/>
              <w:right w:val="nil"/>
            </w:tcBorders>
            <w:shd w:val="clear" w:color="auto" w:fill="auto"/>
          </w:tcPr>
          <w:p w:rsidR="00CF2D1E" w:rsidRPr="00CF2D1E" w:rsidRDefault="00CF2D1E" w:rsidP="007E5D20">
            <w:pPr>
              <w:pStyle w:val="TableTextLeftNoIndent"/>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outlineLvl w:val="1"/>
              <w:rPr>
                <w:rFonts w:cs="Calibri"/>
                <w:sz w:val="18"/>
                <w:szCs w:val="18"/>
              </w:rPr>
            </w:pPr>
            <w:r w:rsidRPr="00CF2D1E">
              <w:rPr>
                <w:rFonts w:cs="Calibri"/>
                <w:sz w:val="18"/>
                <w:szCs w:val="18"/>
              </w:rPr>
              <w:t>6,958</w:t>
            </w:r>
          </w:p>
        </w:tc>
        <w:tc>
          <w:tcPr>
            <w:tcW w:w="1542" w:type="dxa"/>
            <w:tcBorders>
              <w:top w:val="nil"/>
              <w:left w:val="nil"/>
              <w:bottom w:val="nil"/>
              <w:right w:val="nil"/>
            </w:tcBorders>
            <w:shd w:val="clear" w:color="auto" w:fill="auto"/>
          </w:tcPr>
          <w:p w:rsidR="00CF2D1E" w:rsidRPr="00CF2D1E" w:rsidRDefault="00CF2D1E" w:rsidP="007E5D20">
            <w:pPr>
              <w:pStyle w:val="TableTextLeftNoIndent"/>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outlineLvl w:val="1"/>
              <w:rPr>
                <w:rFonts w:cs="Calibri"/>
                <w:sz w:val="18"/>
                <w:szCs w:val="18"/>
              </w:rPr>
            </w:pPr>
            <w:r w:rsidRPr="00CF2D1E">
              <w:rPr>
                <w:rFonts w:cs="Calibri"/>
                <w:sz w:val="18"/>
                <w:szCs w:val="18"/>
              </w:rPr>
              <w:t>15.5% (5,882)</w:t>
            </w:r>
          </w:p>
        </w:tc>
        <w:tc>
          <w:tcPr>
            <w:tcW w:w="1542" w:type="dxa"/>
            <w:tcBorders>
              <w:top w:val="nil"/>
              <w:left w:val="nil"/>
              <w:bottom w:val="nil"/>
              <w:right w:val="nil"/>
            </w:tcBorders>
            <w:shd w:val="clear" w:color="auto" w:fill="auto"/>
          </w:tcPr>
          <w:p w:rsidR="00CF2D1E" w:rsidRPr="00CF2D1E" w:rsidRDefault="00CF2D1E" w:rsidP="007E5D20">
            <w:pPr>
              <w:pStyle w:val="TableTextLeftNoIndent"/>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outlineLvl w:val="1"/>
              <w:rPr>
                <w:rFonts w:cs="Calibri"/>
                <w:sz w:val="18"/>
                <w:szCs w:val="18"/>
              </w:rPr>
            </w:pPr>
            <w:r w:rsidRPr="00CF2D1E">
              <w:rPr>
                <w:rFonts w:cs="Calibri"/>
                <w:sz w:val="18"/>
                <w:szCs w:val="18"/>
              </w:rPr>
              <w:t>n/a</w:t>
            </w:r>
          </w:p>
        </w:tc>
      </w:tr>
      <w:tr w:rsidR="00CF2D1E" w:rsidRPr="00CF2D1E" w:rsidTr="003D031A">
        <w:tblPrEx>
          <w:tblBorders>
            <w:top w:val="none" w:sz="0" w:space="0" w:color="auto"/>
            <w:bottom w:val="none" w:sz="0" w:space="0" w:color="auto"/>
          </w:tblBorders>
          <w:tblLook w:val="0000"/>
        </w:tblPrEx>
        <w:trPr>
          <w:cantSplit/>
        </w:trPr>
        <w:tc>
          <w:tcPr>
            <w:tcW w:w="1753" w:type="dxa"/>
            <w:tcBorders>
              <w:top w:val="nil"/>
              <w:left w:val="nil"/>
              <w:bottom w:val="nil"/>
              <w:right w:val="nil"/>
            </w:tcBorders>
          </w:tcPr>
          <w:p w:rsidR="00CF2D1E" w:rsidRPr="00CF2D1E" w:rsidRDefault="00CF2D1E" w:rsidP="000524C0">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142"/>
              <w:rPr>
                <w:rFonts w:cs="Calibri"/>
                <w:sz w:val="18"/>
                <w:szCs w:val="18"/>
              </w:rPr>
            </w:pPr>
          </w:p>
        </w:tc>
        <w:tc>
          <w:tcPr>
            <w:tcW w:w="2721" w:type="dxa"/>
            <w:tcBorders>
              <w:top w:val="nil"/>
              <w:left w:val="nil"/>
              <w:bottom w:val="nil"/>
              <w:right w:val="nil"/>
            </w:tcBorders>
          </w:tcPr>
          <w:p w:rsidR="00CF2D1E" w:rsidRPr="00CF2D1E" w:rsidRDefault="00CF2D1E" w:rsidP="008F37D1">
            <w:pPr>
              <w:pStyle w:val="BodyTextIndent"/>
              <w:tabs>
                <w:tab w:val="clear" w:pos="360"/>
                <w:tab w:val="left" w:pos="284"/>
              </w:tabs>
              <w:spacing w:after="0"/>
              <w:ind w:left="284" w:hanging="284"/>
              <w:jc w:val="left"/>
              <w:rPr>
                <w:rFonts w:cs="Calibri"/>
                <w:sz w:val="18"/>
                <w:szCs w:val="18"/>
              </w:rPr>
            </w:pPr>
            <w:r w:rsidRPr="00CF2D1E">
              <w:rPr>
                <w:rFonts w:cs="Calibri"/>
                <w:sz w:val="18"/>
                <w:szCs w:val="18"/>
              </w:rPr>
              <w:t>against the person per 100,000 population</w:t>
            </w:r>
            <w:r w:rsidRPr="00CF2D1E">
              <w:rPr>
                <w:rFonts w:cs="Calibri"/>
                <w:sz w:val="18"/>
                <w:szCs w:val="18"/>
                <w:vertAlign w:val="superscript"/>
              </w:rPr>
              <w:t>3,4</w:t>
            </w:r>
          </w:p>
        </w:tc>
        <w:tc>
          <w:tcPr>
            <w:tcW w:w="1542" w:type="dxa"/>
            <w:tcBorders>
              <w:top w:val="nil"/>
              <w:left w:val="nil"/>
              <w:bottom w:val="nil"/>
              <w:right w:val="nil"/>
            </w:tcBorders>
            <w:shd w:val="clear" w:color="auto" w:fill="auto"/>
          </w:tcPr>
          <w:p w:rsidR="00CF2D1E" w:rsidRPr="00CF2D1E" w:rsidRDefault="00CF2D1E" w:rsidP="00523D95">
            <w:pPr>
              <w:pStyle w:val="TableTextLeftNoIndent"/>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outlineLvl w:val="1"/>
              <w:rPr>
                <w:rFonts w:cs="Calibri"/>
                <w:sz w:val="18"/>
                <w:szCs w:val="18"/>
              </w:rPr>
            </w:pPr>
            <w:r w:rsidRPr="00CF2D1E">
              <w:rPr>
                <w:rFonts w:cs="Calibri"/>
                <w:sz w:val="18"/>
                <w:szCs w:val="18"/>
              </w:rPr>
              <w:t>n/a</w:t>
            </w:r>
          </w:p>
        </w:tc>
        <w:tc>
          <w:tcPr>
            <w:tcW w:w="1542" w:type="dxa"/>
            <w:tcBorders>
              <w:top w:val="nil"/>
              <w:left w:val="nil"/>
              <w:bottom w:val="nil"/>
              <w:right w:val="nil"/>
            </w:tcBorders>
            <w:shd w:val="clear" w:color="auto" w:fill="auto"/>
          </w:tcPr>
          <w:p w:rsidR="00CF2D1E" w:rsidRPr="00CF2D1E" w:rsidRDefault="00CF2D1E" w:rsidP="00523D95">
            <w:pPr>
              <w:pStyle w:val="TableTextLeftNoIndent"/>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outlineLvl w:val="1"/>
              <w:rPr>
                <w:rFonts w:cs="Calibri"/>
                <w:sz w:val="18"/>
                <w:szCs w:val="18"/>
              </w:rPr>
            </w:pPr>
            <w:r w:rsidRPr="00CF2D1E">
              <w:rPr>
                <w:rFonts w:cs="Calibri"/>
                <w:sz w:val="18"/>
                <w:szCs w:val="18"/>
              </w:rPr>
              <w:t>n/a</w:t>
            </w:r>
          </w:p>
        </w:tc>
        <w:tc>
          <w:tcPr>
            <w:tcW w:w="1542" w:type="dxa"/>
            <w:tcBorders>
              <w:top w:val="nil"/>
              <w:left w:val="nil"/>
              <w:bottom w:val="nil"/>
              <w:right w:val="nil"/>
            </w:tcBorders>
            <w:shd w:val="clear" w:color="auto" w:fill="auto"/>
          </w:tcPr>
          <w:p w:rsidR="00CF2D1E" w:rsidRPr="00CF2D1E" w:rsidRDefault="00CF2D1E" w:rsidP="00523D95">
            <w:pPr>
              <w:pStyle w:val="TableTextLeftNoIndent"/>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outlineLvl w:val="1"/>
              <w:rPr>
                <w:rFonts w:cs="Calibri"/>
                <w:sz w:val="18"/>
                <w:szCs w:val="18"/>
              </w:rPr>
            </w:pPr>
            <w:r w:rsidRPr="00CF2D1E">
              <w:rPr>
                <w:rFonts w:cs="Calibri"/>
                <w:sz w:val="18"/>
                <w:szCs w:val="18"/>
              </w:rPr>
              <w:t>738</w:t>
            </w:r>
          </w:p>
        </w:tc>
      </w:tr>
      <w:tr w:rsidR="00CF2D1E" w:rsidRPr="00CF2D1E" w:rsidTr="003D031A">
        <w:tblPrEx>
          <w:tblBorders>
            <w:top w:val="none" w:sz="0" w:space="0" w:color="auto"/>
            <w:bottom w:val="none" w:sz="0" w:space="0" w:color="auto"/>
          </w:tblBorders>
          <w:tblLook w:val="0000"/>
        </w:tblPrEx>
        <w:trPr>
          <w:cantSplit/>
          <w:trHeight w:val="222"/>
        </w:trPr>
        <w:tc>
          <w:tcPr>
            <w:tcW w:w="1753" w:type="dxa"/>
            <w:tcBorders>
              <w:top w:val="nil"/>
              <w:left w:val="nil"/>
              <w:bottom w:val="nil"/>
              <w:right w:val="nil"/>
            </w:tcBorders>
          </w:tcPr>
          <w:p w:rsidR="00CF2D1E" w:rsidRPr="00CF2D1E" w:rsidRDefault="00CF2D1E" w:rsidP="000524C0">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142"/>
              <w:rPr>
                <w:rFonts w:cs="Calibri"/>
                <w:sz w:val="18"/>
                <w:szCs w:val="18"/>
              </w:rPr>
            </w:pPr>
          </w:p>
        </w:tc>
        <w:tc>
          <w:tcPr>
            <w:tcW w:w="2721" w:type="dxa"/>
            <w:tcBorders>
              <w:top w:val="nil"/>
              <w:left w:val="nil"/>
              <w:bottom w:val="nil"/>
              <w:right w:val="nil"/>
            </w:tcBorders>
          </w:tcPr>
          <w:p w:rsidR="00CF2D1E" w:rsidRPr="00CF2D1E" w:rsidRDefault="00CF2D1E" w:rsidP="008F37D1">
            <w:pPr>
              <w:pStyle w:val="BodyTextIndent"/>
              <w:tabs>
                <w:tab w:val="clear" w:pos="360"/>
                <w:tab w:val="left" w:pos="284"/>
              </w:tabs>
              <w:spacing w:after="0"/>
              <w:ind w:left="284" w:hanging="284"/>
              <w:jc w:val="left"/>
              <w:rPr>
                <w:rFonts w:cs="Calibri"/>
                <w:sz w:val="18"/>
                <w:szCs w:val="18"/>
              </w:rPr>
            </w:pPr>
            <w:r w:rsidRPr="00CF2D1E">
              <w:rPr>
                <w:rFonts w:cs="Calibri"/>
                <w:sz w:val="18"/>
                <w:szCs w:val="18"/>
              </w:rPr>
              <w:t>against property per 100,000 population</w:t>
            </w:r>
            <w:r w:rsidRPr="00CF2D1E">
              <w:rPr>
                <w:rFonts w:cs="Calibri"/>
                <w:sz w:val="18"/>
                <w:szCs w:val="18"/>
                <w:vertAlign w:val="superscript"/>
              </w:rPr>
              <w:t>3,5</w:t>
            </w:r>
          </w:p>
        </w:tc>
        <w:tc>
          <w:tcPr>
            <w:tcW w:w="1542" w:type="dxa"/>
            <w:tcBorders>
              <w:top w:val="nil"/>
              <w:left w:val="nil"/>
              <w:bottom w:val="nil"/>
              <w:right w:val="nil"/>
            </w:tcBorders>
            <w:shd w:val="clear" w:color="auto" w:fill="auto"/>
          </w:tcPr>
          <w:p w:rsidR="00CF2D1E" w:rsidRPr="00CF2D1E" w:rsidRDefault="00CF2D1E" w:rsidP="00523D95">
            <w:pPr>
              <w:pStyle w:val="TableTextLeftNoIndent"/>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outlineLvl w:val="1"/>
              <w:rPr>
                <w:rFonts w:cs="Calibri"/>
                <w:sz w:val="18"/>
                <w:szCs w:val="18"/>
              </w:rPr>
            </w:pPr>
            <w:r w:rsidRPr="00CF2D1E">
              <w:rPr>
                <w:rFonts w:cs="Calibri"/>
                <w:sz w:val="18"/>
                <w:szCs w:val="18"/>
              </w:rPr>
              <w:t>n/a</w:t>
            </w:r>
          </w:p>
        </w:tc>
        <w:tc>
          <w:tcPr>
            <w:tcW w:w="1542" w:type="dxa"/>
            <w:tcBorders>
              <w:top w:val="nil"/>
              <w:left w:val="nil"/>
              <w:bottom w:val="nil"/>
              <w:right w:val="nil"/>
            </w:tcBorders>
            <w:shd w:val="clear" w:color="auto" w:fill="auto"/>
          </w:tcPr>
          <w:p w:rsidR="00CF2D1E" w:rsidRPr="00CF2D1E" w:rsidRDefault="00CF2D1E" w:rsidP="00523D95">
            <w:pPr>
              <w:pStyle w:val="TableTextLeftNoIndent"/>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outlineLvl w:val="1"/>
              <w:rPr>
                <w:rFonts w:cs="Calibri"/>
                <w:sz w:val="18"/>
                <w:szCs w:val="18"/>
              </w:rPr>
            </w:pPr>
            <w:r w:rsidRPr="00CF2D1E">
              <w:rPr>
                <w:rFonts w:cs="Calibri"/>
                <w:sz w:val="18"/>
                <w:szCs w:val="18"/>
              </w:rPr>
              <w:t>n/a</w:t>
            </w:r>
          </w:p>
        </w:tc>
        <w:tc>
          <w:tcPr>
            <w:tcW w:w="1542" w:type="dxa"/>
            <w:tcBorders>
              <w:top w:val="nil"/>
              <w:left w:val="nil"/>
              <w:bottom w:val="nil"/>
              <w:right w:val="nil"/>
            </w:tcBorders>
            <w:shd w:val="clear" w:color="auto" w:fill="auto"/>
          </w:tcPr>
          <w:p w:rsidR="00CF2D1E" w:rsidRPr="00CF2D1E" w:rsidRDefault="00CF2D1E" w:rsidP="00523D95">
            <w:pPr>
              <w:pStyle w:val="TableTextLeftNoIndent"/>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outlineLvl w:val="1"/>
              <w:rPr>
                <w:rFonts w:cs="Calibri"/>
                <w:sz w:val="18"/>
                <w:szCs w:val="18"/>
              </w:rPr>
            </w:pPr>
            <w:r w:rsidRPr="00CF2D1E">
              <w:rPr>
                <w:rFonts w:cs="Calibri"/>
                <w:sz w:val="18"/>
                <w:szCs w:val="18"/>
              </w:rPr>
              <w:t>5,370</w:t>
            </w:r>
          </w:p>
        </w:tc>
      </w:tr>
      <w:tr w:rsidR="00CF2D1E" w:rsidRPr="00CF2D1E" w:rsidTr="003D031A">
        <w:tblPrEx>
          <w:tblBorders>
            <w:top w:val="none" w:sz="0" w:space="0" w:color="auto"/>
            <w:bottom w:val="none" w:sz="0" w:space="0" w:color="auto"/>
          </w:tblBorders>
          <w:tblLook w:val="0000"/>
        </w:tblPrEx>
        <w:trPr>
          <w:cantSplit/>
        </w:trPr>
        <w:tc>
          <w:tcPr>
            <w:tcW w:w="1753" w:type="dxa"/>
            <w:vMerge w:val="restart"/>
            <w:tcBorders>
              <w:top w:val="nil"/>
              <w:left w:val="nil"/>
              <w:right w:val="nil"/>
            </w:tcBorders>
          </w:tcPr>
          <w:p w:rsidR="00CF2D1E" w:rsidRPr="00CF2D1E" w:rsidRDefault="00CF2D1E" w:rsidP="007C0B0F">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0"/>
              <w:rPr>
                <w:rFonts w:cs="Calibri"/>
                <w:sz w:val="18"/>
                <w:szCs w:val="18"/>
              </w:rPr>
            </w:pPr>
            <w:r w:rsidRPr="00CF2D1E">
              <w:rPr>
                <w:rFonts w:cs="Calibri"/>
                <w:sz w:val="18"/>
                <w:szCs w:val="18"/>
              </w:rPr>
              <w:t>Perceptions of safety</w:t>
            </w:r>
          </w:p>
          <w:p w:rsidR="00CF2D1E" w:rsidRPr="00CF2D1E" w:rsidRDefault="00CF2D1E" w:rsidP="000524C0">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rPr>
                <w:rFonts w:cs="Calibri"/>
                <w:sz w:val="18"/>
                <w:szCs w:val="18"/>
              </w:rPr>
            </w:pPr>
          </w:p>
        </w:tc>
        <w:tc>
          <w:tcPr>
            <w:tcW w:w="2721" w:type="dxa"/>
            <w:tcBorders>
              <w:top w:val="nil"/>
              <w:left w:val="nil"/>
              <w:bottom w:val="nil"/>
              <w:right w:val="nil"/>
            </w:tcBorders>
          </w:tcPr>
          <w:p w:rsidR="00CF2D1E" w:rsidRPr="00CF2D1E" w:rsidRDefault="00CF2D1E" w:rsidP="008F37D1">
            <w:pPr>
              <w:pStyle w:val="TableTextLeftNoIndent"/>
              <w:rPr>
                <w:rFonts w:cs="Calibri"/>
                <w:sz w:val="18"/>
                <w:szCs w:val="18"/>
              </w:rPr>
            </w:pPr>
            <w:r w:rsidRPr="00CF2D1E">
              <w:rPr>
                <w:rFonts w:cs="Calibri"/>
                <w:sz w:val="18"/>
                <w:szCs w:val="18"/>
              </w:rPr>
              <w:t>The proportion of people who felt ‘safe’ or ‘very safe’</w:t>
            </w:r>
            <w:r>
              <w:rPr>
                <w:rFonts w:cs="Calibri"/>
                <w:sz w:val="18"/>
                <w:szCs w:val="18"/>
              </w:rPr>
              <w:t>:</w:t>
            </w:r>
          </w:p>
        </w:tc>
        <w:tc>
          <w:tcPr>
            <w:tcW w:w="1542" w:type="dxa"/>
            <w:tcBorders>
              <w:top w:val="nil"/>
              <w:left w:val="nil"/>
              <w:bottom w:val="nil"/>
              <w:right w:val="nil"/>
            </w:tcBorders>
            <w:shd w:val="clear" w:color="auto" w:fill="auto"/>
          </w:tcPr>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142" w:hanging="142"/>
              <w:jc w:val="right"/>
              <w:rPr>
                <w:rFonts w:cs="Calibri"/>
                <w:sz w:val="18"/>
                <w:szCs w:val="18"/>
              </w:rPr>
            </w:pPr>
          </w:p>
        </w:tc>
        <w:tc>
          <w:tcPr>
            <w:tcW w:w="1542" w:type="dxa"/>
            <w:tcBorders>
              <w:top w:val="nil"/>
              <w:left w:val="nil"/>
              <w:bottom w:val="nil"/>
              <w:right w:val="nil"/>
            </w:tcBorders>
            <w:shd w:val="clear" w:color="auto" w:fill="auto"/>
          </w:tcPr>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142" w:hanging="142"/>
              <w:jc w:val="right"/>
              <w:rPr>
                <w:rFonts w:cs="Calibri"/>
                <w:sz w:val="18"/>
                <w:szCs w:val="18"/>
              </w:rPr>
            </w:pPr>
          </w:p>
        </w:tc>
        <w:tc>
          <w:tcPr>
            <w:tcW w:w="1542" w:type="dxa"/>
            <w:tcBorders>
              <w:top w:val="nil"/>
              <w:left w:val="nil"/>
              <w:bottom w:val="nil"/>
              <w:right w:val="nil"/>
            </w:tcBorders>
            <w:shd w:val="clear" w:color="auto" w:fill="auto"/>
          </w:tcPr>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142" w:hanging="142"/>
              <w:jc w:val="right"/>
              <w:rPr>
                <w:rFonts w:cs="Calibri"/>
                <w:sz w:val="18"/>
                <w:szCs w:val="18"/>
              </w:rPr>
            </w:pPr>
          </w:p>
        </w:tc>
      </w:tr>
      <w:tr w:rsidR="00CF2D1E" w:rsidRPr="00CF2D1E" w:rsidTr="003D031A">
        <w:tblPrEx>
          <w:tblBorders>
            <w:top w:val="none" w:sz="0" w:space="0" w:color="auto"/>
            <w:bottom w:val="none" w:sz="0" w:space="0" w:color="auto"/>
          </w:tblBorders>
          <w:tblLook w:val="0000"/>
        </w:tblPrEx>
        <w:trPr>
          <w:cantSplit/>
          <w:trHeight w:val="113"/>
        </w:trPr>
        <w:tc>
          <w:tcPr>
            <w:tcW w:w="1753" w:type="dxa"/>
            <w:vMerge/>
            <w:tcBorders>
              <w:left w:val="nil"/>
              <w:bottom w:val="nil"/>
              <w:right w:val="nil"/>
            </w:tcBorders>
          </w:tcPr>
          <w:p w:rsidR="00CF2D1E" w:rsidRPr="00CF2D1E" w:rsidRDefault="00CF2D1E" w:rsidP="000524C0">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142"/>
              <w:rPr>
                <w:rFonts w:cs="Calibri"/>
                <w:b/>
                <w:bCs/>
                <w:sz w:val="18"/>
                <w:szCs w:val="18"/>
              </w:rPr>
            </w:pPr>
          </w:p>
        </w:tc>
        <w:tc>
          <w:tcPr>
            <w:tcW w:w="2721" w:type="dxa"/>
            <w:tcBorders>
              <w:top w:val="nil"/>
              <w:left w:val="nil"/>
              <w:bottom w:val="nil"/>
              <w:right w:val="nil"/>
            </w:tcBorders>
          </w:tcPr>
          <w:p w:rsidR="00CF2D1E" w:rsidRPr="00CF2D1E" w:rsidRDefault="00CF2D1E" w:rsidP="0095559E">
            <w:pPr>
              <w:pStyle w:val="BodyTextIndent"/>
              <w:tabs>
                <w:tab w:val="clear" w:pos="360"/>
                <w:tab w:val="left" w:pos="284"/>
              </w:tabs>
              <w:spacing w:after="0"/>
              <w:ind w:left="284" w:hanging="284"/>
              <w:jc w:val="left"/>
              <w:rPr>
                <w:rFonts w:cs="Calibri"/>
                <w:sz w:val="18"/>
                <w:szCs w:val="18"/>
              </w:rPr>
            </w:pPr>
            <w:r w:rsidRPr="00CF2D1E">
              <w:rPr>
                <w:rFonts w:cs="Calibri"/>
                <w:sz w:val="18"/>
                <w:szCs w:val="18"/>
              </w:rPr>
              <w:t>at home</w:t>
            </w:r>
            <w:r w:rsidRPr="00CF2D1E">
              <w:rPr>
                <w:rFonts w:cs="Calibri"/>
                <w:sz w:val="18"/>
                <w:szCs w:val="18"/>
                <w:vertAlign w:val="superscript"/>
              </w:rPr>
              <w:t>1,</w:t>
            </w:r>
            <w:r w:rsidR="0095559E">
              <w:rPr>
                <w:rFonts w:cs="Calibri"/>
                <w:sz w:val="18"/>
                <w:szCs w:val="18"/>
                <w:vertAlign w:val="superscript"/>
              </w:rPr>
              <w:t>6</w:t>
            </w:r>
          </w:p>
        </w:tc>
        <w:tc>
          <w:tcPr>
            <w:tcW w:w="1542" w:type="dxa"/>
            <w:tcBorders>
              <w:top w:val="nil"/>
              <w:left w:val="nil"/>
              <w:bottom w:val="nil"/>
              <w:right w:val="nil"/>
            </w:tcBorders>
            <w:shd w:val="clear" w:color="auto" w:fill="auto"/>
          </w:tcPr>
          <w:p w:rsidR="00CF2D1E" w:rsidRPr="00CF2D1E" w:rsidRDefault="00CF2D1E" w:rsidP="007E5D20">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142" w:hanging="142"/>
              <w:jc w:val="right"/>
              <w:rPr>
                <w:rFonts w:cs="Calibri"/>
                <w:sz w:val="18"/>
                <w:szCs w:val="18"/>
              </w:rPr>
            </w:pPr>
            <w:r w:rsidRPr="00CF2D1E">
              <w:rPr>
                <w:rFonts w:cs="Calibri"/>
                <w:sz w:val="18"/>
                <w:szCs w:val="18"/>
              </w:rPr>
              <w:t>92.6%</w:t>
            </w:r>
          </w:p>
        </w:tc>
        <w:tc>
          <w:tcPr>
            <w:tcW w:w="1542" w:type="dxa"/>
            <w:tcBorders>
              <w:top w:val="nil"/>
              <w:left w:val="nil"/>
              <w:bottom w:val="nil"/>
              <w:right w:val="nil"/>
            </w:tcBorders>
            <w:shd w:val="clear" w:color="auto" w:fill="auto"/>
          </w:tcPr>
          <w:p w:rsidR="00CF2D1E" w:rsidRPr="00CF2D1E" w:rsidRDefault="00CF2D1E" w:rsidP="007E5D20">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142" w:hanging="142"/>
              <w:jc w:val="right"/>
              <w:rPr>
                <w:rFonts w:cs="Calibri"/>
                <w:sz w:val="18"/>
                <w:szCs w:val="18"/>
              </w:rPr>
            </w:pPr>
            <w:r w:rsidRPr="00CF2D1E">
              <w:rPr>
                <w:rFonts w:cs="Calibri"/>
                <w:sz w:val="18"/>
                <w:szCs w:val="18"/>
              </w:rPr>
              <w:t>90.2%</w:t>
            </w:r>
          </w:p>
        </w:tc>
        <w:tc>
          <w:tcPr>
            <w:tcW w:w="1542" w:type="dxa"/>
            <w:tcBorders>
              <w:top w:val="nil"/>
              <w:left w:val="nil"/>
              <w:bottom w:val="nil"/>
              <w:right w:val="nil"/>
            </w:tcBorders>
            <w:shd w:val="clear" w:color="auto" w:fill="auto"/>
          </w:tcPr>
          <w:p w:rsidR="00CF2D1E" w:rsidRPr="00CF2D1E" w:rsidRDefault="00CF2D1E" w:rsidP="007E5D20">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142" w:hanging="142"/>
              <w:jc w:val="right"/>
              <w:rPr>
                <w:rFonts w:cs="Calibri"/>
                <w:sz w:val="18"/>
                <w:szCs w:val="18"/>
              </w:rPr>
            </w:pPr>
            <w:r w:rsidRPr="00CF2D1E">
              <w:rPr>
                <w:rFonts w:cs="Calibri"/>
                <w:sz w:val="18"/>
                <w:szCs w:val="18"/>
              </w:rPr>
              <w:t>n/a</w:t>
            </w:r>
          </w:p>
        </w:tc>
      </w:tr>
      <w:tr w:rsidR="00CF2D1E" w:rsidRPr="00CF2D1E" w:rsidTr="003D031A">
        <w:tblPrEx>
          <w:tblBorders>
            <w:top w:val="none" w:sz="0" w:space="0" w:color="auto"/>
            <w:bottom w:val="none" w:sz="0" w:space="0" w:color="auto"/>
          </w:tblBorders>
          <w:tblLook w:val="0000"/>
        </w:tblPrEx>
        <w:trPr>
          <w:cantSplit/>
          <w:trHeight w:val="74"/>
        </w:trPr>
        <w:tc>
          <w:tcPr>
            <w:tcW w:w="1753" w:type="dxa"/>
            <w:vMerge/>
            <w:tcBorders>
              <w:left w:val="nil"/>
              <w:bottom w:val="nil"/>
              <w:right w:val="nil"/>
            </w:tcBorders>
          </w:tcPr>
          <w:p w:rsidR="00CF2D1E" w:rsidRPr="00CF2D1E" w:rsidRDefault="00CF2D1E" w:rsidP="000524C0">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142"/>
              <w:rPr>
                <w:rFonts w:cs="Calibri"/>
                <w:b/>
                <w:bCs/>
                <w:sz w:val="18"/>
                <w:szCs w:val="18"/>
              </w:rPr>
            </w:pPr>
          </w:p>
        </w:tc>
        <w:tc>
          <w:tcPr>
            <w:tcW w:w="2721" w:type="dxa"/>
            <w:tcBorders>
              <w:top w:val="nil"/>
              <w:left w:val="nil"/>
              <w:bottom w:val="nil"/>
              <w:right w:val="nil"/>
            </w:tcBorders>
          </w:tcPr>
          <w:p w:rsidR="00CF2D1E" w:rsidRPr="00CF2D1E" w:rsidRDefault="00CF2D1E" w:rsidP="0095559E">
            <w:pPr>
              <w:pStyle w:val="BodyTextIndent"/>
              <w:tabs>
                <w:tab w:val="clear" w:pos="360"/>
                <w:tab w:val="left" w:pos="284"/>
              </w:tabs>
              <w:spacing w:after="0"/>
              <w:ind w:left="284" w:hanging="284"/>
              <w:jc w:val="left"/>
              <w:rPr>
                <w:rFonts w:cs="Calibri"/>
                <w:sz w:val="18"/>
                <w:szCs w:val="18"/>
              </w:rPr>
            </w:pPr>
            <w:r w:rsidRPr="00CF2D1E">
              <w:rPr>
                <w:rFonts w:cs="Calibri"/>
                <w:sz w:val="18"/>
                <w:szCs w:val="18"/>
              </w:rPr>
              <w:t>in public places</w:t>
            </w:r>
            <w:r w:rsidRPr="00CF2D1E">
              <w:rPr>
                <w:rFonts w:cs="Calibri"/>
                <w:sz w:val="18"/>
                <w:szCs w:val="18"/>
                <w:vertAlign w:val="superscript"/>
              </w:rPr>
              <w:t>1,</w:t>
            </w:r>
            <w:r w:rsidR="0095559E">
              <w:rPr>
                <w:rFonts w:cs="Calibri"/>
                <w:sz w:val="18"/>
                <w:szCs w:val="18"/>
                <w:vertAlign w:val="superscript"/>
              </w:rPr>
              <w:t>6</w:t>
            </w:r>
          </w:p>
        </w:tc>
        <w:tc>
          <w:tcPr>
            <w:tcW w:w="1542" w:type="dxa"/>
            <w:tcBorders>
              <w:top w:val="nil"/>
              <w:left w:val="nil"/>
              <w:bottom w:val="nil"/>
              <w:right w:val="nil"/>
            </w:tcBorders>
            <w:shd w:val="clear" w:color="auto" w:fill="auto"/>
          </w:tcPr>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8"/>
                <w:szCs w:val="18"/>
              </w:rPr>
            </w:pPr>
            <w:r w:rsidRPr="00CF2D1E">
              <w:rPr>
                <w:rFonts w:cs="Calibri"/>
                <w:sz w:val="18"/>
                <w:szCs w:val="18"/>
              </w:rPr>
              <w:t>60.9%</w:t>
            </w:r>
          </w:p>
        </w:tc>
        <w:tc>
          <w:tcPr>
            <w:tcW w:w="1542" w:type="dxa"/>
            <w:tcBorders>
              <w:top w:val="nil"/>
              <w:left w:val="nil"/>
              <w:bottom w:val="nil"/>
              <w:right w:val="nil"/>
            </w:tcBorders>
            <w:shd w:val="clear" w:color="auto" w:fill="auto"/>
          </w:tcPr>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8"/>
                <w:szCs w:val="18"/>
              </w:rPr>
            </w:pPr>
            <w:r w:rsidRPr="00CF2D1E">
              <w:rPr>
                <w:rFonts w:cs="Calibri"/>
                <w:sz w:val="18"/>
                <w:szCs w:val="18"/>
              </w:rPr>
              <w:t>60.8%</w:t>
            </w:r>
          </w:p>
        </w:tc>
        <w:tc>
          <w:tcPr>
            <w:tcW w:w="1542" w:type="dxa"/>
            <w:tcBorders>
              <w:top w:val="nil"/>
              <w:left w:val="nil"/>
              <w:bottom w:val="nil"/>
              <w:right w:val="nil"/>
            </w:tcBorders>
            <w:shd w:val="clear" w:color="auto" w:fill="auto"/>
          </w:tcPr>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8"/>
                <w:szCs w:val="18"/>
              </w:rPr>
            </w:pPr>
            <w:r w:rsidRPr="00CF2D1E">
              <w:rPr>
                <w:rFonts w:cs="Calibri"/>
                <w:sz w:val="18"/>
                <w:szCs w:val="18"/>
              </w:rPr>
              <w:t>n/a</w:t>
            </w:r>
          </w:p>
        </w:tc>
      </w:tr>
      <w:tr w:rsidR="00CF2D1E" w:rsidRPr="00CF2D1E" w:rsidTr="003D031A">
        <w:tblPrEx>
          <w:tblBorders>
            <w:top w:val="none" w:sz="0" w:space="0" w:color="auto"/>
            <w:bottom w:val="none" w:sz="0" w:space="0" w:color="auto"/>
          </w:tblBorders>
          <w:tblLook w:val="0000"/>
        </w:tblPrEx>
        <w:trPr>
          <w:cantSplit/>
          <w:trHeight w:val="149"/>
        </w:trPr>
        <w:tc>
          <w:tcPr>
            <w:tcW w:w="1753" w:type="dxa"/>
            <w:tcBorders>
              <w:top w:val="nil"/>
              <w:left w:val="nil"/>
              <w:right w:val="nil"/>
            </w:tcBorders>
          </w:tcPr>
          <w:p w:rsidR="00CF2D1E" w:rsidRPr="00CF2D1E" w:rsidRDefault="00CF2D1E" w:rsidP="000524C0">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142"/>
              <w:rPr>
                <w:rFonts w:cs="Calibri"/>
                <w:sz w:val="18"/>
                <w:szCs w:val="18"/>
              </w:rPr>
            </w:pPr>
          </w:p>
        </w:tc>
        <w:tc>
          <w:tcPr>
            <w:tcW w:w="2721" w:type="dxa"/>
            <w:tcBorders>
              <w:top w:val="nil"/>
              <w:left w:val="nil"/>
              <w:bottom w:val="nil"/>
              <w:right w:val="nil"/>
            </w:tcBorders>
          </w:tcPr>
          <w:p w:rsidR="00CF2D1E" w:rsidRPr="00CF2D1E" w:rsidRDefault="00CF2D1E" w:rsidP="008F37D1">
            <w:pPr>
              <w:pStyle w:val="BodyTextIndent"/>
              <w:tabs>
                <w:tab w:val="clear" w:pos="360"/>
                <w:tab w:val="left" w:pos="284"/>
              </w:tabs>
              <w:spacing w:after="0"/>
              <w:ind w:left="284" w:hanging="284"/>
              <w:jc w:val="left"/>
              <w:rPr>
                <w:rFonts w:cs="Calibri"/>
                <w:sz w:val="18"/>
                <w:szCs w:val="18"/>
              </w:rPr>
            </w:pPr>
            <w:r w:rsidRPr="00CF2D1E">
              <w:rPr>
                <w:rFonts w:cs="Calibri"/>
                <w:sz w:val="18"/>
                <w:szCs w:val="18"/>
              </w:rPr>
              <w:t>at home by themselves during the night</w:t>
            </w:r>
            <w:r w:rsidRPr="00CF2D1E">
              <w:rPr>
                <w:rFonts w:cs="Calibri"/>
                <w:sz w:val="18"/>
                <w:szCs w:val="18"/>
                <w:vertAlign w:val="superscript"/>
              </w:rPr>
              <w:t>7,8</w:t>
            </w:r>
          </w:p>
        </w:tc>
        <w:tc>
          <w:tcPr>
            <w:tcW w:w="1542" w:type="dxa"/>
            <w:tcBorders>
              <w:top w:val="nil"/>
              <w:left w:val="nil"/>
              <w:bottom w:val="nil"/>
              <w:right w:val="nil"/>
            </w:tcBorders>
            <w:shd w:val="clear" w:color="auto" w:fill="auto"/>
          </w:tcPr>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142" w:hanging="142"/>
              <w:jc w:val="right"/>
              <w:rPr>
                <w:rFonts w:cs="Calibri"/>
                <w:sz w:val="18"/>
                <w:szCs w:val="18"/>
              </w:rPr>
            </w:pPr>
            <w:r w:rsidRPr="00CF2D1E">
              <w:rPr>
                <w:rFonts w:cs="Calibri"/>
                <w:sz w:val="18"/>
                <w:szCs w:val="18"/>
              </w:rPr>
              <w:t>n/a</w:t>
            </w:r>
          </w:p>
        </w:tc>
        <w:tc>
          <w:tcPr>
            <w:tcW w:w="1542" w:type="dxa"/>
            <w:tcBorders>
              <w:top w:val="nil"/>
              <w:left w:val="nil"/>
              <w:bottom w:val="nil"/>
              <w:right w:val="nil"/>
            </w:tcBorders>
            <w:shd w:val="clear" w:color="auto" w:fill="auto"/>
          </w:tcPr>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142" w:hanging="142"/>
              <w:jc w:val="right"/>
              <w:rPr>
                <w:rFonts w:cs="Calibri"/>
                <w:sz w:val="18"/>
                <w:szCs w:val="18"/>
              </w:rPr>
            </w:pPr>
            <w:r w:rsidRPr="00CF2D1E">
              <w:rPr>
                <w:rFonts w:cs="Calibri"/>
                <w:sz w:val="18"/>
                <w:szCs w:val="18"/>
              </w:rPr>
              <w:t>n/a</w:t>
            </w:r>
          </w:p>
        </w:tc>
        <w:tc>
          <w:tcPr>
            <w:tcW w:w="1542" w:type="dxa"/>
            <w:tcBorders>
              <w:top w:val="nil"/>
              <w:left w:val="nil"/>
              <w:bottom w:val="nil"/>
              <w:right w:val="nil"/>
            </w:tcBorders>
            <w:shd w:val="clear" w:color="auto" w:fill="auto"/>
          </w:tcPr>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142" w:hanging="142"/>
              <w:jc w:val="right"/>
              <w:rPr>
                <w:rFonts w:cs="Calibri"/>
                <w:sz w:val="18"/>
                <w:szCs w:val="18"/>
              </w:rPr>
            </w:pPr>
            <w:r w:rsidRPr="00CF2D1E">
              <w:rPr>
                <w:rFonts w:cs="Calibri"/>
                <w:sz w:val="18"/>
                <w:szCs w:val="18"/>
              </w:rPr>
              <w:t>88.5</w:t>
            </w:r>
            <w:r w:rsidR="0099247F">
              <w:rPr>
                <w:rFonts w:cs="Calibri"/>
                <w:sz w:val="18"/>
                <w:szCs w:val="18"/>
              </w:rPr>
              <w:t>%</w:t>
            </w:r>
          </w:p>
        </w:tc>
      </w:tr>
      <w:tr w:rsidR="00CF2D1E" w:rsidRPr="00CF2D1E" w:rsidTr="003D031A">
        <w:tblPrEx>
          <w:tblBorders>
            <w:top w:val="none" w:sz="0" w:space="0" w:color="auto"/>
            <w:bottom w:val="none" w:sz="0" w:space="0" w:color="auto"/>
          </w:tblBorders>
          <w:tblLook w:val="0000"/>
        </w:tblPrEx>
        <w:trPr>
          <w:cantSplit/>
        </w:trPr>
        <w:tc>
          <w:tcPr>
            <w:tcW w:w="1753" w:type="dxa"/>
            <w:tcBorders>
              <w:top w:val="nil"/>
              <w:left w:val="nil"/>
              <w:right w:val="nil"/>
            </w:tcBorders>
          </w:tcPr>
          <w:p w:rsidR="00CF2D1E" w:rsidRPr="00CF2D1E" w:rsidRDefault="00CF2D1E" w:rsidP="000524C0">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142"/>
              <w:rPr>
                <w:rFonts w:cs="Calibri"/>
                <w:sz w:val="18"/>
                <w:szCs w:val="18"/>
              </w:rPr>
            </w:pPr>
          </w:p>
        </w:tc>
        <w:tc>
          <w:tcPr>
            <w:tcW w:w="2721" w:type="dxa"/>
            <w:tcBorders>
              <w:top w:val="nil"/>
              <w:left w:val="nil"/>
              <w:bottom w:val="nil"/>
              <w:right w:val="nil"/>
            </w:tcBorders>
          </w:tcPr>
          <w:p w:rsidR="00CF2D1E" w:rsidRPr="00CF2D1E" w:rsidRDefault="00CF2D1E" w:rsidP="008F37D1">
            <w:pPr>
              <w:pStyle w:val="BodyTextIndent"/>
              <w:tabs>
                <w:tab w:val="clear" w:pos="360"/>
                <w:tab w:val="left" w:pos="284"/>
              </w:tabs>
              <w:spacing w:after="0"/>
              <w:ind w:left="284" w:hanging="284"/>
              <w:jc w:val="left"/>
              <w:rPr>
                <w:rFonts w:cs="Calibri"/>
                <w:sz w:val="18"/>
                <w:szCs w:val="18"/>
              </w:rPr>
            </w:pPr>
            <w:r w:rsidRPr="00CF2D1E">
              <w:rPr>
                <w:rFonts w:cs="Calibri"/>
                <w:sz w:val="18"/>
                <w:szCs w:val="18"/>
              </w:rPr>
              <w:t>walking by themselves in their neighbourhood during the night</w:t>
            </w:r>
            <w:r w:rsidRPr="00CF2D1E">
              <w:rPr>
                <w:rFonts w:cs="Calibri"/>
                <w:sz w:val="18"/>
                <w:szCs w:val="18"/>
                <w:vertAlign w:val="superscript"/>
              </w:rPr>
              <w:t>7,</w:t>
            </w:r>
            <w:r w:rsidR="00A719EA">
              <w:rPr>
                <w:rFonts w:cs="Calibri"/>
                <w:sz w:val="18"/>
                <w:szCs w:val="18"/>
                <w:vertAlign w:val="superscript"/>
              </w:rPr>
              <w:t>9</w:t>
            </w:r>
          </w:p>
        </w:tc>
        <w:tc>
          <w:tcPr>
            <w:tcW w:w="1542" w:type="dxa"/>
            <w:tcBorders>
              <w:top w:val="nil"/>
              <w:left w:val="nil"/>
              <w:bottom w:val="nil"/>
              <w:right w:val="nil"/>
            </w:tcBorders>
            <w:shd w:val="clear" w:color="auto" w:fill="auto"/>
          </w:tcPr>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142" w:hanging="142"/>
              <w:jc w:val="right"/>
              <w:rPr>
                <w:rFonts w:cs="Calibri"/>
                <w:sz w:val="18"/>
                <w:szCs w:val="18"/>
              </w:rPr>
            </w:pPr>
            <w:r w:rsidRPr="00CF2D1E">
              <w:rPr>
                <w:rFonts w:cs="Calibri"/>
                <w:sz w:val="18"/>
                <w:szCs w:val="18"/>
              </w:rPr>
              <w:t>n/a</w:t>
            </w:r>
          </w:p>
        </w:tc>
        <w:tc>
          <w:tcPr>
            <w:tcW w:w="1542" w:type="dxa"/>
            <w:tcBorders>
              <w:top w:val="nil"/>
              <w:left w:val="nil"/>
              <w:bottom w:val="nil"/>
              <w:right w:val="nil"/>
            </w:tcBorders>
            <w:shd w:val="clear" w:color="auto" w:fill="auto"/>
          </w:tcPr>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142" w:hanging="142"/>
              <w:jc w:val="right"/>
              <w:rPr>
                <w:rFonts w:cs="Calibri"/>
                <w:sz w:val="18"/>
                <w:szCs w:val="18"/>
              </w:rPr>
            </w:pPr>
            <w:r w:rsidRPr="00CF2D1E">
              <w:rPr>
                <w:rFonts w:cs="Calibri"/>
                <w:sz w:val="18"/>
                <w:szCs w:val="18"/>
              </w:rPr>
              <w:t>n/a</w:t>
            </w:r>
          </w:p>
        </w:tc>
        <w:tc>
          <w:tcPr>
            <w:tcW w:w="1542" w:type="dxa"/>
            <w:tcBorders>
              <w:top w:val="nil"/>
              <w:left w:val="nil"/>
              <w:bottom w:val="nil"/>
              <w:right w:val="nil"/>
            </w:tcBorders>
            <w:shd w:val="clear" w:color="auto" w:fill="auto"/>
          </w:tcPr>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142" w:hanging="142"/>
              <w:jc w:val="right"/>
              <w:rPr>
                <w:rFonts w:cs="Calibri"/>
                <w:sz w:val="18"/>
                <w:szCs w:val="18"/>
              </w:rPr>
            </w:pPr>
            <w:r w:rsidRPr="00CF2D1E">
              <w:rPr>
                <w:rFonts w:cs="Calibri"/>
                <w:sz w:val="18"/>
                <w:szCs w:val="18"/>
              </w:rPr>
              <w:t>50.3</w:t>
            </w:r>
            <w:r w:rsidR="0099247F">
              <w:rPr>
                <w:rFonts w:cs="Calibri"/>
                <w:sz w:val="18"/>
                <w:szCs w:val="18"/>
              </w:rPr>
              <w:t>%</w:t>
            </w:r>
          </w:p>
        </w:tc>
      </w:tr>
      <w:tr w:rsidR="00CF2D1E" w:rsidRPr="00CF2D1E" w:rsidTr="003D031A">
        <w:tblPrEx>
          <w:tblBorders>
            <w:top w:val="none" w:sz="0" w:space="0" w:color="auto"/>
            <w:bottom w:val="none" w:sz="0" w:space="0" w:color="auto"/>
          </w:tblBorders>
          <w:tblLook w:val="0000"/>
        </w:tblPrEx>
        <w:trPr>
          <w:cantSplit/>
        </w:trPr>
        <w:tc>
          <w:tcPr>
            <w:tcW w:w="1753" w:type="dxa"/>
            <w:vMerge w:val="restart"/>
            <w:tcBorders>
              <w:top w:val="nil"/>
              <w:left w:val="nil"/>
              <w:right w:val="nil"/>
            </w:tcBorders>
          </w:tcPr>
          <w:p w:rsidR="00CF2D1E" w:rsidRPr="00CF2D1E" w:rsidRDefault="00CF2D1E" w:rsidP="000524C0">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142"/>
              <w:rPr>
                <w:rFonts w:cs="Calibri"/>
                <w:sz w:val="18"/>
                <w:szCs w:val="18"/>
              </w:rPr>
            </w:pPr>
          </w:p>
        </w:tc>
        <w:tc>
          <w:tcPr>
            <w:tcW w:w="2721" w:type="dxa"/>
            <w:tcBorders>
              <w:top w:val="nil"/>
              <w:left w:val="nil"/>
              <w:bottom w:val="nil"/>
              <w:right w:val="nil"/>
            </w:tcBorders>
          </w:tcPr>
          <w:p w:rsidR="00CF2D1E" w:rsidRPr="00CF2D1E" w:rsidRDefault="00CF2D1E" w:rsidP="008F37D1">
            <w:pPr>
              <w:pStyle w:val="BodyTextIndent"/>
              <w:tabs>
                <w:tab w:val="clear" w:pos="360"/>
                <w:tab w:val="left" w:pos="284"/>
              </w:tabs>
              <w:spacing w:after="0"/>
              <w:ind w:left="284" w:hanging="284"/>
              <w:jc w:val="left"/>
              <w:rPr>
                <w:rFonts w:cs="Calibri"/>
                <w:sz w:val="18"/>
                <w:szCs w:val="18"/>
              </w:rPr>
            </w:pPr>
            <w:r w:rsidRPr="00CF2D1E">
              <w:rPr>
                <w:rFonts w:cs="Calibri"/>
                <w:sz w:val="18"/>
                <w:szCs w:val="18"/>
              </w:rPr>
              <w:t>by themselves travelling on public transport during the night</w:t>
            </w:r>
            <w:r w:rsidRPr="00CF2D1E">
              <w:rPr>
                <w:rFonts w:cs="Calibri"/>
                <w:sz w:val="18"/>
                <w:szCs w:val="18"/>
                <w:vertAlign w:val="superscript"/>
              </w:rPr>
              <w:t>7,1</w:t>
            </w:r>
            <w:r w:rsidR="00A719EA">
              <w:rPr>
                <w:rFonts w:cs="Calibri"/>
                <w:sz w:val="18"/>
                <w:szCs w:val="18"/>
                <w:vertAlign w:val="superscript"/>
              </w:rPr>
              <w:t>0</w:t>
            </w:r>
          </w:p>
        </w:tc>
        <w:tc>
          <w:tcPr>
            <w:tcW w:w="1542" w:type="dxa"/>
            <w:tcBorders>
              <w:top w:val="nil"/>
              <w:left w:val="nil"/>
              <w:bottom w:val="nil"/>
              <w:right w:val="nil"/>
            </w:tcBorders>
            <w:shd w:val="clear" w:color="auto" w:fill="auto"/>
          </w:tcPr>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142" w:hanging="142"/>
              <w:jc w:val="right"/>
              <w:rPr>
                <w:rFonts w:cs="Calibri"/>
                <w:sz w:val="18"/>
                <w:szCs w:val="18"/>
              </w:rPr>
            </w:pPr>
            <w:r w:rsidRPr="00CF2D1E">
              <w:rPr>
                <w:rFonts w:cs="Calibri"/>
                <w:sz w:val="18"/>
                <w:szCs w:val="18"/>
              </w:rPr>
              <w:t>n/a</w:t>
            </w:r>
          </w:p>
        </w:tc>
        <w:tc>
          <w:tcPr>
            <w:tcW w:w="1542" w:type="dxa"/>
            <w:tcBorders>
              <w:top w:val="nil"/>
              <w:left w:val="nil"/>
              <w:bottom w:val="nil"/>
              <w:right w:val="nil"/>
            </w:tcBorders>
            <w:shd w:val="clear" w:color="auto" w:fill="auto"/>
          </w:tcPr>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142" w:hanging="142"/>
              <w:jc w:val="right"/>
              <w:rPr>
                <w:rFonts w:cs="Calibri"/>
                <w:sz w:val="18"/>
                <w:szCs w:val="18"/>
              </w:rPr>
            </w:pPr>
            <w:r w:rsidRPr="00CF2D1E">
              <w:rPr>
                <w:rFonts w:cs="Calibri"/>
                <w:sz w:val="18"/>
                <w:szCs w:val="18"/>
              </w:rPr>
              <w:t>n/a</w:t>
            </w:r>
          </w:p>
        </w:tc>
        <w:tc>
          <w:tcPr>
            <w:tcW w:w="1542" w:type="dxa"/>
            <w:tcBorders>
              <w:top w:val="nil"/>
              <w:left w:val="nil"/>
              <w:bottom w:val="nil"/>
              <w:right w:val="nil"/>
            </w:tcBorders>
            <w:shd w:val="clear" w:color="auto" w:fill="auto"/>
          </w:tcPr>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142" w:hanging="142"/>
              <w:jc w:val="right"/>
              <w:rPr>
                <w:rFonts w:cs="Calibri"/>
                <w:sz w:val="18"/>
                <w:szCs w:val="18"/>
              </w:rPr>
            </w:pPr>
            <w:r w:rsidRPr="00CF2D1E">
              <w:rPr>
                <w:rFonts w:cs="Calibri"/>
                <w:sz w:val="18"/>
                <w:szCs w:val="18"/>
              </w:rPr>
              <w:t>25.8</w:t>
            </w:r>
            <w:r w:rsidR="0099247F">
              <w:rPr>
                <w:rFonts w:cs="Calibri"/>
                <w:sz w:val="18"/>
                <w:szCs w:val="18"/>
              </w:rPr>
              <w:t>%</w:t>
            </w:r>
          </w:p>
        </w:tc>
      </w:tr>
      <w:tr w:rsidR="00CF2D1E" w:rsidRPr="00CF2D1E" w:rsidTr="003D031A">
        <w:tblPrEx>
          <w:tblBorders>
            <w:top w:val="none" w:sz="0" w:space="0" w:color="auto"/>
            <w:bottom w:val="none" w:sz="0" w:space="0" w:color="auto"/>
          </w:tblBorders>
          <w:tblLook w:val="0000"/>
        </w:tblPrEx>
        <w:trPr>
          <w:cantSplit/>
          <w:trHeight w:hRule="exact" w:val="57"/>
        </w:trPr>
        <w:tc>
          <w:tcPr>
            <w:tcW w:w="1753" w:type="dxa"/>
            <w:vMerge/>
            <w:tcBorders>
              <w:left w:val="nil"/>
              <w:bottom w:val="nil"/>
              <w:right w:val="nil"/>
            </w:tcBorders>
          </w:tcPr>
          <w:p w:rsidR="00CF2D1E" w:rsidRPr="00CF2D1E" w:rsidRDefault="00CF2D1E" w:rsidP="000524C0">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142"/>
              <w:rPr>
                <w:rFonts w:cs="Calibri"/>
                <w:b/>
                <w:bCs/>
                <w:sz w:val="18"/>
                <w:szCs w:val="18"/>
              </w:rPr>
            </w:pPr>
          </w:p>
        </w:tc>
        <w:tc>
          <w:tcPr>
            <w:tcW w:w="2721" w:type="dxa"/>
            <w:tcBorders>
              <w:top w:val="nil"/>
              <w:left w:val="nil"/>
              <w:bottom w:val="nil"/>
              <w:right w:val="nil"/>
            </w:tcBorders>
          </w:tcPr>
          <w:p w:rsidR="00CF2D1E" w:rsidRPr="00CF2D1E" w:rsidRDefault="00CF2D1E" w:rsidP="008F37D1">
            <w:pPr>
              <w:pStyle w:val="TableTextLeftNoIndent"/>
              <w:rPr>
                <w:rFonts w:cs="Calibri"/>
                <w:sz w:val="18"/>
                <w:szCs w:val="18"/>
              </w:rPr>
            </w:pPr>
          </w:p>
        </w:tc>
        <w:tc>
          <w:tcPr>
            <w:tcW w:w="1542" w:type="dxa"/>
            <w:tcBorders>
              <w:top w:val="nil"/>
              <w:left w:val="nil"/>
              <w:bottom w:val="nil"/>
              <w:right w:val="nil"/>
            </w:tcBorders>
            <w:shd w:val="clear" w:color="auto" w:fill="auto"/>
          </w:tcPr>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cs="Calibri"/>
                <w:sz w:val="18"/>
                <w:szCs w:val="18"/>
              </w:rPr>
            </w:pPr>
          </w:p>
        </w:tc>
        <w:tc>
          <w:tcPr>
            <w:tcW w:w="1542" w:type="dxa"/>
            <w:tcBorders>
              <w:top w:val="nil"/>
              <w:left w:val="nil"/>
              <w:bottom w:val="nil"/>
              <w:right w:val="nil"/>
            </w:tcBorders>
            <w:shd w:val="clear" w:color="auto" w:fill="auto"/>
          </w:tcPr>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cs="Calibri"/>
                <w:sz w:val="18"/>
                <w:szCs w:val="18"/>
              </w:rPr>
            </w:pPr>
          </w:p>
        </w:tc>
        <w:tc>
          <w:tcPr>
            <w:tcW w:w="1542" w:type="dxa"/>
            <w:tcBorders>
              <w:top w:val="nil"/>
              <w:left w:val="nil"/>
              <w:bottom w:val="nil"/>
              <w:right w:val="nil"/>
            </w:tcBorders>
            <w:shd w:val="clear" w:color="auto" w:fill="auto"/>
          </w:tcPr>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cs="Calibri"/>
                <w:sz w:val="18"/>
                <w:szCs w:val="18"/>
              </w:rPr>
            </w:pPr>
          </w:p>
        </w:tc>
      </w:tr>
      <w:tr w:rsidR="00CF2D1E" w:rsidRPr="00CF2D1E" w:rsidTr="003D031A">
        <w:tblPrEx>
          <w:tblBorders>
            <w:top w:val="none" w:sz="0" w:space="0" w:color="auto"/>
            <w:bottom w:val="none" w:sz="0" w:space="0" w:color="auto"/>
          </w:tblBorders>
          <w:tblLook w:val="0000"/>
        </w:tblPrEx>
        <w:trPr>
          <w:cantSplit/>
          <w:trHeight w:val="701"/>
        </w:trPr>
        <w:tc>
          <w:tcPr>
            <w:tcW w:w="1753" w:type="dxa"/>
            <w:tcBorders>
              <w:top w:val="nil"/>
              <w:left w:val="nil"/>
              <w:bottom w:val="nil"/>
              <w:right w:val="nil"/>
            </w:tcBorders>
          </w:tcPr>
          <w:p w:rsidR="000524C0" w:rsidRDefault="000524C0" w:rsidP="000524C0">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cs="Calibri"/>
                <w:sz w:val="18"/>
                <w:szCs w:val="18"/>
              </w:rPr>
            </w:pPr>
            <w:r>
              <w:rPr>
                <w:rFonts w:cs="Calibri"/>
                <w:sz w:val="18"/>
                <w:szCs w:val="18"/>
              </w:rPr>
              <w:t>No escapes/</w:t>
            </w:r>
          </w:p>
          <w:p w:rsidR="00CF2D1E" w:rsidRPr="00CF2D1E" w:rsidRDefault="000524C0" w:rsidP="000524C0">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cs="Calibri"/>
                <w:sz w:val="18"/>
                <w:szCs w:val="18"/>
              </w:rPr>
            </w:pPr>
            <w:proofErr w:type="spellStart"/>
            <w:r>
              <w:rPr>
                <w:rFonts w:cs="Calibri"/>
                <w:sz w:val="18"/>
                <w:szCs w:val="18"/>
              </w:rPr>
              <w:t>abscond</w:t>
            </w:r>
            <w:r w:rsidR="00CF2D1E" w:rsidRPr="00CF2D1E">
              <w:rPr>
                <w:rFonts w:cs="Calibri"/>
                <w:sz w:val="18"/>
                <w:szCs w:val="18"/>
              </w:rPr>
              <w:t>ments</w:t>
            </w:r>
            <w:proofErr w:type="spellEnd"/>
            <w:r w:rsidR="00CF2D1E" w:rsidRPr="00CF2D1E">
              <w:rPr>
                <w:rFonts w:cs="Calibri"/>
                <w:sz w:val="18"/>
                <w:szCs w:val="18"/>
              </w:rPr>
              <w:t xml:space="preserve"> from custody</w:t>
            </w:r>
          </w:p>
        </w:tc>
        <w:tc>
          <w:tcPr>
            <w:tcW w:w="2721" w:type="dxa"/>
            <w:tcBorders>
              <w:top w:val="nil"/>
              <w:left w:val="nil"/>
              <w:bottom w:val="nil"/>
              <w:right w:val="nil"/>
            </w:tcBorders>
          </w:tcPr>
          <w:p w:rsidR="00CF2D1E" w:rsidRPr="00CF2D1E" w:rsidRDefault="00CF2D1E" w:rsidP="008F37D1">
            <w:pPr>
              <w:pStyle w:val="TableTextLeftNoIndent"/>
              <w:rPr>
                <w:rFonts w:cs="Calibri"/>
                <w:sz w:val="18"/>
                <w:szCs w:val="18"/>
              </w:rPr>
            </w:pPr>
            <w:r w:rsidRPr="00CF2D1E">
              <w:rPr>
                <w:rFonts w:cs="Calibri"/>
                <w:sz w:val="18"/>
                <w:szCs w:val="18"/>
              </w:rPr>
              <w:t>Number of escapes or absconds per 100 detainees</w:t>
            </w:r>
          </w:p>
        </w:tc>
        <w:tc>
          <w:tcPr>
            <w:tcW w:w="1542" w:type="dxa"/>
            <w:tcBorders>
              <w:top w:val="nil"/>
              <w:left w:val="nil"/>
              <w:bottom w:val="nil"/>
              <w:right w:val="nil"/>
            </w:tcBorders>
            <w:shd w:val="clear" w:color="auto" w:fill="auto"/>
          </w:tcPr>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8"/>
                <w:szCs w:val="18"/>
              </w:rPr>
            </w:pPr>
            <w:r w:rsidRPr="00CF2D1E">
              <w:rPr>
                <w:rFonts w:cs="Calibri"/>
                <w:sz w:val="18"/>
                <w:szCs w:val="18"/>
              </w:rPr>
              <w:t>0</w:t>
            </w:r>
          </w:p>
        </w:tc>
        <w:tc>
          <w:tcPr>
            <w:tcW w:w="1542" w:type="dxa"/>
            <w:tcBorders>
              <w:top w:val="nil"/>
              <w:left w:val="nil"/>
              <w:bottom w:val="nil"/>
              <w:right w:val="nil"/>
            </w:tcBorders>
            <w:shd w:val="clear" w:color="auto" w:fill="auto"/>
          </w:tcPr>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8"/>
                <w:szCs w:val="18"/>
              </w:rPr>
            </w:pPr>
            <w:r w:rsidRPr="00CF2D1E">
              <w:rPr>
                <w:rFonts w:cs="Calibri"/>
                <w:sz w:val="18"/>
                <w:szCs w:val="18"/>
              </w:rPr>
              <w:t>0</w:t>
            </w:r>
          </w:p>
        </w:tc>
        <w:tc>
          <w:tcPr>
            <w:tcW w:w="1542" w:type="dxa"/>
            <w:tcBorders>
              <w:top w:val="nil"/>
              <w:left w:val="nil"/>
              <w:bottom w:val="nil"/>
              <w:right w:val="nil"/>
            </w:tcBorders>
            <w:shd w:val="clear" w:color="auto" w:fill="auto"/>
          </w:tcPr>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8"/>
                <w:szCs w:val="18"/>
              </w:rPr>
            </w:pPr>
            <w:r w:rsidRPr="00CF2D1E">
              <w:rPr>
                <w:rFonts w:cs="Calibri"/>
                <w:sz w:val="18"/>
                <w:szCs w:val="18"/>
              </w:rPr>
              <w:t>0</w:t>
            </w:r>
          </w:p>
        </w:tc>
      </w:tr>
      <w:tr w:rsidR="00CF2D1E" w:rsidRPr="00CF2D1E" w:rsidTr="003D031A">
        <w:tblPrEx>
          <w:tblBorders>
            <w:top w:val="none" w:sz="0" w:space="0" w:color="auto"/>
            <w:bottom w:val="none" w:sz="0" w:space="0" w:color="auto"/>
          </w:tblBorders>
          <w:tblLook w:val="0000"/>
        </w:tblPrEx>
        <w:trPr>
          <w:cantSplit/>
          <w:trHeight w:hRule="exact" w:val="57"/>
        </w:trPr>
        <w:tc>
          <w:tcPr>
            <w:tcW w:w="1753" w:type="dxa"/>
            <w:tcBorders>
              <w:top w:val="nil"/>
              <w:left w:val="nil"/>
              <w:bottom w:val="nil"/>
              <w:right w:val="nil"/>
            </w:tcBorders>
          </w:tcPr>
          <w:p w:rsidR="00CF2D1E" w:rsidRPr="00CF2D1E" w:rsidRDefault="00CF2D1E" w:rsidP="000524C0">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142"/>
              <w:rPr>
                <w:rFonts w:cs="Calibri"/>
                <w:sz w:val="18"/>
                <w:szCs w:val="18"/>
              </w:rPr>
            </w:pPr>
          </w:p>
        </w:tc>
        <w:tc>
          <w:tcPr>
            <w:tcW w:w="2721" w:type="dxa"/>
            <w:tcBorders>
              <w:top w:val="nil"/>
              <w:left w:val="nil"/>
              <w:bottom w:val="nil"/>
              <w:right w:val="nil"/>
            </w:tcBorders>
          </w:tcPr>
          <w:p w:rsidR="00CF2D1E" w:rsidRPr="00CF2D1E" w:rsidRDefault="00CF2D1E" w:rsidP="008F37D1">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142" w:hanging="142"/>
              <w:rPr>
                <w:rFonts w:cs="Calibri"/>
                <w:sz w:val="18"/>
                <w:szCs w:val="18"/>
              </w:rPr>
            </w:pPr>
          </w:p>
        </w:tc>
        <w:tc>
          <w:tcPr>
            <w:tcW w:w="1542" w:type="dxa"/>
            <w:tcBorders>
              <w:top w:val="nil"/>
              <w:left w:val="nil"/>
              <w:bottom w:val="nil"/>
              <w:right w:val="nil"/>
            </w:tcBorders>
            <w:shd w:val="clear" w:color="auto" w:fill="auto"/>
          </w:tcPr>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8"/>
                <w:szCs w:val="18"/>
              </w:rPr>
            </w:pPr>
          </w:p>
        </w:tc>
        <w:tc>
          <w:tcPr>
            <w:tcW w:w="1542" w:type="dxa"/>
            <w:tcBorders>
              <w:top w:val="nil"/>
              <w:left w:val="nil"/>
              <w:bottom w:val="nil"/>
              <w:right w:val="nil"/>
            </w:tcBorders>
            <w:shd w:val="clear" w:color="auto" w:fill="auto"/>
          </w:tcPr>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8"/>
                <w:szCs w:val="18"/>
                <w:highlight w:val="yellow"/>
              </w:rPr>
            </w:pPr>
          </w:p>
        </w:tc>
        <w:tc>
          <w:tcPr>
            <w:tcW w:w="1542" w:type="dxa"/>
            <w:tcBorders>
              <w:top w:val="nil"/>
              <w:left w:val="nil"/>
              <w:bottom w:val="nil"/>
              <w:right w:val="nil"/>
            </w:tcBorders>
            <w:shd w:val="clear" w:color="auto" w:fill="auto"/>
          </w:tcPr>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8"/>
                <w:szCs w:val="18"/>
                <w:highlight w:val="yellow"/>
              </w:rPr>
            </w:pPr>
          </w:p>
        </w:tc>
      </w:tr>
      <w:tr w:rsidR="00CF2D1E" w:rsidRPr="00CF2D1E" w:rsidTr="003D031A">
        <w:tblPrEx>
          <w:tblBorders>
            <w:top w:val="none" w:sz="0" w:space="0" w:color="auto"/>
            <w:bottom w:val="none" w:sz="0" w:space="0" w:color="auto"/>
          </w:tblBorders>
          <w:tblLook w:val="0000"/>
        </w:tblPrEx>
        <w:trPr>
          <w:cantSplit/>
        </w:trPr>
        <w:tc>
          <w:tcPr>
            <w:tcW w:w="1753" w:type="dxa"/>
            <w:tcBorders>
              <w:top w:val="nil"/>
              <w:left w:val="nil"/>
              <w:bottom w:val="nil"/>
              <w:right w:val="nil"/>
            </w:tcBorders>
            <w:shd w:val="clear" w:color="auto" w:fill="auto"/>
          </w:tcPr>
          <w:p w:rsidR="00CF2D1E" w:rsidRPr="00CF2D1E" w:rsidRDefault="00CF2D1E" w:rsidP="000524C0">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cs="Calibri"/>
                <w:sz w:val="18"/>
                <w:szCs w:val="18"/>
              </w:rPr>
            </w:pPr>
            <w:r w:rsidRPr="00CF2D1E">
              <w:rPr>
                <w:rFonts w:cs="Calibri"/>
                <w:sz w:val="18"/>
                <w:szCs w:val="18"/>
              </w:rPr>
              <w:t>Offenders held to account</w:t>
            </w:r>
          </w:p>
        </w:tc>
        <w:tc>
          <w:tcPr>
            <w:tcW w:w="2721" w:type="dxa"/>
            <w:tcBorders>
              <w:top w:val="nil"/>
              <w:left w:val="nil"/>
              <w:bottom w:val="nil"/>
              <w:right w:val="nil"/>
            </w:tcBorders>
            <w:shd w:val="clear" w:color="auto" w:fill="auto"/>
          </w:tcPr>
          <w:p w:rsidR="00CF2D1E" w:rsidRPr="00CF2D1E" w:rsidRDefault="00CF2D1E" w:rsidP="008F37D1">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cs="Calibri"/>
                <w:sz w:val="18"/>
                <w:szCs w:val="18"/>
              </w:rPr>
            </w:pPr>
            <w:r w:rsidRPr="00CF2D1E">
              <w:rPr>
                <w:rFonts w:cs="Calibri"/>
                <w:sz w:val="18"/>
                <w:szCs w:val="18"/>
              </w:rPr>
              <w:t>Percentage and number of cases where:</w:t>
            </w:r>
            <w:r w:rsidR="0099247F">
              <w:rPr>
                <w:rFonts w:cs="Calibri"/>
                <w:sz w:val="18"/>
                <w:szCs w:val="18"/>
                <w:vertAlign w:val="superscript"/>
              </w:rPr>
              <w:t>11</w:t>
            </w:r>
          </w:p>
          <w:p w:rsidR="00CF2D1E" w:rsidRPr="00CF2D1E" w:rsidRDefault="00CF2D1E" w:rsidP="008F37D1">
            <w:pPr>
              <w:pStyle w:val="TableTextLeftNoIndent"/>
              <w:numPr>
                <w:ilvl w:val="0"/>
                <w:numId w:val="3"/>
              </w:numPr>
              <w:tabs>
                <w:tab w:val="left" w:pos="3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cs="Calibri"/>
                <w:sz w:val="18"/>
                <w:szCs w:val="18"/>
              </w:rPr>
            </w:pPr>
            <w:r w:rsidRPr="00CF2D1E">
              <w:rPr>
                <w:rFonts w:cs="Calibri"/>
                <w:sz w:val="18"/>
                <w:szCs w:val="18"/>
              </w:rPr>
              <w:t>defendants found guilty</w:t>
            </w:r>
            <w:r w:rsidRPr="00CF2D1E">
              <w:rPr>
                <w:rFonts w:cs="Calibri"/>
                <w:sz w:val="18"/>
                <w:szCs w:val="18"/>
                <w:vertAlign w:val="superscript"/>
              </w:rPr>
              <w:t>1</w:t>
            </w:r>
          </w:p>
          <w:p w:rsidR="00CF2D1E" w:rsidRPr="00CF2D1E" w:rsidRDefault="00CF2D1E" w:rsidP="008F37D1">
            <w:pPr>
              <w:pStyle w:val="TableTextLeftNoIndent"/>
              <w:numPr>
                <w:ilvl w:val="0"/>
                <w:numId w:val="3"/>
              </w:numPr>
              <w:tabs>
                <w:tab w:val="left" w:pos="3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cs="Calibri"/>
                <w:sz w:val="18"/>
                <w:szCs w:val="18"/>
              </w:rPr>
            </w:pPr>
            <w:r w:rsidRPr="00CF2D1E">
              <w:rPr>
                <w:rFonts w:cs="Calibri"/>
                <w:sz w:val="18"/>
                <w:szCs w:val="18"/>
              </w:rPr>
              <w:t>defendants pleaded guilty</w:t>
            </w:r>
            <w:r w:rsidRPr="00CF2D1E">
              <w:rPr>
                <w:rFonts w:cs="Calibri"/>
                <w:sz w:val="18"/>
                <w:szCs w:val="18"/>
                <w:vertAlign w:val="superscript"/>
              </w:rPr>
              <w:t>1</w:t>
            </w:r>
          </w:p>
          <w:p w:rsidR="00CF2D1E" w:rsidRPr="00CF2D1E" w:rsidRDefault="00CF2D1E" w:rsidP="008F37D1">
            <w:pPr>
              <w:pStyle w:val="TableTextLeftNoIndent"/>
              <w:numPr>
                <w:ilvl w:val="0"/>
                <w:numId w:val="3"/>
              </w:numPr>
              <w:tabs>
                <w:tab w:val="left" w:pos="3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cs="Calibri"/>
                <w:sz w:val="18"/>
                <w:szCs w:val="18"/>
              </w:rPr>
            </w:pPr>
            <w:r w:rsidRPr="00CF2D1E">
              <w:rPr>
                <w:rFonts w:cs="Calibri"/>
                <w:sz w:val="18"/>
                <w:szCs w:val="18"/>
              </w:rPr>
              <w:t>defendants proven guilty</w:t>
            </w:r>
            <w:r w:rsidRPr="00CF2D1E">
              <w:rPr>
                <w:rFonts w:cs="Calibri"/>
                <w:sz w:val="18"/>
                <w:szCs w:val="18"/>
                <w:vertAlign w:val="superscript"/>
              </w:rPr>
              <w:t>1</w:t>
            </w:r>
            <w:r w:rsidR="0099247F">
              <w:rPr>
                <w:rFonts w:cs="Calibri"/>
                <w:sz w:val="18"/>
                <w:szCs w:val="18"/>
                <w:vertAlign w:val="superscript"/>
              </w:rPr>
              <w:t>2</w:t>
            </w:r>
          </w:p>
          <w:p w:rsidR="00CF2D1E" w:rsidRPr="00CF2D1E" w:rsidRDefault="00CF2D1E" w:rsidP="008F37D1">
            <w:pPr>
              <w:pStyle w:val="TableTextLeftNoIndent"/>
              <w:numPr>
                <w:ilvl w:val="0"/>
                <w:numId w:val="3"/>
              </w:numPr>
              <w:tabs>
                <w:tab w:val="left" w:pos="3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cs="Calibri"/>
                <w:sz w:val="18"/>
                <w:szCs w:val="18"/>
              </w:rPr>
            </w:pPr>
            <w:r w:rsidRPr="00CF2D1E">
              <w:rPr>
                <w:rFonts w:cs="Calibri"/>
                <w:sz w:val="18"/>
                <w:szCs w:val="18"/>
              </w:rPr>
              <w:t>cases withdrawn by prosecution</w:t>
            </w:r>
          </w:p>
        </w:tc>
        <w:tc>
          <w:tcPr>
            <w:tcW w:w="1542" w:type="dxa"/>
            <w:tcBorders>
              <w:top w:val="nil"/>
              <w:left w:val="nil"/>
              <w:bottom w:val="nil"/>
              <w:right w:val="nil"/>
            </w:tcBorders>
            <w:shd w:val="clear" w:color="auto" w:fill="auto"/>
          </w:tcPr>
          <w:p w:rsid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8"/>
                <w:szCs w:val="18"/>
              </w:rPr>
            </w:pPr>
          </w:p>
          <w:p w:rsidR="001B389B" w:rsidRPr="00CF2D1E" w:rsidRDefault="001B389B"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8"/>
                <w:szCs w:val="18"/>
              </w:rPr>
            </w:pPr>
          </w:p>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8"/>
                <w:szCs w:val="18"/>
              </w:rPr>
            </w:pPr>
            <w:r w:rsidRPr="00CF2D1E">
              <w:rPr>
                <w:rFonts w:cs="Calibri"/>
                <w:sz w:val="18"/>
                <w:szCs w:val="18"/>
              </w:rPr>
              <w:t>7.5%</w:t>
            </w:r>
          </w:p>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8"/>
                <w:szCs w:val="18"/>
              </w:rPr>
            </w:pPr>
            <w:r w:rsidRPr="00CF2D1E">
              <w:rPr>
                <w:rFonts w:cs="Calibri"/>
                <w:sz w:val="18"/>
                <w:szCs w:val="18"/>
              </w:rPr>
              <w:t>66.0%</w:t>
            </w:r>
          </w:p>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8"/>
                <w:szCs w:val="18"/>
              </w:rPr>
            </w:pPr>
            <w:r w:rsidRPr="00CF2D1E">
              <w:rPr>
                <w:rFonts w:cs="Calibri"/>
                <w:sz w:val="18"/>
                <w:szCs w:val="18"/>
              </w:rPr>
              <w:t>n/a</w:t>
            </w:r>
          </w:p>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8"/>
                <w:szCs w:val="18"/>
              </w:rPr>
            </w:pPr>
            <w:r w:rsidRPr="00CF2D1E">
              <w:rPr>
                <w:rFonts w:cs="Calibri"/>
                <w:sz w:val="18"/>
                <w:szCs w:val="18"/>
              </w:rPr>
              <w:t>26.5%</w:t>
            </w:r>
          </w:p>
        </w:tc>
        <w:tc>
          <w:tcPr>
            <w:tcW w:w="1542" w:type="dxa"/>
            <w:tcBorders>
              <w:top w:val="nil"/>
              <w:left w:val="nil"/>
              <w:bottom w:val="nil"/>
              <w:right w:val="nil"/>
            </w:tcBorders>
            <w:shd w:val="clear" w:color="auto" w:fill="auto"/>
          </w:tcPr>
          <w:p w:rsid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8"/>
                <w:szCs w:val="18"/>
              </w:rPr>
            </w:pPr>
          </w:p>
          <w:p w:rsidR="001B389B" w:rsidRPr="00CF2D1E" w:rsidRDefault="001B389B"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8"/>
                <w:szCs w:val="18"/>
              </w:rPr>
            </w:pPr>
          </w:p>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8"/>
                <w:szCs w:val="18"/>
              </w:rPr>
            </w:pPr>
            <w:r w:rsidRPr="00CF2D1E">
              <w:rPr>
                <w:rFonts w:cs="Calibri"/>
                <w:sz w:val="18"/>
                <w:szCs w:val="18"/>
              </w:rPr>
              <w:t>n/a</w:t>
            </w:r>
          </w:p>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8"/>
                <w:szCs w:val="18"/>
              </w:rPr>
            </w:pPr>
            <w:r w:rsidRPr="00CF2D1E">
              <w:rPr>
                <w:rFonts w:cs="Calibri"/>
                <w:sz w:val="18"/>
                <w:szCs w:val="18"/>
              </w:rPr>
              <w:t>n/a</w:t>
            </w:r>
          </w:p>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8"/>
                <w:szCs w:val="18"/>
              </w:rPr>
            </w:pPr>
            <w:r w:rsidRPr="00CF2D1E">
              <w:rPr>
                <w:rFonts w:cs="Calibri"/>
                <w:sz w:val="18"/>
                <w:szCs w:val="18"/>
              </w:rPr>
              <w:t>75% (3,338)</w:t>
            </w:r>
          </w:p>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8"/>
                <w:szCs w:val="18"/>
              </w:rPr>
            </w:pPr>
            <w:r w:rsidRPr="00CF2D1E">
              <w:rPr>
                <w:rFonts w:cs="Calibri"/>
                <w:sz w:val="18"/>
                <w:szCs w:val="18"/>
              </w:rPr>
              <w:t>25.1% (1,118)</w:t>
            </w:r>
          </w:p>
        </w:tc>
        <w:tc>
          <w:tcPr>
            <w:tcW w:w="1542" w:type="dxa"/>
            <w:tcBorders>
              <w:top w:val="nil"/>
              <w:left w:val="nil"/>
              <w:bottom w:val="nil"/>
              <w:right w:val="nil"/>
            </w:tcBorders>
            <w:shd w:val="clear" w:color="auto" w:fill="auto"/>
          </w:tcPr>
          <w:p w:rsid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8"/>
                <w:szCs w:val="18"/>
              </w:rPr>
            </w:pPr>
          </w:p>
          <w:p w:rsidR="001B389B" w:rsidRPr="00CF2D1E" w:rsidRDefault="001B389B"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8"/>
                <w:szCs w:val="18"/>
              </w:rPr>
            </w:pPr>
          </w:p>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8"/>
                <w:szCs w:val="18"/>
              </w:rPr>
            </w:pPr>
            <w:r w:rsidRPr="00CF2D1E">
              <w:rPr>
                <w:rFonts w:cs="Calibri"/>
                <w:sz w:val="18"/>
                <w:szCs w:val="18"/>
              </w:rPr>
              <w:t>n/a</w:t>
            </w:r>
          </w:p>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8"/>
                <w:szCs w:val="18"/>
              </w:rPr>
            </w:pPr>
            <w:r w:rsidRPr="00CF2D1E">
              <w:rPr>
                <w:rFonts w:cs="Calibri"/>
                <w:sz w:val="18"/>
                <w:szCs w:val="18"/>
              </w:rPr>
              <w:t>n/a</w:t>
            </w:r>
          </w:p>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8"/>
                <w:szCs w:val="18"/>
              </w:rPr>
            </w:pPr>
            <w:r w:rsidRPr="00CF2D1E">
              <w:rPr>
                <w:rFonts w:cs="Calibri"/>
                <w:sz w:val="18"/>
                <w:szCs w:val="18"/>
              </w:rPr>
              <w:t>74.9%</w:t>
            </w:r>
          </w:p>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8"/>
                <w:szCs w:val="18"/>
              </w:rPr>
            </w:pPr>
            <w:r w:rsidRPr="00CF2D1E">
              <w:rPr>
                <w:rFonts w:cs="Calibri"/>
                <w:sz w:val="18"/>
                <w:szCs w:val="18"/>
              </w:rPr>
              <w:t>25.2%</w:t>
            </w:r>
          </w:p>
        </w:tc>
      </w:tr>
      <w:tr w:rsidR="00CF2D1E" w:rsidRPr="00CF2D1E" w:rsidTr="003D031A">
        <w:tblPrEx>
          <w:tblBorders>
            <w:top w:val="none" w:sz="0" w:space="0" w:color="auto"/>
            <w:bottom w:val="none" w:sz="0" w:space="0" w:color="auto"/>
          </w:tblBorders>
          <w:tblLook w:val="0000"/>
        </w:tblPrEx>
        <w:trPr>
          <w:cantSplit/>
          <w:trHeight w:hRule="exact" w:val="57"/>
        </w:trPr>
        <w:tc>
          <w:tcPr>
            <w:tcW w:w="1753" w:type="dxa"/>
            <w:tcBorders>
              <w:top w:val="nil"/>
              <w:left w:val="nil"/>
              <w:bottom w:val="nil"/>
              <w:right w:val="nil"/>
            </w:tcBorders>
          </w:tcPr>
          <w:p w:rsidR="00CF2D1E" w:rsidRPr="00CF2D1E" w:rsidRDefault="00CF2D1E" w:rsidP="000524C0">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cs="Calibri"/>
                <w:sz w:val="18"/>
                <w:szCs w:val="18"/>
              </w:rPr>
            </w:pPr>
          </w:p>
        </w:tc>
        <w:tc>
          <w:tcPr>
            <w:tcW w:w="2721" w:type="dxa"/>
            <w:tcBorders>
              <w:top w:val="nil"/>
              <w:left w:val="nil"/>
              <w:right w:val="nil"/>
            </w:tcBorders>
          </w:tcPr>
          <w:p w:rsidR="00CF2D1E" w:rsidRPr="00CF2D1E" w:rsidRDefault="00CF2D1E" w:rsidP="008F37D1">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cs="Calibri"/>
                <w:sz w:val="18"/>
                <w:szCs w:val="18"/>
              </w:rPr>
            </w:pPr>
          </w:p>
        </w:tc>
        <w:tc>
          <w:tcPr>
            <w:tcW w:w="1542" w:type="dxa"/>
            <w:tcBorders>
              <w:top w:val="nil"/>
              <w:left w:val="nil"/>
              <w:right w:val="nil"/>
            </w:tcBorders>
            <w:shd w:val="clear" w:color="auto" w:fill="auto"/>
          </w:tcPr>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8"/>
                <w:szCs w:val="18"/>
              </w:rPr>
            </w:pPr>
          </w:p>
        </w:tc>
        <w:tc>
          <w:tcPr>
            <w:tcW w:w="1542" w:type="dxa"/>
            <w:tcBorders>
              <w:top w:val="nil"/>
              <w:left w:val="nil"/>
              <w:right w:val="nil"/>
            </w:tcBorders>
            <w:shd w:val="clear" w:color="auto" w:fill="auto"/>
          </w:tcPr>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8"/>
                <w:szCs w:val="18"/>
              </w:rPr>
            </w:pPr>
          </w:p>
        </w:tc>
        <w:tc>
          <w:tcPr>
            <w:tcW w:w="1542" w:type="dxa"/>
            <w:tcBorders>
              <w:top w:val="nil"/>
              <w:left w:val="nil"/>
              <w:right w:val="nil"/>
            </w:tcBorders>
            <w:shd w:val="clear" w:color="auto" w:fill="auto"/>
          </w:tcPr>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8"/>
                <w:szCs w:val="18"/>
              </w:rPr>
            </w:pPr>
          </w:p>
        </w:tc>
      </w:tr>
      <w:tr w:rsidR="00CF2D1E" w:rsidRPr="00CF2D1E" w:rsidTr="003D031A">
        <w:tblPrEx>
          <w:tblBorders>
            <w:top w:val="none" w:sz="0" w:space="0" w:color="auto"/>
            <w:bottom w:val="none" w:sz="0" w:space="0" w:color="auto"/>
          </w:tblBorders>
          <w:tblLook w:val="0000"/>
        </w:tblPrEx>
        <w:trPr>
          <w:cantSplit/>
        </w:trPr>
        <w:tc>
          <w:tcPr>
            <w:tcW w:w="1753" w:type="dxa"/>
            <w:vMerge w:val="restart"/>
            <w:tcBorders>
              <w:top w:val="nil"/>
              <w:left w:val="nil"/>
              <w:right w:val="nil"/>
            </w:tcBorders>
          </w:tcPr>
          <w:p w:rsidR="00CF2D1E" w:rsidRPr="00CF2D1E" w:rsidRDefault="00CF2D1E" w:rsidP="000524C0">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Calibri"/>
                <w:sz w:val="18"/>
                <w:szCs w:val="18"/>
              </w:rPr>
            </w:pPr>
            <w:r w:rsidRPr="00CF2D1E">
              <w:rPr>
                <w:rFonts w:cs="Calibri"/>
                <w:sz w:val="18"/>
                <w:szCs w:val="18"/>
              </w:rPr>
              <w:t>Timely processing of criminal cases</w:t>
            </w:r>
          </w:p>
        </w:tc>
        <w:tc>
          <w:tcPr>
            <w:tcW w:w="2721" w:type="dxa"/>
            <w:tcBorders>
              <w:top w:val="nil"/>
              <w:left w:val="nil"/>
              <w:right w:val="nil"/>
            </w:tcBorders>
          </w:tcPr>
          <w:p w:rsidR="00CF2D1E" w:rsidRPr="00CF2D1E" w:rsidRDefault="00CF2D1E" w:rsidP="008F37D1">
            <w:pPr>
              <w:pStyle w:val="TableTextLeftNoIndent"/>
              <w:rPr>
                <w:rFonts w:cs="Calibri"/>
                <w:color w:val="000000"/>
                <w:sz w:val="18"/>
                <w:szCs w:val="18"/>
              </w:rPr>
            </w:pPr>
            <w:r w:rsidRPr="00CF2D1E">
              <w:rPr>
                <w:rFonts w:cs="Calibri"/>
                <w:color w:val="000000"/>
                <w:sz w:val="18"/>
                <w:szCs w:val="18"/>
              </w:rPr>
              <w:t>Number of criminal cases that are finalised from t</w:t>
            </w:r>
            <w:r w:rsidR="006B2C0C">
              <w:rPr>
                <w:rFonts w:cs="Calibri"/>
                <w:color w:val="000000"/>
                <w:sz w:val="18"/>
                <w:szCs w:val="18"/>
              </w:rPr>
              <w:t>ime of listing, reported by a &gt;</w:t>
            </w:r>
            <w:r w:rsidRPr="00CF2D1E">
              <w:rPr>
                <w:rFonts w:cs="Calibri"/>
                <w:color w:val="000000"/>
                <w:sz w:val="18"/>
                <w:szCs w:val="18"/>
              </w:rPr>
              <w:t>12 month time interval – Magistrates Court</w:t>
            </w:r>
            <w:r w:rsidRPr="00CF2D1E">
              <w:rPr>
                <w:rFonts w:cs="Calibri"/>
                <w:color w:val="000000"/>
                <w:sz w:val="18"/>
                <w:szCs w:val="18"/>
                <w:vertAlign w:val="superscript"/>
              </w:rPr>
              <w:t>13</w:t>
            </w:r>
          </w:p>
        </w:tc>
        <w:tc>
          <w:tcPr>
            <w:tcW w:w="1542" w:type="dxa"/>
            <w:tcBorders>
              <w:top w:val="nil"/>
              <w:left w:val="nil"/>
              <w:right w:val="nil"/>
            </w:tcBorders>
          </w:tcPr>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8"/>
                <w:szCs w:val="18"/>
              </w:rPr>
            </w:pPr>
            <w:r w:rsidRPr="00CF2D1E">
              <w:rPr>
                <w:rFonts w:cs="Calibri"/>
                <w:sz w:val="18"/>
                <w:szCs w:val="18"/>
              </w:rPr>
              <w:t>170</w:t>
            </w:r>
          </w:p>
        </w:tc>
        <w:tc>
          <w:tcPr>
            <w:tcW w:w="1542" w:type="dxa"/>
            <w:tcBorders>
              <w:top w:val="nil"/>
              <w:left w:val="nil"/>
              <w:right w:val="nil"/>
            </w:tcBorders>
          </w:tcPr>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8"/>
                <w:szCs w:val="18"/>
              </w:rPr>
            </w:pPr>
            <w:r w:rsidRPr="00CF2D1E">
              <w:rPr>
                <w:rFonts w:cs="Calibri"/>
                <w:sz w:val="18"/>
                <w:szCs w:val="18"/>
              </w:rPr>
              <w:t>170</w:t>
            </w:r>
          </w:p>
        </w:tc>
        <w:tc>
          <w:tcPr>
            <w:tcW w:w="1542" w:type="dxa"/>
            <w:tcBorders>
              <w:top w:val="nil"/>
              <w:left w:val="nil"/>
              <w:right w:val="nil"/>
            </w:tcBorders>
          </w:tcPr>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8"/>
                <w:szCs w:val="18"/>
              </w:rPr>
            </w:pPr>
            <w:r w:rsidRPr="00CF2D1E">
              <w:rPr>
                <w:rFonts w:cs="Calibri"/>
                <w:sz w:val="18"/>
                <w:szCs w:val="18"/>
              </w:rPr>
              <w:t>170</w:t>
            </w:r>
          </w:p>
        </w:tc>
      </w:tr>
      <w:tr w:rsidR="00CF2D1E" w:rsidRPr="00CF2D1E" w:rsidTr="003D031A">
        <w:tblPrEx>
          <w:tblBorders>
            <w:top w:val="none" w:sz="0" w:space="0" w:color="auto"/>
            <w:bottom w:val="none" w:sz="0" w:space="0" w:color="auto"/>
          </w:tblBorders>
          <w:tblLook w:val="0000"/>
        </w:tblPrEx>
        <w:trPr>
          <w:cantSplit/>
          <w:trHeight w:val="672"/>
        </w:trPr>
        <w:tc>
          <w:tcPr>
            <w:tcW w:w="1753" w:type="dxa"/>
            <w:vMerge/>
            <w:tcBorders>
              <w:left w:val="nil"/>
              <w:bottom w:val="single" w:sz="4" w:space="0" w:color="auto"/>
              <w:right w:val="nil"/>
            </w:tcBorders>
          </w:tcPr>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Calibri"/>
                <w:sz w:val="18"/>
                <w:szCs w:val="18"/>
              </w:rPr>
            </w:pPr>
          </w:p>
        </w:tc>
        <w:tc>
          <w:tcPr>
            <w:tcW w:w="2721" w:type="dxa"/>
            <w:tcBorders>
              <w:left w:val="nil"/>
              <w:bottom w:val="single" w:sz="4" w:space="0" w:color="auto"/>
              <w:right w:val="nil"/>
            </w:tcBorders>
          </w:tcPr>
          <w:p w:rsidR="00CF2D1E" w:rsidRPr="00CF2D1E" w:rsidRDefault="00CF2D1E" w:rsidP="008F37D1">
            <w:pPr>
              <w:pStyle w:val="TableTextLeftNoIndent"/>
              <w:rPr>
                <w:rFonts w:cs="Calibri"/>
                <w:color w:val="000000"/>
                <w:sz w:val="18"/>
                <w:szCs w:val="18"/>
              </w:rPr>
            </w:pPr>
            <w:r w:rsidRPr="00CF2D1E">
              <w:rPr>
                <w:rFonts w:cs="Calibri"/>
                <w:color w:val="000000"/>
                <w:sz w:val="18"/>
                <w:szCs w:val="18"/>
              </w:rPr>
              <w:t xml:space="preserve">Number of criminal cases that are finalised from time of </w:t>
            </w:r>
            <w:r w:rsidR="006B2C0C">
              <w:rPr>
                <w:rFonts w:cs="Calibri"/>
                <w:color w:val="000000"/>
                <w:sz w:val="18"/>
                <w:szCs w:val="18"/>
              </w:rPr>
              <w:t>listing, reported by a &gt;</w:t>
            </w:r>
            <w:r w:rsidRPr="00CF2D1E">
              <w:rPr>
                <w:rFonts w:cs="Calibri"/>
                <w:color w:val="000000"/>
                <w:sz w:val="18"/>
                <w:szCs w:val="18"/>
              </w:rPr>
              <w:t>12 month time interval – Supreme Court</w:t>
            </w:r>
            <w:r w:rsidRPr="00CF2D1E">
              <w:rPr>
                <w:rFonts w:cs="Calibri"/>
                <w:color w:val="000000"/>
                <w:sz w:val="18"/>
                <w:szCs w:val="18"/>
                <w:vertAlign w:val="superscript"/>
              </w:rPr>
              <w:t>14</w:t>
            </w:r>
          </w:p>
        </w:tc>
        <w:tc>
          <w:tcPr>
            <w:tcW w:w="1542" w:type="dxa"/>
            <w:tcBorders>
              <w:left w:val="nil"/>
              <w:bottom w:val="single" w:sz="4" w:space="0" w:color="auto"/>
              <w:right w:val="nil"/>
            </w:tcBorders>
          </w:tcPr>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8"/>
                <w:szCs w:val="18"/>
              </w:rPr>
            </w:pPr>
            <w:r w:rsidRPr="00CF2D1E">
              <w:rPr>
                <w:rFonts w:cs="Calibri"/>
                <w:sz w:val="18"/>
                <w:szCs w:val="18"/>
              </w:rPr>
              <w:t>110</w:t>
            </w:r>
          </w:p>
        </w:tc>
        <w:tc>
          <w:tcPr>
            <w:tcW w:w="1542" w:type="dxa"/>
            <w:tcBorders>
              <w:left w:val="nil"/>
              <w:bottom w:val="single" w:sz="4" w:space="0" w:color="auto"/>
              <w:right w:val="nil"/>
            </w:tcBorders>
          </w:tcPr>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8"/>
                <w:szCs w:val="18"/>
              </w:rPr>
            </w:pPr>
            <w:r w:rsidRPr="00CF2D1E">
              <w:rPr>
                <w:rFonts w:cs="Calibri"/>
                <w:sz w:val="18"/>
                <w:szCs w:val="18"/>
              </w:rPr>
              <w:t>95</w:t>
            </w:r>
          </w:p>
        </w:tc>
        <w:tc>
          <w:tcPr>
            <w:tcW w:w="1542" w:type="dxa"/>
            <w:tcBorders>
              <w:left w:val="nil"/>
              <w:bottom w:val="single" w:sz="4" w:space="0" w:color="auto"/>
              <w:right w:val="nil"/>
            </w:tcBorders>
          </w:tcPr>
          <w:p w:rsidR="00CF2D1E" w:rsidRPr="00CF2D1E" w:rsidRDefault="00CF2D1E"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8"/>
                <w:szCs w:val="18"/>
              </w:rPr>
            </w:pPr>
            <w:r w:rsidRPr="00CF2D1E">
              <w:rPr>
                <w:rFonts w:cs="Calibri"/>
                <w:sz w:val="18"/>
                <w:szCs w:val="18"/>
              </w:rPr>
              <w:t>90</w:t>
            </w:r>
          </w:p>
        </w:tc>
      </w:tr>
    </w:tbl>
    <w:p w:rsidR="008601F3" w:rsidRPr="00FB46C0" w:rsidRDefault="008601F3" w:rsidP="008601F3">
      <w:pPr>
        <w:pStyle w:val="NoteHeading0"/>
      </w:pPr>
      <w:bookmarkStart w:id="6" w:name="OLE_LINK6"/>
      <w:bookmarkStart w:id="7" w:name="OLE_LINK7"/>
      <w:r w:rsidRPr="00FB46C0">
        <w:t>Notes:</w:t>
      </w:r>
    </w:p>
    <w:bookmarkEnd w:id="4"/>
    <w:bookmarkEnd w:id="5"/>
    <w:bookmarkEnd w:id="6"/>
    <w:bookmarkEnd w:id="7"/>
    <w:p w:rsidR="008601F3" w:rsidRPr="00AF23E9" w:rsidRDefault="008601F3" w:rsidP="00A2331E">
      <w:pPr>
        <w:pStyle w:val="AINotes"/>
        <w:numPr>
          <w:ilvl w:val="0"/>
          <w:numId w:val="49"/>
        </w:numPr>
      </w:pPr>
      <w:r>
        <w:t>Discontinued measure.</w:t>
      </w:r>
    </w:p>
    <w:p w:rsidR="008601F3" w:rsidRDefault="008601F3" w:rsidP="008601F3">
      <w:pPr>
        <w:pStyle w:val="AINotes"/>
      </w:pPr>
      <w:r>
        <w:t xml:space="preserve">The 2012-13 estimated </w:t>
      </w:r>
      <w:proofErr w:type="gramStart"/>
      <w:r>
        <w:t>outcome</w:t>
      </w:r>
      <w:proofErr w:type="gramEnd"/>
      <w:r>
        <w:t xml:space="preserve"> is based on the results for person and property crime from 1 July 2012 - 31 December 2012 (353.6 plus 2587.4) doubled to provide an indication of the 2012-13 year.</w:t>
      </w:r>
    </w:p>
    <w:p w:rsidR="003C61EC" w:rsidRDefault="008601F3" w:rsidP="000A5AF5">
      <w:pPr>
        <w:pStyle w:val="AINotes"/>
      </w:pPr>
      <w:r>
        <w:t>New measure to replace ‘</w:t>
      </w:r>
      <w:r w:rsidRPr="00B95012">
        <w:t xml:space="preserve">Reduction in level of crime: Percentage change and number of known and reported criminal offences per 100,000 </w:t>
      </w:r>
      <w:proofErr w:type="gramStart"/>
      <w:r w:rsidRPr="00B95012">
        <w:t>population</w:t>
      </w:r>
      <w:proofErr w:type="gramEnd"/>
      <w:r>
        <w:t>’.</w:t>
      </w:r>
      <w:r w:rsidR="00646668" w:rsidRPr="00646668">
        <w:t xml:space="preserve"> </w:t>
      </w:r>
      <w:r w:rsidR="00646668">
        <w:t xml:space="preserve"> </w:t>
      </w:r>
      <w:r w:rsidR="00646668" w:rsidRPr="004A60D9">
        <w:t xml:space="preserve">The </w:t>
      </w:r>
      <w:r w:rsidR="00CB13D8" w:rsidRPr="004A60D9">
        <w:t>percentage change</w:t>
      </w:r>
      <w:r w:rsidR="00646668" w:rsidRPr="004A60D9">
        <w:t xml:space="preserve"> result for this indicator will also be reported in the Annual Report</w:t>
      </w:r>
      <w:r w:rsidR="00646668">
        <w:t>.</w:t>
      </w:r>
    </w:p>
    <w:p w:rsidR="008601F3" w:rsidRDefault="00A719EA" w:rsidP="008601F3">
      <w:pPr>
        <w:pStyle w:val="AINotes"/>
      </w:pPr>
      <w:r>
        <w:t xml:space="preserve">The 2013-14 </w:t>
      </w:r>
      <w:proofErr w:type="gramStart"/>
      <w:r>
        <w:t>target</w:t>
      </w:r>
      <w:proofErr w:type="gramEnd"/>
      <w:r>
        <w:t xml:space="preserve"> is the</w:t>
      </w:r>
      <w:r w:rsidR="00A646F9">
        <w:t xml:space="preserve"> average of the 2011-12 actual (770.3) and the 2012-13 estimated outcome (705.7).</w:t>
      </w:r>
    </w:p>
    <w:p w:rsidR="003C61EC" w:rsidRPr="00BF2FE4" w:rsidRDefault="00A719EA" w:rsidP="008601F3">
      <w:pPr>
        <w:pStyle w:val="AINotes"/>
      </w:pPr>
      <w:r>
        <w:t xml:space="preserve">The 2013-14 </w:t>
      </w:r>
      <w:proofErr w:type="gramStart"/>
      <w:r>
        <w:t>target</w:t>
      </w:r>
      <w:proofErr w:type="gramEnd"/>
      <w:r>
        <w:t xml:space="preserve"> is the</w:t>
      </w:r>
      <w:r w:rsidR="003C61EC">
        <w:t xml:space="preserve"> average of the 2011-12 actual (5,522.2) and the 2012-13 estimated outcome (5,217.8)</w:t>
      </w:r>
      <w:r w:rsidR="000C019B">
        <w:t>.</w:t>
      </w:r>
    </w:p>
    <w:p w:rsidR="008601F3" w:rsidRDefault="008601F3" w:rsidP="008601F3">
      <w:pPr>
        <w:pStyle w:val="AINotes"/>
      </w:pPr>
      <w:r>
        <w:lastRenderedPageBreak/>
        <w:t xml:space="preserve">The 2012-13 estimated </w:t>
      </w:r>
      <w:proofErr w:type="gramStart"/>
      <w:r>
        <w:t>outcome</w:t>
      </w:r>
      <w:proofErr w:type="gramEnd"/>
      <w:r>
        <w:t xml:space="preserve"> is based on the National Survey of Community Satisfaction with Policing December 2012 quarter results.</w:t>
      </w:r>
    </w:p>
    <w:p w:rsidR="008601F3" w:rsidRDefault="008601F3" w:rsidP="008601F3">
      <w:pPr>
        <w:pStyle w:val="AINotes"/>
      </w:pPr>
      <w:r>
        <w:t>New measure to replace the former ‘Perception of safety’ measures.</w:t>
      </w:r>
      <w:r w:rsidR="00653F1A">
        <w:t xml:space="preserve">  The 2013</w:t>
      </w:r>
      <w:r w:rsidR="00653F1A">
        <w:noBreakHyphen/>
        <w:t xml:space="preserve">14 target is the </w:t>
      </w:r>
      <w:r w:rsidR="00CB66B0">
        <w:t>“</w:t>
      </w:r>
      <w:r w:rsidR="00653F1A">
        <w:t>National Average o</w:t>
      </w:r>
      <w:r w:rsidR="00CB66B0">
        <w:t>r</w:t>
      </w:r>
      <w:r w:rsidR="00653F1A">
        <w:t xml:space="preserve"> better</w:t>
      </w:r>
      <w:r w:rsidR="00CB66B0">
        <w:t>”</w:t>
      </w:r>
      <w:r w:rsidR="00653F1A">
        <w:t>.  This r</w:t>
      </w:r>
      <w:r w:rsidR="00CB66B0">
        <w:t>esult is based on the National S</w:t>
      </w:r>
      <w:r w:rsidR="00653F1A">
        <w:t>urvey of Community Satisfaction with Policing December 2012 quarter results.</w:t>
      </w:r>
    </w:p>
    <w:p w:rsidR="008601F3" w:rsidRDefault="008601F3" w:rsidP="008601F3">
      <w:pPr>
        <w:pStyle w:val="AINotes"/>
      </w:pPr>
      <w:r>
        <w:t xml:space="preserve">This </w:t>
      </w:r>
      <w:r w:rsidR="006860BD">
        <w:t>measure</w:t>
      </w:r>
      <w:r>
        <w:t xml:space="preserve"> is based on the following specific question taken from the National Survey of Community Satisfaction: How safe do you feel at home by yourself during the night?</w:t>
      </w:r>
    </w:p>
    <w:p w:rsidR="00A719EA" w:rsidRDefault="00A719EA" w:rsidP="00A719EA">
      <w:pPr>
        <w:pStyle w:val="AINotes"/>
      </w:pPr>
      <w:r>
        <w:t xml:space="preserve">This measure is based on the following specific question taken from the National Survey of Community Satisfaction: </w:t>
      </w:r>
      <w:r w:rsidRPr="00B66C6E">
        <w:t xml:space="preserve">How safe do you feel when you are by yourself, walking in your neighbourhood </w:t>
      </w:r>
      <w:r>
        <w:t>during the night</w:t>
      </w:r>
      <w:r w:rsidRPr="00B66C6E">
        <w:t>?</w:t>
      </w:r>
    </w:p>
    <w:p w:rsidR="00295324" w:rsidRDefault="005938C2" w:rsidP="005938C2">
      <w:pPr>
        <w:pStyle w:val="AINotes"/>
      </w:pPr>
      <w:r>
        <w:t xml:space="preserve">This measure is based on the following specific question taken from the National Survey of Community Satisfaction: </w:t>
      </w:r>
      <w:r w:rsidRPr="00B66C6E">
        <w:t xml:space="preserve">How safe do you feel when you are by yourself, travelling on public transport </w:t>
      </w:r>
      <w:r>
        <w:t>during the night</w:t>
      </w:r>
      <w:r w:rsidRPr="00B66C6E">
        <w:t>?</w:t>
      </w:r>
    </w:p>
    <w:p w:rsidR="008601F3" w:rsidRPr="00BF2FE4" w:rsidRDefault="008601F3" w:rsidP="008601F3">
      <w:pPr>
        <w:pStyle w:val="AINotes"/>
        <w:rPr>
          <w:iCs/>
          <w:szCs w:val="16"/>
        </w:rPr>
      </w:pPr>
      <w:r>
        <w:rPr>
          <w:iCs/>
        </w:rPr>
        <w:t>2012-13</w:t>
      </w:r>
      <w:r w:rsidRPr="00BF2FE4">
        <w:rPr>
          <w:iCs/>
        </w:rPr>
        <w:t xml:space="preserve"> estimated outcome figures are derived from Australian Bureau of Statistics data for </w:t>
      </w:r>
      <w:r>
        <w:rPr>
          <w:iCs/>
        </w:rPr>
        <w:t>2011-12</w:t>
      </w:r>
      <w:r w:rsidRPr="00BF2FE4">
        <w:rPr>
          <w:iCs/>
        </w:rPr>
        <w:t xml:space="preserve"> which will be reported </w:t>
      </w:r>
      <w:proofErr w:type="gramStart"/>
      <w:r w:rsidRPr="00BF2FE4">
        <w:rPr>
          <w:iCs/>
        </w:rPr>
        <w:t xml:space="preserve">in the </w:t>
      </w:r>
      <w:r>
        <w:rPr>
          <w:iCs/>
        </w:rPr>
        <w:t>2012-13</w:t>
      </w:r>
      <w:r w:rsidRPr="00BF2FE4">
        <w:rPr>
          <w:iCs/>
        </w:rPr>
        <w:t xml:space="preserve"> Annual Report</w:t>
      </w:r>
      <w:proofErr w:type="gramEnd"/>
      <w:r w:rsidRPr="00BF2FE4">
        <w:rPr>
          <w:iCs/>
        </w:rPr>
        <w:t xml:space="preserve">.  </w:t>
      </w:r>
      <w:r>
        <w:rPr>
          <w:iCs/>
        </w:rPr>
        <w:t xml:space="preserve">The </w:t>
      </w:r>
      <w:r>
        <w:t>2013-14</w:t>
      </w:r>
      <w:r w:rsidRPr="00BF2FE4">
        <w:t xml:space="preserve"> </w:t>
      </w:r>
      <w:proofErr w:type="gramStart"/>
      <w:r w:rsidRPr="00BF2FE4">
        <w:t>target</w:t>
      </w:r>
      <w:proofErr w:type="gramEnd"/>
      <w:r w:rsidRPr="00BF2FE4">
        <w:t xml:space="preserve"> shown are the averaged percentage result for the previous two reported financial years.</w:t>
      </w:r>
    </w:p>
    <w:p w:rsidR="008601F3" w:rsidRDefault="008601F3" w:rsidP="008601F3">
      <w:pPr>
        <w:pStyle w:val="AINotes"/>
      </w:pPr>
      <w:r>
        <w:t>This is a new measure as the ABS no longer provides separate data on guilty findings and guilty plea</w:t>
      </w:r>
      <w:r w:rsidR="00712ED2">
        <w:t>s</w:t>
      </w:r>
      <w:r>
        <w:t>.</w:t>
      </w:r>
    </w:p>
    <w:p w:rsidR="00295324" w:rsidRPr="00295324" w:rsidRDefault="00295324" w:rsidP="00295324">
      <w:pPr>
        <w:pStyle w:val="AINotes"/>
      </w:pPr>
      <w:r w:rsidRPr="0017222A">
        <w:t>The Magistrates Court has been concentrating more recently on understanding and clearing long wait cases.</w:t>
      </w:r>
    </w:p>
    <w:p w:rsidR="008601F3" w:rsidRPr="009121BE" w:rsidRDefault="008601F3" w:rsidP="008601F3">
      <w:pPr>
        <w:pStyle w:val="AINotes"/>
      </w:pPr>
      <w:r w:rsidRPr="009121BE">
        <w:t>While the “Blitz” and associated work will assist in reducing the overall backlog in the Supreme Court, resident judges are responsible for long wait criminal matters. A number of matters in this category are more complex matters involving multiple accused.</w:t>
      </w:r>
    </w:p>
    <w:p w:rsidR="008601F3" w:rsidRPr="00FB46C0" w:rsidRDefault="008601F3" w:rsidP="008601F3">
      <w:pPr>
        <w:pStyle w:val="SIHeading1"/>
      </w:pPr>
      <w:r w:rsidRPr="00FB46C0">
        <w:t>Strategic Objective 3</w:t>
      </w:r>
    </w:p>
    <w:p w:rsidR="008601F3" w:rsidRPr="00FB46C0" w:rsidRDefault="008601F3" w:rsidP="008601F3">
      <w:pPr>
        <w:pStyle w:val="SIHeading2"/>
      </w:pPr>
      <w:r w:rsidRPr="00FB46C0">
        <w:t>Safe Community — Emergency Services</w:t>
      </w:r>
    </w:p>
    <w:p w:rsidR="008601F3" w:rsidRPr="00FB46C0" w:rsidRDefault="008601F3" w:rsidP="008601F3">
      <w:pPr>
        <w:pStyle w:val="SIHeading1"/>
        <w:jc w:val="left"/>
      </w:pPr>
      <w:r>
        <w:t xml:space="preserve">Strategic Indicator 3:  </w:t>
      </w:r>
      <w:r w:rsidRPr="00DD51E6">
        <w:rPr>
          <w:b w:val="0"/>
        </w:rPr>
        <w:t>Emergency Related Community Safety</w:t>
      </w:r>
    </w:p>
    <w:tbl>
      <w:tblPr>
        <w:tblW w:w="9100" w:type="dxa"/>
        <w:tblBorders>
          <w:top w:val="single" w:sz="4" w:space="0" w:color="auto"/>
          <w:bottom w:val="single" w:sz="4" w:space="0" w:color="auto"/>
        </w:tblBorders>
        <w:tblLayout w:type="fixed"/>
        <w:tblLook w:val="01E0"/>
      </w:tblPr>
      <w:tblGrid>
        <w:gridCol w:w="1753"/>
        <w:gridCol w:w="2721"/>
        <w:gridCol w:w="1542"/>
        <w:gridCol w:w="1542"/>
        <w:gridCol w:w="1542"/>
      </w:tblGrid>
      <w:tr w:rsidR="00246C18" w:rsidRPr="00FB46C0" w:rsidTr="0073064A">
        <w:tc>
          <w:tcPr>
            <w:tcW w:w="1753" w:type="dxa"/>
            <w:tcBorders>
              <w:top w:val="single" w:sz="4" w:space="0" w:color="auto"/>
              <w:bottom w:val="single" w:sz="4" w:space="0" w:color="auto"/>
            </w:tcBorders>
          </w:tcPr>
          <w:p w:rsidR="00246C18" w:rsidRPr="00FB46C0" w:rsidRDefault="00246C18" w:rsidP="0073064A">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19"/>
                <w:szCs w:val="19"/>
              </w:rPr>
            </w:pPr>
            <w:r w:rsidRPr="00FB46C0">
              <w:rPr>
                <w:rFonts w:cs="Calibri"/>
                <w:sz w:val="19"/>
                <w:szCs w:val="19"/>
              </w:rPr>
              <w:t>Success</w:t>
            </w:r>
          </w:p>
        </w:tc>
        <w:tc>
          <w:tcPr>
            <w:tcW w:w="2721" w:type="dxa"/>
            <w:tcBorders>
              <w:top w:val="single" w:sz="4" w:space="0" w:color="auto"/>
              <w:bottom w:val="single" w:sz="4" w:space="0" w:color="auto"/>
            </w:tcBorders>
          </w:tcPr>
          <w:p w:rsidR="00246C18" w:rsidRPr="00FB46C0" w:rsidRDefault="00246C18" w:rsidP="0073064A">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19"/>
                <w:szCs w:val="19"/>
              </w:rPr>
            </w:pPr>
            <w:r w:rsidRPr="00FB46C0">
              <w:rPr>
                <w:rFonts w:cs="Calibri"/>
                <w:sz w:val="19"/>
                <w:szCs w:val="19"/>
              </w:rPr>
              <w:t xml:space="preserve">Strategic Indicator </w:t>
            </w:r>
          </w:p>
        </w:tc>
        <w:tc>
          <w:tcPr>
            <w:tcW w:w="1542" w:type="dxa"/>
            <w:tcBorders>
              <w:top w:val="single" w:sz="4" w:space="0" w:color="auto"/>
              <w:bottom w:val="single" w:sz="4" w:space="0" w:color="auto"/>
            </w:tcBorders>
          </w:tcPr>
          <w:p w:rsidR="00246C18" w:rsidRPr="00FB46C0" w:rsidRDefault="00246C18" w:rsidP="0073064A">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Pr>
                <w:rFonts w:cs="Calibri"/>
                <w:sz w:val="19"/>
                <w:szCs w:val="19"/>
              </w:rPr>
              <w:t>2012-13</w:t>
            </w:r>
          </w:p>
          <w:p w:rsidR="00246C18" w:rsidRPr="00FB46C0" w:rsidRDefault="00246C18" w:rsidP="0073064A">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sidRPr="00FB46C0">
              <w:rPr>
                <w:rFonts w:cs="Calibri"/>
                <w:sz w:val="19"/>
                <w:szCs w:val="19"/>
              </w:rPr>
              <w:t>Target</w:t>
            </w:r>
          </w:p>
        </w:tc>
        <w:tc>
          <w:tcPr>
            <w:tcW w:w="1542" w:type="dxa"/>
            <w:tcBorders>
              <w:top w:val="single" w:sz="4" w:space="0" w:color="auto"/>
              <w:bottom w:val="single" w:sz="4" w:space="0" w:color="auto"/>
            </w:tcBorders>
          </w:tcPr>
          <w:p w:rsidR="00246C18" w:rsidRPr="00FB46C0" w:rsidRDefault="00246C18" w:rsidP="0073064A">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Pr>
                <w:rFonts w:cs="Calibri"/>
                <w:sz w:val="19"/>
                <w:szCs w:val="19"/>
              </w:rPr>
              <w:t>2012-13</w:t>
            </w:r>
          </w:p>
          <w:p w:rsidR="00246C18" w:rsidRPr="00FB46C0" w:rsidRDefault="00246C18" w:rsidP="0073064A">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sidRPr="00FB46C0">
              <w:rPr>
                <w:rFonts w:cs="Calibri"/>
                <w:sz w:val="19"/>
                <w:szCs w:val="19"/>
              </w:rPr>
              <w:t>Est. Outcome</w:t>
            </w:r>
          </w:p>
        </w:tc>
        <w:tc>
          <w:tcPr>
            <w:tcW w:w="1542" w:type="dxa"/>
            <w:tcBorders>
              <w:top w:val="single" w:sz="4" w:space="0" w:color="auto"/>
              <w:bottom w:val="single" w:sz="4" w:space="0" w:color="auto"/>
            </w:tcBorders>
          </w:tcPr>
          <w:p w:rsidR="00246C18" w:rsidRPr="00FB46C0" w:rsidRDefault="00246C18" w:rsidP="0073064A">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Pr>
                <w:rFonts w:cs="Calibri"/>
                <w:sz w:val="19"/>
                <w:szCs w:val="19"/>
              </w:rPr>
              <w:t>2013-14</w:t>
            </w:r>
          </w:p>
          <w:p w:rsidR="00246C18" w:rsidRPr="00FB46C0" w:rsidRDefault="00246C18" w:rsidP="0073064A">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sidRPr="00FB46C0">
              <w:rPr>
                <w:rFonts w:cs="Calibri"/>
                <w:sz w:val="19"/>
                <w:szCs w:val="19"/>
              </w:rPr>
              <w:t>Target</w:t>
            </w:r>
          </w:p>
        </w:tc>
      </w:tr>
      <w:tr w:rsidR="00C418F1" w:rsidRPr="007E5D20" w:rsidTr="00246C18">
        <w:tblPrEx>
          <w:tblBorders>
            <w:top w:val="none" w:sz="0" w:space="0" w:color="auto"/>
            <w:bottom w:val="none" w:sz="0" w:space="0" w:color="auto"/>
          </w:tblBorders>
        </w:tblPrEx>
        <w:tc>
          <w:tcPr>
            <w:tcW w:w="1753" w:type="dxa"/>
            <w:vMerge w:val="restart"/>
            <w:tcBorders>
              <w:top w:val="single" w:sz="4" w:space="0" w:color="auto"/>
            </w:tcBorders>
          </w:tcPr>
          <w:p w:rsidR="00C418F1" w:rsidRPr="007E5D20" w:rsidRDefault="00C418F1" w:rsidP="00C418F1">
            <w:pPr>
              <w:pStyle w:val="TableTextLeftNoIndent"/>
              <w:spacing w:before="60" w:after="100" w:afterAutospacing="1"/>
              <w:rPr>
                <w:rFonts w:eastAsia="Arial Unicode MS" w:cs="Calibri"/>
                <w:sz w:val="18"/>
                <w:szCs w:val="18"/>
                <w:vertAlign w:val="superscript"/>
              </w:rPr>
            </w:pPr>
            <w:r w:rsidRPr="007E5D20">
              <w:rPr>
                <w:rFonts w:eastAsia="Arial Unicode MS" w:cs="Calibri"/>
                <w:sz w:val="18"/>
                <w:szCs w:val="18"/>
              </w:rPr>
              <w:t>Increased community resilience for emergencies</w:t>
            </w:r>
            <w:r w:rsidRPr="007E5D20">
              <w:rPr>
                <w:rFonts w:eastAsia="Arial Unicode MS" w:cs="Calibri"/>
                <w:sz w:val="18"/>
                <w:szCs w:val="18"/>
                <w:vertAlign w:val="superscript"/>
              </w:rPr>
              <w:t>1</w:t>
            </w:r>
          </w:p>
          <w:p w:rsidR="00C418F1" w:rsidRPr="007E5D20" w:rsidRDefault="00C418F1" w:rsidP="007E5D20">
            <w:pPr>
              <w:pStyle w:val="TableTextLeftNoIndent"/>
              <w:spacing w:before="60" w:after="100" w:afterAutospacing="1"/>
              <w:rPr>
                <w:rFonts w:eastAsia="Arial Unicode MS" w:cs="Calibri"/>
                <w:sz w:val="18"/>
                <w:szCs w:val="18"/>
              </w:rPr>
            </w:pPr>
          </w:p>
        </w:tc>
        <w:tc>
          <w:tcPr>
            <w:tcW w:w="2721" w:type="dxa"/>
            <w:tcBorders>
              <w:top w:val="single" w:sz="4" w:space="0" w:color="auto"/>
            </w:tcBorders>
          </w:tcPr>
          <w:p w:rsidR="00C418F1" w:rsidRPr="007E5D20" w:rsidRDefault="00C418F1" w:rsidP="006B606F">
            <w:pPr>
              <w:pStyle w:val="TableTextLeftNoIndent"/>
              <w:spacing w:before="60" w:after="100" w:afterAutospacing="1"/>
              <w:rPr>
                <w:rFonts w:eastAsia="Arial Unicode MS" w:cs="Calibri"/>
                <w:sz w:val="18"/>
                <w:szCs w:val="18"/>
              </w:rPr>
            </w:pPr>
            <w:r w:rsidRPr="007E5D20">
              <w:rPr>
                <w:rFonts w:eastAsia="Arial Unicode MS" w:cs="Calibri"/>
                <w:sz w:val="18"/>
                <w:szCs w:val="18"/>
              </w:rPr>
              <w:t>Percentage of targeted community members aware of hazards</w:t>
            </w:r>
          </w:p>
        </w:tc>
        <w:tc>
          <w:tcPr>
            <w:tcW w:w="1542" w:type="dxa"/>
            <w:tcBorders>
              <w:top w:val="single" w:sz="4" w:space="0" w:color="auto"/>
            </w:tcBorders>
          </w:tcPr>
          <w:p w:rsidR="00C418F1" w:rsidRPr="007E5D20" w:rsidRDefault="00C418F1" w:rsidP="00C418F1">
            <w:pPr>
              <w:pStyle w:val="TableNumbersRight"/>
              <w:spacing w:before="60" w:after="100" w:afterAutospacing="1"/>
              <w:rPr>
                <w:rFonts w:eastAsia="Arial Unicode MS" w:cs="Calibri"/>
                <w:sz w:val="18"/>
                <w:szCs w:val="18"/>
              </w:rPr>
            </w:pPr>
            <w:r w:rsidRPr="007E5D20">
              <w:rPr>
                <w:rFonts w:eastAsia="Arial Unicode MS" w:cs="Calibri"/>
                <w:sz w:val="18"/>
                <w:szCs w:val="18"/>
              </w:rPr>
              <w:t>100%</w:t>
            </w:r>
          </w:p>
        </w:tc>
        <w:tc>
          <w:tcPr>
            <w:tcW w:w="1542" w:type="dxa"/>
            <w:tcBorders>
              <w:top w:val="single" w:sz="4" w:space="0" w:color="auto"/>
            </w:tcBorders>
            <w:shd w:val="clear" w:color="auto" w:fill="auto"/>
          </w:tcPr>
          <w:p w:rsidR="00C418F1" w:rsidRPr="007E5D20" w:rsidRDefault="00C418F1" w:rsidP="00C418F1">
            <w:pPr>
              <w:pStyle w:val="TableNumbersRight"/>
              <w:spacing w:before="60" w:after="100" w:afterAutospacing="1"/>
              <w:rPr>
                <w:rFonts w:eastAsia="Arial Unicode MS" w:cs="Calibri"/>
                <w:sz w:val="18"/>
                <w:szCs w:val="18"/>
              </w:rPr>
            </w:pPr>
            <w:r w:rsidRPr="007E5D20">
              <w:rPr>
                <w:rFonts w:eastAsia="Arial Unicode MS" w:cs="Calibri"/>
                <w:sz w:val="18"/>
                <w:szCs w:val="18"/>
              </w:rPr>
              <w:t>100%</w:t>
            </w:r>
          </w:p>
        </w:tc>
        <w:tc>
          <w:tcPr>
            <w:tcW w:w="1542" w:type="dxa"/>
            <w:tcBorders>
              <w:top w:val="single" w:sz="4" w:space="0" w:color="auto"/>
            </w:tcBorders>
            <w:shd w:val="clear" w:color="auto" w:fill="auto"/>
          </w:tcPr>
          <w:p w:rsidR="00C418F1" w:rsidRPr="007E5D20" w:rsidRDefault="00C418F1" w:rsidP="00C418F1">
            <w:pPr>
              <w:pStyle w:val="TableNumbersRight"/>
              <w:spacing w:before="60" w:after="100" w:afterAutospacing="1"/>
              <w:rPr>
                <w:rFonts w:eastAsia="Arial Unicode MS" w:cs="Calibri"/>
                <w:sz w:val="18"/>
                <w:szCs w:val="18"/>
              </w:rPr>
            </w:pPr>
            <w:r w:rsidRPr="007E5D20">
              <w:rPr>
                <w:rFonts w:eastAsia="Arial Unicode MS" w:cs="Calibri"/>
                <w:sz w:val="18"/>
                <w:szCs w:val="18"/>
              </w:rPr>
              <w:t>100%</w:t>
            </w:r>
          </w:p>
        </w:tc>
      </w:tr>
      <w:tr w:rsidR="00C418F1" w:rsidRPr="007E5D20" w:rsidTr="00246C18">
        <w:tblPrEx>
          <w:tblBorders>
            <w:top w:val="none" w:sz="0" w:space="0" w:color="auto"/>
            <w:bottom w:val="none" w:sz="0" w:space="0" w:color="auto"/>
          </w:tblBorders>
        </w:tblPrEx>
        <w:tc>
          <w:tcPr>
            <w:tcW w:w="1753" w:type="dxa"/>
            <w:vMerge/>
          </w:tcPr>
          <w:p w:rsidR="00C418F1" w:rsidRPr="007E5D20" w:rsidRDefault="00C418F1" w:rsidP="007E5D20">
            <w:pPr>
              <w:pStyle w:val="TableTextLeftNoIndent"/>
              <w:spacing w:before="60" w:after="100" w:afterAutospacing="1"/>
              <w:rPr>
                <w:rFonts w:eastAsia="Arial Unicode MS" w:cs="Calibri"/>
                <w:sz w:val="18"/>
                <w:szCs w:val="18"/>
              </w:rPr>
            </w:pPr>
          </w:p>
        </w:tc>
        <w:tc>
          <w:tcPr>
            <w:tcW w:w="2721" w:type="dxa"/>
          </w:tcPr>
          <w:p w:rsidR="00C418F1" w:rsidRPr="007E5D20" w:rsidRDefault="00C418F1" w:rsidP="006B606F">
            <w:pPr>
              <w:pStyle w:val="TableTextLeftNoIndent"/>
              <w:spacing w:before="60" w:after="100" w:afterAutospacing="1"/>
              <w:rPr>
                <w:rFonts w:eastAsia="Arial Unicode MS" w:cs="Calibri"/>
                <w:sz w:val="18"/>
                <w:szCs w:val="18"/>
              </w:rPr>
            </w:pPr>
            <w:r w:rsidRPr="007E5D20">
              <w:rPr>
                <w:rFonts w:eastAsia="Arial Unicode MS" w:cs="Calibri"/>
                <w:sz w:val="18"/>
                <w:szCs w:val="18"/>
              </w:rPr>
              <w:t>Percentage and number of targeted community members who report they are prepared for relevant hazards</w:t>
            </w:r>
            <w:r w:rsidRPr="007E5D20">
              <w:rPr>
                <w:rFonts w:eastAsia="Arial Unicode MS" w:cs="Calibri"/>
                <w:sz w:val="18"/>
                <w:szCs w:val="18"/>
                <w:vertAlign w:val="superscript"/>
              </w:rPr>
              <w:t>2</w:t>
            </w:r>
            <w:r w:rsidR="006B606F">
              <w:rPr>
                <w:rFonts w:eastAsia="Arial Unicode MS" w:cs="Calibri"/>
                <w:sz w:val="18"/>
                <w:szCs w:val="18"/>
                <w:vertAlign w:val="superscript"/>
              </w:rPr>
              <w:t>,3</w:t>
            </w:r>
          </w:p>
        </w:tc>
        <w:tc>
          <w:tcPr>
            <w:tcW w:w="1542" w:type="dxa"/>
          </w:tcPr>
          <w:p w:rsidR="00C418F1" w:rsidRPr="007E5D20" w:rsidRDefault="00C418F1" w:rsidP="00C418F1">
            <w:pPr>
              <w:pStyle w:val="TableNumbersRight"/>
              <w:spacing w:before="60" w:after="100" w:afterAutospacing="1"/>
              <w:rPr>
                <w:rFonts w:eastAsia="Arial Unicode MS" w:cs="Calibri"/>
                <w:sz w:val="18"/>
                <w:szCs w:val="18"/>
              </w:rPr>
            </w:pPr>
            <w:r w:rsidRPr="007E5D20">
              <w:rPr>
                <w:rFonts w:eastAsia="Arial Unicode MS" w:cs="Calibri"/>
                <w:sz w:val="18"/>
                <w:szCs w:val="18"/>
              </w:rPr>
              <w:t>90%</w:t>
            </w:r>
          </w:p>
        </w:tc>
        <w:tc>
          <w:tcPr>
            <w:tcW w:w="1542" w:type="dxa"/>
            <w:shd w:val="clear" w:color="auto" w:fill="auto"/>
          </w:tcPr>
          <w:p w:rsidR="00C418F1" w:rsidRPr="007E5D20" w:rsidRDefault="00C418F1" w:rsidP="00C418F1">
            <w:pPr>
              <w:pStyle w:val="TableNumbersRight"/>
              <w:spacing w:before="60" w:after="100" w:afterAutospacing="1"/>
              <w:rPr>
                <w:rFonts w:eastAsia="Arial Unicode MS" w:cs="Calibri"/>
                <w:sz w:val="18"/>
                <w:szCs w:val="18"/>
              </w:rPr>
            </w:pPr>
            <w:r w:rsidRPr="007E5D20">
              <w:rPr>
                <w:rFonts w:eastAsia="Arial Unicode MS" w:cs="Calibri"/>
                <w:sz w:val="18"/>
                <w:szCs w:val="18"/>
              </w:rPr>
              <w:t>80%</w:t>
            </w:r>
          </w:p>
        </w:tc>
        <w:tc>
          <w:tcPr>
            <w:tcW w:w="1542" w:type="dxa"/>
            <w:shd w:val="clear" w:color="auto" w:fill="auto"/>
          </w:tcPr>
          <w:p w:rsidR="00C418F1" w:rsidRPr="007E5D20" w:rsidRDefault="00C418F1" w:rsidP="00C418F1">
            <w:pPr>
              <w:pStyle w:val="TableNumbersRight"/>
              <w:spacing w:before="60" w:after="100" w:afterAutospacing="1"/>
              <w:rPr>
                <w:rFonts w:eastAsia="Arial Unicode MS" w:cs="Calibri"/>
                <w:sz w:val="18"/>
                <w:szCs w:val="18"/>
              </w:rPr>
            </w:pPr>
            <w:r w:rsidRPr="007E5D20">
              <w:rPr>
                <w:rFonts w:eastAsia="Arial Unicode MS" w:cs="Calibri"/>
                <w:sz w:val="18"/>
                <w:szCs w:val="18"/>
              </w:rPr>
              <w:t>n/a</w:t>
            </w:r>
          </w:p>
        </w:tc>
      </w:tr>
      <w:tr w:rsidR="00C418F1" w:rsidRPr="007E5D20" w:rsidTr="00246C18">
        <w:tblPrEx>
          <w:tblBorders>
            <w:top w:val="none" w:sz="0" w:space="0" w:color="auto"/>
            <w:bottom w:val="none" w:sz="0" w:space="0" w:color="auto"/>
          </w:tblBorders>
        </w:tblPrEx>
        <w:tc>
          <w:tcPr>
            <w:tcW w:w="1753" w:type="dxa"/>
            <w:vMerge/>
          </w:tcPr>
          <w:p w:rsidR="00C418F1" w:rsidRPr="007E5D20" w:rsidRDefault="00C418F1" w:rsidP="007E5D20">
            <w:pPr>
              <w:pStyle w:val="TableTextLeftNoIndent"/>
              <w:spacing w:before="60" w:after="100" w:afterAutospacing="1"/>
              <w:rPr>
                <w:rFonts w:eastAsia="Arial Unicode MS" w:cs="Calibri"/>
                <w:sz w:val="18"/>
                <w:szCs w:val="18"/>
              </w:rPr>
            </w:pPr>
          </w:p>
        </w:tc>
        <w:tc>
          <w:tcPr>
            <w:tcW w:w="2721" w:type="dxa"/>
          </w:tcPr>
          <w:p w:rsidR="00C418F1" w:rsidRPr="007E5D20" w:rsidRDefault="00C418F1" w:rsidP="006B606F">
            <w:pPr>
              <w:pStyle w:val="TableTextLeftNoIndent"/>
              <w:spacing w:before="60" w:after="100" w:afterAutospacing="1"/>
              <w:rPr>
                <w:rFonts w:eastAsia="Arial Unicode MS" w:cs="Calibri"/>
                <w:sz w:val="18"/>
                <w:szCs w:val="18"/>
              </w:rPr>
            </w:pPr>
            <w:r w:rsidRPr="007E5D20">
              <w:rPr>
                <w:rFonts w:eastAsia="Arial Unicode MS" w:cs="Calibri"/>
                <w:sz w:val="18"/>
                <w:szCs w:val="18"/>
              </w:rPr>
              <w:t>Qualitative evaluation of plans exercises and drills</w:t>
            </w:r>
            <w:r w:rsidRPr="007E5D20">
              <w:rPr>
                <w:rFonts w:eastAsia="Arial Unicode MS" w:cs="Calibri"/>
                <w:sz w:val="18"/>
                <w:szCs w:val="18"/>
                <w:vertAlign w:val="superscript"/>
              </w:rPr>
              <w:t>2</w:t>
            </w:r>
          </w:p>
        </w:tc>
        <w:tc>
          <w:tcPr>
            <w:tcW w:w="1542" w:type="dxa"/>
          </w:tcPr>
          <w:p w:rsidR="00C418F1" w:rsidRPr="007E5D20" w:rsidRDefault="00C418F1" w:rsidP="00C418F1">
            <w:pPr>
              <w:pStyle w:val="TableNumbersRight"/>
              <w:spacing w:before="60" w:after="100" w:afterAutospacing="1"/>
              <w:rPr>
                <w:rFonts w:eastAsia="Arial Unicode MS" w:cs="Calibri"/>
                <w:sz w:val="18"/>
                <w:szCs w:val="18"/>
              </w:rPr>
            </w:pPr>
            <w:r w:rsidRPr="007E5D20">
              <w:rPr>
                <w:rFonts w:eastAsia="Arial Unicode MS" w:cs="Calibri"/>
                <w:sz w:val="18"/>
                <w:szCs w:val="18"/>
              </w:rPr>
              <w:t>3</w:t>
            </w:r>
          </w:p>
        </w:tc>
        <w:tc>
          <w:tcPr>
            <w:tcW w:w="1542" w:type="dxa"/>
            <w:shd w:val="clear" w:color="auto" w:fill="auto"/>
          </w:tcPr>
          <w:p w:rsidR="00C418F1" w:rsidRPr="007E5D20" w:rsidRDefault="00C418F1" w:rsidP="00C418F1">
            <w:pPr>
              <w:pStyle w:val="TableNumbersRight"/>
              <w:spacing w:before="60" w:after="100" w:afterAutospacing="1"/>
              <w:rPr>
                <w:rFonts w:eastAsia="Arial Unicode MS" w:cs="Calibri"/>
                <w:sz w:val="18"/>
                <w:szCs w:val="18"/>
              </w:rPr>
            </w:pPr>
            <w:r w:rsidRPr="007E5D20">
              <w:rPr>
                <w:rFonts w:eastAsia="Arial Unicode MS" w:cs="Calibri"/>
                <w:sz w:val="18"/>
                <w:szCs w:val="18"/>
              </w:rPr>
              <w:t>3</w:t>
            </w:r>
          </w:p>
        </w:tc>
        <w:tc>
          <w:tcPr>
            <w:tcW w:w="1542" w:type="dxa"/>
            <w:shd w:val="clear" w:color="auto" w:fill="auto"/>
          </w:tcPr>
          <w:p w:rsidR="00C418F1" w:rsidRPr="007E5D20" w:rsidRDefault="00C418F1" w:rsidP="00C418F1">
            <w:pPr>
              <w:pStyle w:val="TableNumbersRight"/>
              <w:spacing w:before="60" w:after="100" w:afterAutospacing="1"/>
              <w:rPr>
                <w:rFonts w:eastAsia="Arial Unicode MS" w:cs="Calibri"/>
                <w:sz w:val="18"/>
                <w:szCs w:val="18"/>
              </w:rPr>
            </w:pPr>
            <w:r w:rsidRPr="007E5D20">
              <w:rPr>
                <w:rFonts w:eastAsia="Arial Unicode MS" w:cs="Calibri"/>
                <w:sz w:val="18"/>
                <w:szCs w:val="18"/>
              </w:rPr>
              <w:t>n/a</w:t>
            </w:r>
          </w:p>
        </w:tc>
      </w:tr>
      <w:tr w:rsidR="00C418F1" w:rsidRPr="007E5D20" w:rsidTr="00246C18">
        <w:tblPrEx>
          <w:tblBorders>
            <w:top w:val="none" w:sz="0" w:space="0" w:color="auto"/>
            <w:bottom w:val="none" w:sz="0" w:space="0" w:color="auto"/>
          </w:tblBorders>
        </w:tblPrEx>
        <w:tc>
          <w:tcPr>
            <w:tcW w:w="1753" w:type="dxa"/>
            <w:vMerge/>
          </w:tcPr>
          <w:p w:rsidR="00C418F1" w:rsidRPr="007E5D20" w:rsidRDefault="00C418F1" w:rsidP="007E5D20">
            <w:pPr>
              <w:pStyle w:val="TableTextLeftNoIndent"/>
              <w:spacing w:before="60" w:after="100" w:afterAutospacing="1"/>
              <w:rPr>
                <w:rFonts w:eastAsia="Arial Unicode MS" w:cs="Calibri"/>
                <w:sz w:val="18"/>
                <w:szCs w:val="18"/>
              </w:rPr>
            </w:pPr>
          </w:p>
        </w:tc>
        <w:tc>
          <w:tcPr>
            <w:tcW w:w="2721" w:type="dxa"/>
          </w:tcPr>
          <w:p w:rsidR="00C418F1" w:rsidRPr="007E5D20" w:rsidRDefault="00C418F1" w:rsidP="006B606F">
            <w:pPr>
              <w:pStyle w:val="TableTextLeftNoIndent"/>
              <w:spacing w:before="60" w:after="100" w:afterAutospacing="1"/>
              <w:rPr>
                <w:rFonts w:eastAsia="Arial Unicode MS" w:cs="Calibri"/>
                <w:sz w:val="18"/>
                <w:szCs w:val="18"/>
              </w:rPr>
            </w:pPr>
            <w:r w:rsidRPr="007E5D20">
              <w:rPr>
                <w:rFonts w:eastAsia="Arial Unicode MS" w:cs="Calibri"/>
                <w:sz w:val="18"/>
                <w:szCs w:val="18"/>
              </w:rPr>
              <w:t>Number of ESA emergency response plans exercised</w:t>
            </w:r>
            <w:r w:rsidR="006B606F">
              <w:rPr>
                <w:rFonts w:eastAsia="Arial Unicode MS" w:cs="Calibri"/>
                <w:sz w:val="18"/>
                <w:szCs w:val="18"/>
                <w:vertAlign w:val="superscript"/>
              </w:rPr>
              <w:t>4</w:t>
            </w:r>
          </w:p>
        </w:tc>
        <w:tc>
          <w:tcPr>
            <w:tcW w:w="1542" w:type="dxa"/>
          </w:tcPr>
          <w:p w:rsidR="00C418F1" w:rsidRPr="007E5D20" w:rsidRDefault="00C418F1" w:rsidP="00C418F1">
            <w:pPr>
              <w:pStyle w:val="TableNumbersRight"/>
              <w:spacing w:before="60" w:after="100" w:afterAutospacing="1"/>
              <w:rPr>
                <w:rFonts w:eastAsia="Arial Unicode MS" w:cs="Calibri"/>
                <w:sz w:val="18"/>
                <w:szCs w:val="18"/>
              </w:rPr>
            </w:pPr>
            <w:r w:rsidRPr="007E5D20">
              <w:rPr>
                <w:rFonts w:eastAsia="Arial Unicode MS" w:cs="Calibri"/>
                <w:sz w:val="18"/>
                <w:szCs w:val="18"/>
              </w:rPr>
              <w:t>n/a</w:t>
            </w:r>
          </w:p>
        </w:tc>
        <w:tc>
          <w:tcPr>
            <w:tcW w:w="1542" w:type="dxa"/>
            <w:shd w:val="clear" w:color="auto" w:fill="auto"/>
          </w:tcPr>
          <w:p w:rsidR="00C418F1" w:rsidRPr="007E5D20" w:rsidRDefault="00C418F1" w:rsidP="00C418F1">
            <w:pPr>
              <w:pStyle w:val="TableNumbersRight"/>
              <w:spacing w:before="60" w:after="100" w:afterAutospacing="1"/>
              <w:rPr>
                <w:rFonts w:eastAsia="Arial Unicode MS" w:cs="Calibri"/>
                <w:sz w:val="18"/>
                <w:szCs w:val="18"/>
              </w:rPr>
            </w:pPr>
            <w:r w:rsidRPr="007E5D20">
              <w:rPr>
                <w:rFonts w:eastAsia="Arial Unicode MS" w:cs="Calibri"/>
                <w:sz w:val="18"/>
                <w:szCs w:val="18"/>
              </w:rPr>
              <w:t>n/a</w:t>
            </w:r>
          </w:p>
        </w:tc>
        <w:tc>
          <w:tcPr>
            <w:tcW w:w="1542" w:type="dxa"/>
            <w:shd w:val="clear" w:color="auto" w:fill="auto"/>
          </w:tcPr>
          <w:p w:rsidR="00C418F1" w:rsidRPr="007E5D20" w:rsidRDefault="00C418F1" w:rsidP="00C418F1">
            <w:pPr>
              <w:pStyle w:val="TableNumbersRight"/>
              <w:spacing w:before="60" w:after="100" w:afterAutospacing="1"/>
              <w:rPr>
                <w:rFonts w:eastAsia="Arial Unicode MS" w:cs="Calibri"/>
                <w:sz w:val="18"/>
                <w:szCs w:val="18"/>
              </w:rPr>
            </w:pPr>
            <w:r w:rsidRPr="007E5D20">
              <w:rPr>
                <w:rFonts w:eastAsia="Arial Unicode MS" w:cs="Calibri"/>
                <w:sz w:val="18"/>
                <w:szCs w:val="18"/>
              </w:rPr>
              <w:t>2</w:t>
            </w:r>
          </w:p>
        </w:tc>
      </w:tr>
      <w:tr w:rsidR="00C418F1" w:rsidRPr="007E5D20" w:rsidTr="00246C18">
        <w:tblPrEx>
          <w:tblBorders>
            <w:top w:val="none" w:sz="0" w:space="0" w:color="auto"/>
            <w:bottom w:val="none" w:sz="0" w:space="0" w:color="auto"/>
          </w:tblBorders>
        </w:tblPrEx>
        <w:tc>
          <w:tcPr>
            <w:tcW w:w="1753" w:type="dxa"/>
            <w:vMerge/>
          </w:tcPr>
          <w:p w:rsidR="00C418F1" w:rsidRPr="007E5D20" w:rsidRDefault="00C418F1" w:rsidP="007E5D20">
            <w:pPr>
              <w:pStyle w:val="TableTextLeftNoIndent"/>
              <w:spacing w:before="60" w:after="100" w:afterAutospacing="1"/>
              <w:rPr>
                <w:rFonts w:eastAsia="Arial Unicode MS" w:cs="Calibri"/>
                <w:sz w:val="18"/>
                <w:szCs w:val="18"/>
              </w:rPr>
            </w:pPr>
          </w:p>
        </w:tc>
        <w:tc>
          <w:tcPr>
            <w:tcW w:w="2721" w:type="dxa"/>
          </w:tcPr>
          <w:p w:rsidR="00C418F1" w:rsidRPr="007E5D20" w:rsidRDefault="00C418F1" w:rsidP="006B606F">
            <w:pPr>
              <w:pStyle w:val="TableTextLeftNoIndent"/>
              <w:spacing w:before="60" w:after="100" w:afterAutospacing="1"/>
              <w:rPr>
                <w:rFonts w:eastAsia="Arial Unicode MS" w:cs="Calibri"/>
                <w:sz w:val="18"/>
                <w:szCs w:val="18"/>
              </w:rPr>
            </w:pPr>
            <w:r w:rsidRPr="007E5D20">
              <w:rPr>
                <w:rFonts w:eastAsia="Arial Unicode MS" w:cs="Calibri"/>
                <w:sz w:val="18"/>
                <w:szCs w:val="18"/>
              </w:rPr>
              <w:t>Number of sub-plans to the ACT Emergency Plan reviewed</w:t>
            </w:r>
            <w:r w:rsidR="006B606F">
              <w:rPr>
                <w:rFonts w:eastAsia="Arial Unicode MS" w:cs="Calibri"/>
                <w:sz w:val="18"/>
                <w:szCs w:val="18"/>
                <w:vertAlign w:val="superscript"/>
              </w:rPr>
              <w:t>4</w:t>
            </w:r>
          </w:p>
        </w:tc>
        <w:tc>
          <w:tcPr>
            <w:tcW w:w="1542" w:type="dxa"/>
          </w:tcPr>
          <w:p w:rsidR="00C418F1" w:rsidRPr="007E5D20" w:rsidRDefault="00C418F1" w:rsidP="00C418F1">
            <w:pPr>
              <w:pStyle w:val="TableNumbersRight"/>
              <w:spacing w:before="60" w:after="100" w:afterAutospacing="1"/>
              <w:rPr>
                <w:rFonts w:eastAsia="Arial Unicode MS" w:cs="Calibri"/>
                <w:sz w:val="18"/>
                <w:szCs w:val="18"/>
              </w:rPr>
            </w:pPr>
            <w:r w:rsidRPr="007E5D20">
              <w:rPr>
                <w:rFonts w:eastAsia="Arial Unicode MS" w:cs="Calibri"/>
                <w:sz w:val="18"/>
                <w:szCs w:val="18"/>
              </w:rPr>
              <w:t>n/a</w:t>
            </w:r>
          </w:p>
        </w:tc>
        <w:tc>
          <w:tcPr>
            <w:tcW w:w="1542" w:type="dxa"/>
            <w:shd w:val="clear" w:color="auto" w:fill="auto"/>
          </w:tcPr>
          <w:p w:rsidR="00C418F1" w:rsidRPr="007E5D20" w:rsidRDefault="00C418F1" w:rsidP="00C418F1">
            <w:pPr>
              <w:pStyle w:val="TableNumbersRight"/>
              <w:spacing w:before="60" w:after="100" w:afterAutospacing="1"/>
              <w:rPr>
                <w:rFonts w:eastAsia="Arial Unicode MS" w:cs="Calibri"/>
                <w:sz w:val="18"/>
                <w:szCs w:val="18"/>
              </w:rPr>
            </w:pPr>
            <w:r w:rsidRPr="007E5D20">
              <w:rPr>
                <w:rFonts w:eastAsia="Arial Unicode MS" w:cs="Calibri"/>
                <w:sz w:val="18"/>
                <w:szCs w:val="18"/>
              </w:rPr>
              <w:t>n/a</w:t>
            </w:r>
          </w:p>
        </w:tc>
        <w:tc>
          <w:tcPr>
            <w:tcW w:w="1542" w:type="dxa"/>
            <w:shd w:val="clear" w:color="auto" w:fill="auto"/>
          </w:tcPr>
          <w:p w:rsidR="00C418F1" w:rsidRPr="007E5D20" w:rsidRDefault="00C418F1" w:rsidP="00C418F1">
            <w:pPr>
              <w:pStyle w:val="TableNumbersRight"/>
              <w:spacing w:before="60" w:after="100" w:afterAutospacing="1"/>
              <w:rPr>
                <w:rFonts w:eastAsia="Arial Unicode MS" w:cs="Calibri"/>
                <w:sz w:val="18"/>
                <w:szCs w:val="18"/>
              </w:rPr>
            </w:pPr>
            <w:r w:rsidRPr="007E5D20">
              <w:rPr>
                <w:rFonts w:eastAsia="Arial Unicode MS" w:cs="Calibri"/>
                <w:sz w:val="18"/>
                <w:szCs w:val="18"/>
              </w:rPr>
              <w:t>4</w:t>
            </w:r>
          </w:p>
        </w:tc>
      </w:tr>
      <w:tr w:rsidR="00C418F1" w:rsidRPr="007E5D20" w:rsidTr="00246C18">
        <w:tblPrEx>
          <w:tblBorders>
            <w:top w:val="none" w:sz="0" w:space="0" w:color="auto"/>
            <w:bottom w:val="none" w:sz="0" w:space="0" w:color="auto"/>
          </w:tblBorders>
        </w:tblPrEx>
        <w:tc>
          <w:tcPr>
            <w:tcW w:w="1753" w:type="dxa"/>
            <w:vMerge/>
          </w:tcPr>
          <w:p w:rsidR="00C418F1" w:rsidRPr="007E5D20" w:rsidRDefault="00C418F1" w:rsidP="007E5D20">
            <w:pPr>
              <w:pStyle w:val="TableTextLeftNoIndent"/>
              <w:spacing w:before="60" w:after="100" w:afterAutospacing="1"/>
              <w:rPr>
                <w:rFonts w:eastAsia="Arial Unicode MS" w:cs="Calibri"/>
                <w:sz w:val="18"/>
                <w:szCs w:val="18"/>
              </w:rPr>
            </w:pPr>
          </w:p>
        </w:tc>
        <w:tc>
          <w:tcPr>
            <w:tcW w:w="2721" w:type="dxa"/>
          </w:tcPr>
          <w:p w:rsidR="00C418F1" w:rsidRPr="007E5D20" w:rsidRDefault="00C418F1" w:rsidP="006B606F">
            <w:pPr>
              <w:pStyle w:val="TableTextLeftNoIndent"/>
              <w:spacing w:before="60" w:after="100" w:afterAutospacing="1"/>
              <w:rPr>
                <w:rFonts w:eastAsia="Arial Unicode MS" w:cs="Calibri"/>
                <w:sz w:val="18"/>
                <w:szCs w:val="18"/>
              </w:rPr>
            </w:pPr>
            <w:r w:rsidRPr="007E5D20">
              <w:rPr>
                <w:rFonts w:eastAsia="Arial Unicode MS" w:cs="Calibri"/>
                <w:sz w:val="18"/>
                <w:szCs w:val="18"/>
              </w:rPr>
              <w:t>ACT Public Information Coordination Centre  for ESA lead emergency response – number of exercises conducted</w:t>
            </w:r>
            <w:r w:rsidR="006B606F">
              <w:rPr>
                <w:rFonts w:eastAsia="Arial Unicode MS" w:cs="Calibri"/>
                <w:sz w:val="18"/>
                <w:szCs w:val="18"/>
                <w:vertAlign w:val="superscript"/>
              </w:rPr>
              <w:t>4</w:t>
            </w:r>
          </w:p>
        </w:tc>
        <w:tc>
          <w:tcPr>
            <w:tcW w:w="1542" w:type="dxa"/>
          </w:tcPr>
          <w:p w:rsidR="00C418F1" w:rsidRPr="007E5D20" w:rsidRDefault="00C418F1" w:rsidP="00C418F1">
            <w:pPr>
              <w:pStyle w:val="TableNumbersRight"/>
              <w:spacing w:before="60" w:after="100" w:afterAutospacing="1"/>
              <w:rPr>
                <w:rFonts w:eastAsia="Arial Unicode MS" w:cs="Calibri"/>
                <w:sz w:val="18"/>
                <w:szCs w:val="18"/>
              </w:rPr>
            </w:pPr>
            <w:r w:rsidRPr="007E5D20">
              <w:rPr>
                <w:rFonts w:eastAsia="Arial Unicode MS" w:cs="Calibri"/>
                <w:sz w:val="18"/>
                <w:szCs w:val="18"/>
              </w:rPr>
              <w:t>n/a</w:t>
            </w:r>
          </w:p>
        </w:tc>
        <w:tc>
          <w:tcPr>
            <w:tcW w:w="1542" w:type="dxa"/>
            <w:shd w:val="clear" w:color="auto" w:fill="auto"/>
          </w:tcPr>
          <w:p w:rsidR="00C418F1" w:rsidRPr="007E5D20" w:rsidRDefault="00C418F1" w:rsidP="00C418F1">
            <w:pPr>
              <w:pStyle w:val="TableNumbersRight"/>
              <w:spacing w:before="60" w:after="100" w:afterAutospacing="1"/>
              <w:rPr>
                <w:rFonts w:eastAsia="Arial Unicode MS" w:cs="Calibri"/>
                <w:sz w:val="18"/>
                <w:szCs w:val="18"/>
              </w:rPr>
            </w:pPr>
            <w:r w:rsidRPr="007E5D20">
              <w:rPr>
                <w:rFonts w:eastAsia="Arial Unicode MS" w:cs="Calibri"/>
                <w:sz w:val="18"/>
                <w:szCs w:val="18"/>
              </w:rPr>
              <w:t>n/a</w:t>
            </w:r>
          </w:p>
        </w:tc>
        <w:tc>
          <w:tcPr>
            <w:tcW w:w="1542" w:type="dxa"/>
            <w:shd w:val="clear" w:color="auto" w:fill="auto"/>
          </w:tcPr>
          <w:p w:rsidR="00C418F1" w:rsidRPr="007E5D20" w:rsidRDefault="00C418F1" w:rsidP="00C418F1">
            <w:pPr>
              <w:pStyle w:val="TableNumbersRight"/>
              <w:spacing w:before="60" w:after="100" w:afterAutospacing="1"/>
              <w:rPr>
                <w:rFonts w:eastAsia="Arial Unicode MS" w:cs="Calibri"/>
                <w:sz w:val="18"/>
                <w:szCs w:val="18"/>
              </w:rPr>
            </w:pPr>
            <w:r w:rsidRPr="007E5D20">
              <w:rPr>
                <w:rFonts w:eastAsia="Arial Unicode MS" w:cs="Calibri"/>
                <w:sz w:val="18"/>
                <w:szCs w:val="18"/>
              </w:rPr>
              <w:t>2</w:t>
            </w:r>
          </w:p>
        </w:tc>
      </w:tr>
      <w:tr w:rsidR="00C418F1" w:rsidRPr="007E5D20" w:rsidTr="00246C18">
        <w:tblPrEx>
          <w:tblBorders>
            <w:top w:val="none" w:sz="0" w:space="0" w:color="auto"/>
            <w:bottom w:val="none" w:sz="0" w:space="0" w:color="auto"/>
          </w:tblBorders>
        </w:tblPrEx>
        <w:tc>
          <w:tcPr>
            <w:tcW w:w="1753" w:type="dxa"/>
            <w:vMerge/>
          </w:tcPr>
          <w:p w:rsidR="00C418F1" w:rsidRPr="007E5D20" w:rsidRDefault="00C418F1" w:rsidP="007E5D20">
            <w:pPr>
              <w:pStyle w:val="TableTextLeftNoIndent"/>
              <w:spacing w:before="60" w:after="100" w:afterAutospacing="1"/>
              <w:rPr>
                <w:rFonts w:eastAsia="Arial Unicode MS" w:cs="Calibri"/>
                <w:sz w:val="18"/>
                <w:szCs w:val="18"/>
              </w:rPr>
            </w:pPr>
          </w:p>
        </w:tc>
        <w:tc>
          <w:tcPr>
            <w:tcW w:w="2721" w:type="dxa"/>
          </w:tcPr>
          <w:p w:rsidR="00C418F1" w:rsidRPr="007E5D20" w:rsidRDefault="00C418F1" w:rsidP="006B606F">
            <w:pPr>
              <w:pStyle w:val="TableTextLeftNoIndent"/>
              <w:spacing w:before="60" w:after="100" w:afterAutospacing="1"/>
              <w:rPr>
                <w:rFonts w:eastAsia="Arial Unicode MS" w:cs="Calibri"/>
                <w:sz w:val="18"/>
                <w:szCs w:val="18"/>
              </w:rPr>
            </w:pPr>
            <w:r w:rsidRPr="007E5D20">
              <w:rPr>
                <w:rFonts w:eastAsia="Arial Unicode MS" w:cs="Calibri"/>
                <w:sz w:val="18"/>
                <w:szCs w:val="18"/>
              </w:rPr>
              <w:t>Percentage of Emergency alerts, updates and warnings to the ACT community through the use of the SPOT System</w:t>
            </w:r>
            <w:r w:rsidR="006B606F">
              <w:rPr>
                <w:rFonts w:eastAsia="Arial Unicode MS" w:cs="Calibri"/>
                <w:sz w:val="18"/>
                <w:szCs w:val="18"/>
                <w:vertAlign w:val="superscript"/>
              </w:rPr>
              <w:t>5</w:t>
            </w:r>
          </w:p>
        </w:tc>
        <w:tc>
          <w:tcPr>
            <w:tcW w:w="1542" w:type="dxa"/>
          </w:tcPr>
          <w:p w:rsidR="00C418F1" w:rsidRPr="007E5D20" w:rsidRDefault="00C418F1" w:rsidP="00C418F1">
            <w:pPr>
              <w:pStyle w:val="TableNumbersRight"/>
              <w:spacing w:before="60" w:after="100" w:afterAutospacing="1"/>
              <w:rPr>
                <w:rFonts w:eastAsia="Arial Unicode MS" w:cs="Calibri"/>
                <w:sz w:val="18"/>
                <w:szCs w:val="18"/>
              </w:rPr>
            </w:pPr>
            <w:r w:rsidRPr="007E5D20">
              <w:rPr>
                <w:rFonts w:eastAsia="Arial Unicode MS" w:cs="Calibri"/>
                <w:sz w:val="18"/>
                <w:szCs w:val="18"/>
              </w:rPr>
              <w:t>n/a</w:t>
            </w:r>
          </w:p>
        </w:tc>
        <w:tc>
          <w:tcPr>
            <w:tcW w:w="1542" w:type="dxa"/>
            <w:shd w:val="clear" w:color="auto" w:fill="auto"/>
          </w:tcPr>
          <w:p w:rsidR="00C418F1" w:rsidRPr="007E5D20" w:rsidRDefault="00C418F1" w:rsidP="00C418F1">
            <w:pPr>
              <w:pStyle w:val="TableNumbersRight"/>
              <w:spacing w:before="60" w:after="100" w:afterAutospacing="1"/>
              <w:rPr>
                <w:rFonts w:eastAsia="Arial Unicode MS" w:cs="Calibri"/>
                <w:sz w:val="18"/>
                <w:szCs w:val="18"/>
              </w:rPr>
            </w:pPr>
            <w:r w:rsidRPr="007E5D20">
              <w:rPr>
                <w:rFonts w:eastAsia="Arial Unicode MS" w:cs="Calibri"/>
                <w:sz w:val="18"/>
                <w:szCs w:val="18"/>
              </w:rPr>
              <w:t>n/a</w:t>
            </w:r>
          </w:p>
        </w:tc>
        <w:tc>
          <w:tcPr>
            <w:tcW w:w="1542" w:type="dxa"/>
            <w:shd w:val="clear" w:color="auto" w:fill="auto"/>
          </w:tcPr>
          <w:p w:rsidR="00C418F1" w:rsidRPr="007E5D20" w:rsidRDefault="00C418F1" w:rsidP="00C418F1">
            <w:pPr>
              <w:pStyle w:val="TableNumbersRight"/>
              <w:spacing w:before="60" w:after="100" w:afterAutospacing="1"/>
              <w:rPr>
                <w:rFonts w:eastAsia="Arial Unicode MS" w:cs="Calibri"/>
                <w:sz w:val="18"/>
                <w:szCs w:val="18"/>
              </w:rPr>
            </w:pPr>
            <w:r w:rsidRPr="007E5D20">
              <w:rPr>
                <w:rFonts w:eastAsia="Arial Unicode MS" w:cs="Calibri"/>
                <w:sz w:val="18"/>
                <w:szCs w:val="18"/>
              </w:rPr>
              <w:t>100%</w:t>
            </w:r>
          </w:p>
        </w:tc>
      </w:tr>
      <w:tr w:rsidR="00C418F1" w:rsidRPr="007E5D20" w:rsidTr="00246C18">
        <w:tblPrEx>
          <w:tblBorders>
            <w:top w:val="none" w:sz="0" w:space="0" w:color="auto"/>
            <w:bottom w:val="none" w:sz="0" w:space="0" w:color="auto"/>
          </w:tblBorders>
        </w:tblPrEx>
        <w:trPr>
          <w:trHeight w:hRule="exact" w:val="57"/>
        </w:trPr>
        <w:tc>
          <w:tcPr>
            <w:tcW w:w="1753" w:type="dxa"/>
          </w:tcPr>
          <w:p w:rsidR="00C418F1" w:rsidRPr="007E5D20" w:rsidRDefault="00C418F1" w:rsidP="007E5D20">
            <w:pPr>
              <w:pStyle w:val="TableTextLeftNoIndent"/>
              <w:spacing w:before="60" w:after="100" w:afterAutospacing="1"/>
              <w:rPr>
                <w:rFonts w:eastAsia="Arial Unicode MS" w:cs="Calibri"/>
                <w:sz w:val="18"/>
                <w:szCs w:val="18"/>
              </w:rPr>
            </w:pPr>
          </w:p>
        </w:tc>
        <w:tc>
          <w:tcPr>
            <w:tcW w:w="2721" w:type="dxa"/>
          </w:tcPr>
          <w:p w:rsidR="00C418F1" w:rsidRPr="007E5D20" w:rsidRDefault="00C418F1" w:rsidP="006B606F">
            <w:pPr>
              <w:pStyle w:val="TableTextLeftNoIndent"/>
              <w:spacing w:beforeAutospacing="1" w:afterAutospacing="1"/>
              <w:rPr>
                <w:rFonts w:eastAsia="Arial Unicode MS" w:cs="Calibri"/>
                <w:sz w:val="18"/>
                <w:szCs w:val="18"/>
              </w:rPr>
            </w:pPr>
          </w:p>
        </w:tc>
        <w:tc>
          <w:tcPr>
            <w:tcW w:w="1542" w:type="dxa"/>
          </w:tcPr>
          <w:p w:rsidR="00C418F1" w:rsidRPr="007E5D20" w:rsidRDefault="00C418F1" w:rsidP="00C418F1">
            <w:pPr>
              <w:pStyle w:val="TableNumbersRight"/>
              <w:spacing w:before="100" w:beforeAutospacing="1" w:after="100" w:afterAutospacing="1"/>
              <w:rPr>
                <w:rFonts w:eastAsia="Arial Unicode MS" w:cs="Calibri"/>
                <w:sz w:val="18"/>
                <w:szCs w:val="18"/>
              </w:rPr>
            </w:pPr>
          </w:p>
        </w:tc>
        <w:tc>
          <w:tcPr>
            <w:tcW w:w="1542" w:type="dxa"/>
            <w:shd w:val="clear" w:color="auto" w:fill="auto"/>
          </w:tcPr>
          <w:p w:rsidR="00C418F1" w:rsidRPr="007E5D20" w:rsidRDefault="00C418F1" w:rsidP="00C418F1">
            <w:pPr>
              <w:pStyle w:val="TableNumbersRight"/>
              <w:spacing w:before="100" w:beforeAutospacing="1" w:after="100" w:afterAutospacing="1"/>
              <w:rPr>
                <w:rFonts w:eastAsia="Arial Unicode MS" w:cs="Calibri"/>
                <w:sz w:val="18"/>
                <w:szCs w:val="18"/>
              </w:rPr>
            </w:pPr>
          </w:p>
        </w:tc>
        <w:tc>
          <w:tcPr>
            <w:tcW w:w="1542" w:type="dxa"/>
            <w:shd w:val="clear" w:color="auto" w:fill="auto"/>
          </w:tcPr>
          <w:p w:rsidR="00C418F1" w:rsidRPr="007E5D20" w:rsidRDefault="00C418F1" w:rsidP="00C418F1">
            <w:pPr>
              <w:pStyle w:val="TableNumbersRight"/>
              <w:spacing w:before="100" w:beforeAutospacing="1" w:after="100" w:afterAutospacing="1"/>
              <w:rPr>
                <w:rFonts w:eastAsia="Arial Unicode MS" w:cs="Calibri"/>
                <w:sz w:val="18"/>
                <w:szCs w:val="18"/>
              </w:rPr>
            </w:pPr>
          </w:p>
        </w:tc>
      </w:tr>
      <w:tr w:rsidR="00C418F1" w:rsidRPr="007E5D20" w:rsidTr="00246C18">
        <w:tblPrEx>
          <w:tblBorders>
            <w:top w:val="none" w:sz="0" w:space="0" w:color="auto"/>
            <w:bottom w:val="none" w:sz="0" w:space="0" w:color="auto"/>
          </w:tblBorders>
        </w:tblPrEx>
        <w:tc>
          <w:tcPr>
            <w:tcW w:w="1753" w:type="dxa"/>
            <w:vMerge w:val="restart"/>
          </w:tcPr>
          <w:p w:rsidR="00C418F1" w:rsidRPr="007E5D20" w:rsidRDefault="00C418F1" w:rsidP="00C418F1">
            <w:pPr>
              <w:pStyle w:val="TableTextLeftNoIndent"/>
              <w:spacing w:before="0" w:after="100" w:afterAutospacing="1"/>
              <w:rPr>
                <w:rFonts w:eastAsia="Arial Unicode MS" w:cs="Calibri"/>
                <w:sz w:val="18"/>
                <w:szCs w:val="18"/>
              </w:rPr>
            </w:pPr>
            <w:r w:rsidRPr="007E5D20">
              <w:rPr>
                <w:rFonts w:eastAsia="Arial Unicode MS" w:cs="Calibri"/>
                <w:sz w:val="18"/>
                <w:szCs w:val="18"/>
              </w:rPr>
              <w:t>Reduced loss of life</w:t>
            </w:r>
          </w:p>
        </w:tc>
        <w:tc>
          <w:tcPr>
            <w:tcW w:w="2721" w:type="dxa"/>
          </w:tcPr>
          <w:p w:rsidR="00C418F1" w:rsidRPr="007E5D20" w:rsidRDefault="00C418F1" w:rsidP="006B606F">
            <w:pPr>
              <w:pStyle w:val="TableTextLeftNoIndent"/>
              <w:spacing w:beforeAutospacing="1" w:afterAutospacing="1"/>
              <w:rPr>
                <w:rFonts w:eastAsia="Arial Unicode MS" w:cs="Calibri"/>
                <w:sz w:val="18"/>
                <w:szCs w:val="18"/>
              </w:rPr>
            </w:pPr>
            <w:r w:rsidRPr="007E5D20">
              <w:rPr>
                <w:rFonts w:eastAsia="Arial Unicode MS" w:cs="Calibri"/>
                <w:sz w:val="18"/>
                <w:szCs w:val="18"/>
              </w:rPr>
              <w:t>Percentage change and number of lives lost in fire related deaths per 100,000 population</w:t>
            </w:r>
            <w:r w:rsidRPr="007E5D20">
              <w:rPr>
                <w:rFonts w:eastAsia="Arial Unicode MS" w:cs="Calibri"/>
                <w:sz w:val="18"/>
                <w:szCs w:val="18"/>
                <w:vertAlign w:val="superscript"/>
              </w:rPr>
              <w:t>2</w:t>
            </w:r>
            <w:r w:rsidR="005B1916">
              <w:rPr>
                <w:rFonts w:eastAsia="Arial Unicode MS" w:cs="Calibri"/>
                <w:sz w:val="18"/>
                <w:szCs w:val="18"/>
                <w:vertAlign w:val="superscript"/>
              </w:rPr>
              <w:t>,3</w:t>
            </w:r>
          </w:p>
        </w:tc>
        <w:tc>
          <w:tcPr>
            <w:tcW w:w="1542" w:type="dxa"/>
          </w:tcPr>
          <w:p w:rsidR="00C418F1" w:rsidRPr="007E5D20" w:rsidRDefault="00C418F1" w:rsidP="00C418F1">
            <w:pPr>
              <w:pStyle w:val="TableNumbersRight"/>
              <w:spacing w:before="100" w:beforeAutospacing="1" w:after="100" w:afterAutospacing="1"/>
              <w:rPr>
                <w:rFonts w:eastAsia="Arial Unicode MS" w:cs="Calibri"/>
                <w:sz w:val="18"/>
                <w:szCs w:val="18"/>
              </w:rPr>
            </w:pPr>
            <w:r w:rsidRPr="007E5D20">
              <w:rPr>
                <w:rFonts w:eastAsia="Arial Unicode MS" w:cs="Calibri"/>
                <w:sz w:val="18"/>
                <w:szCs w:val="18"/>
              </w:rPr>
              <w:t>0%</w:t>
            </w:r>
          </w:p>
        </w:tc>
        <w:tc>
          <w:tcPr>
            <w:tcW w:w="1542" w:type="dxa"/>
            <w:shd w:val="clear" w:color="auto" w:fill="auto"/>
          </w:tcPr>
          <w:p w:rsidR="00C418F1" w:rsidRPr="007E5D20" w:rsidRDefault="00C418F1" w:rsidP="00C418F1">
            <w:pPr>
              <w:pStyle w:val="TableNumbersRight"/>
              <w:spacing w:before="100" w:beforeAutospacing="1" w:after="100" w:afterAutospacing="1"/>
              <w:rPr>
                <w:rFonts w:eastAsia="Arial Unicode MS" w:cs="Calibri"/>
                <w:sz w:val="18"/>
                <w:szCs w:val="18"/>
              </w:rPr>
            </w:pPr>
            <w:r w:rsidRPr="007E5D20">
              <w:rPr>
                <w:rFonts w:eastAsia="Arial Unicode MS" w:cs="Calibri"/>
                <w:sz w:val="18"/>
                <w:szCs w:val="18"/>
              </w:rPr>
              <w:t>-24%</w:t>
            </w:r>
          </w:p>
        </w:tc>
        <w:tc>
          <w:tcPr>
            <w:tcW w:w="1542" w:type="dxa"/>
            <w:shd w:val="clear" w:color="auto" w:fill="auto"/>
          </w:tcPr>
          <w:p w:rsidR="00C418F1" w:rsidRPr="007E5D20" w:rsidRDefault="00C418F1" w:rsidP="00C418F1">
            <w:pPr>
              <w:pStyle w:val="TableNumbersRight"/>
              <w:spacing w:before="100" w:beforeAutospacing="1" w:after="100" w:afterAutospacing="1"/>
              <w:rPr>
                <w:rFonts w:eastAsia="Arial Unicode MS" w:cs="Calibri"/>
                <w:sz w:val="18"/>
                <w:szCs w:val="18"/>
              </w:rPr>
            </w:pPr>
            <w:r w:rsidRPr="007E5D20">
              <w:rPr>
                <w:rFonts w:eastAsia="Arial Unicode MS" w:cs="Calibri"/>
                <w:sz w:val="18"/>
                <w:szCs w:val="18"/>
              </w:rPr>
              <w:t>n/a</w:t>
            </w:r>
          </w:p>
        </w:tc>
      </w:tr>
      <w:tr w:rsidR="00C418F1" w:rsidRPr="007E5D20" w:rsidTr="00246C18">
        <w:tblPrEx>
          <w:tblBorders>
            <w:top w:val="none" w:sz="0" w:space="0" w:color="auto"/>
            <w:bottom w:val="none" w:sz="0" w:space="0" w:color="auto"/>
          </w:tblBorders>
        </w:tblPrEx>
        <w:tc>
          <w:tcPr>
            <w:tcW w:w="1753" w:type="dxa"/>
            <w:vMerge/>
          </w:tcPr>
          <w:p w:rsidR="00C418F1" w:rsidRPr="007E5D20" w:rsidRDefault="00C418F1" w:rsidP="007E5D20">
            <w:pPr>
              <w:pStyle w:val="TableTextLeftNoIndent"/>
              <w:spacing w:before="60" w:after="100" w:afterAutospacing="1"/>
              <w:rPr>
                <w:rFonts w:eastAsia="Arial Unicode MS" w:cs="Calibri"/>
                <w:sz w:val="18"/>
                <w:szCs w:val="18"/>
              </w:rPr>
            </w:pPr>
          </w:p>
        </w:tc>
        <w:tc>
          <w:tcPr>
            <w:tcW w:w="2721" w:type="dxa"/>
          </w:tcPr>
          <w:p w:rsidR="00C418F1" w:rsidRPr="007E5D20" w:rsidRDefault="00C418F1" w:rsidP="006B606F">
            <w:pPr>
              <w:pStyle w:val="TableTextLeftNoIndent"/>
              <w:spacing w:beforeAutospacing="1" w:afterAutospacing="1"/>
              <w:rPr>
                <w:rFonts w:eastAsia="Arial Unicode MS" w:cs="Calibri"/>
                <w:sz w:val="18"/>
                <w:szCs w:val="18"/>
              </w:rPr>
            </w:pPr>
            <w:r w:rsidRPr="007E5D20">
              <w:rPr>
                <w:rFonts w:eastAsia="Arial Unicode MS" w:cs="Calibri"/>
                <w:sz w:val="18"/>
                <w:szCs w:val="18"/>
              </w:rPr>
              <w:t>Percentage reduction in 3 year rolling average of fire related deaths per 100,000 population</w:t>
            </w:r>
            <w:r w:rsidRPr="007E5D20">
              <w:rPr>
                <w:rFonts w:eastAsia="Arial Unicode MS" w:cs="Calibri"/>
                <w:sz w:val="18"/>
                <w:szCs w:val="18"/>
                <w:vertAlign w:val="superscript"/>
              </w:rPr>
              <w:t>6,7,10</w:t>
            </w:r>
          </w:p>
        </w:tc>
        <w:tc>
          <w:tcPr>
            <w:tcW w:w="1542" w:type="dxa"/>
          </w:tcPr>
          <w:p w:rsidR="00C418F1" w:rsidRPr="007E5D20" w:rsidRDefault="00C418F1" w:rsidP="00C418F1">
            <w:pPr>
              <w:pStyle w:val="TableNumbersRight"/>
              <w:spacing w:before="100" w:beforeAutospacing="1" w:after="100" w:afterAutospacing="1"/>
              <w:rPr>
                <w:rFonts w:eastAsia="Arial Unicode MS" w:cs="Calibri"/>
                <w:sz w:val="18"/>
                <w:szCs w:val="18"/>
              </w:rPr>
            </w:pPr>
            <w:r w:rsidRPr="007E5D20">
              <w:rPr>
                <w:rFonts w:eastAsia="Arial Unicode MS" w:cs="Calibri"/>
                <w:sz w:val="18"/>
                <w:szCs w:val="18"/>
              </w:rPr>
              <w:t>n/a</w:t>
            </w:r>
          </w:p>
        </w:tc>
        <w:tc>
          <w:tcPr>
            <w:tcW w:w="1542" w:type="dxa"/>
            <w:shd w:val="clear" w:color="auto" w:fill="auto"/>
          </w:tcPr>
          <w:p w:rsidR="00C418F1" w:rsidRPr="007E5D20" w:rsidRDefault="00C418F1" w:rsidP="00C418F1">
            <w:pPr>
              <w:pStyle w:val="TableNumbersRight"/>
              <w:spacing w:before="100" w:beforeAutospacing="1" w:after="100" w:afterAutospacing="1"/>
              <w:rPr>
                <w:rFonts w:eastAsia="Arial Unicode MS" w:cs="Calibri"/>
                <w:sz w:val="18"/>
                <w:szCs w:val="18"/>
              </w:rPr>
            </w:pPr>
            <w:r w:rsidRPr="007E5D20">
              <w:rPr>
                <w:rFonts w:eastAsia="Arial Unicode MS" w:cs="Calibri"/>
                <w:sz w:val="18"/>
                <w:szCs w:val="18"/>
              </w:rPr>
              <w:t>n/a</w:t>
            </w:r>
          </w:p>
        </w:tc>
        <w:tc>
          <w:tcPr>
            <w:tcW w:w="1542" w:type="dxa"/>
            <w:shd w:val="clear" w:color="auto" w:fill="auto"/>
          </w:tcPr>
          <w:p w:rsidR="00C418F1" w:rsidRPr="007E5D20" w:rsidRDefault="00C418F1" w:rsidP="00C418F1">
            <w:pPr>
              <w:pStyle w:val="TableNumbersRight"/>
              <w:spacing w:before="100" w:beforeAutospacing="1" w:after="100" w:afterAutospacing="1"/>
              <w:rPr>
                <w:rFonts w:eastAsia="Arial Unicode MS" w:cs="Calibri"/>
                <w:sz w:val="18"/>
                <w:szCs w:val="18"/>
              </w:rPr>
            </w:pPr>
            <w:r w:rsidRPr="007E5D20">
              <w:rPr>
                <w:rFonts w:eastAsia="Arial Unicode MS" w:cs="Calibri"/>
                <w:sz w:val="18"/>
                <w:szCs w:val="18"/>
              </w:rPr>
              <w:t>25%</w:t>
            </w:r>
          </w:p>
        </w:tc>
      </w:tr>
      <w:tr w:rsidR="00C418F1" w:rsidRPr="007E5D20" w:rsidTr="00246C18">
        <w:tblPrEx>
          <w:tblBorders>
            <w:top w:val="none" w:sz="0" w:space="0" w:color="auto"/>
            <w:bottom w:val="none" w:sz="0" w:space="0" w:color="auto"/>
          </w:tblBorders>
        </w:tblPrEx>
        <w:tc>
          <w:tcPr>
            <w:tcW w:w="1753" w:type="dxa"/>
            <w:vMerge/>
          </w:tcPr>
          <w:p w:rsidR="00C418F1" w:rsidRPr="007E5D20" w:rsidRDefault="00C418F1" w:rsidP="007E5D20">
            <w:pPr>
              <w:pStyle w:val="TableTextLeftNoIndent"/>
              <w:spacing w:before="60" w:after="100" w:afterAutospacing="1"/>
              <w:rPr>
                <w:rFonts w:eastAsia="Arial Unicode MS" w:cs="Calibri"/>
                <w:sz w:val="18"/>
                <w:szCs w:val="18"/>
              </w:rPr>
            </w:pPr>
          </w:p>
        </w:tc>
        <w:tc>
          <w:tcPr>
            <w:tcW w:w="2721" w:type="dxa"/>
          </w:tcPr>
          <w:p w:rsidR="00C418F1" w:rsidRPr="007E5D20" w:rsidRDefault="00C418F1" w:rsidP="006B606F">
            <w:pPr>
              <w:pStyle w:val="TableTextLeftNoIndent"/>
              <w:spacing w:beforeAutospacing="1" w:afterAutospacing="1"/>
              <w:rPr>
                <w:rFonts w:eastAsia="Arial Unicode MS" w:cs="Calibri"/>
                <w:sz w:val="18"/>
                <w:szCs w:val="18"/>
              </w:rPr>
            </w:pPr>
            <w:r w:rsidRPr="007E5D20">
              <w:rPr>
                <w:rFonts w:eastAsia="Arial Unicode MS" w:cs="Calibri"/>
                <w:sz w:val="18"/>
                <w:szCs w:val="18"/>
              </w:rPr>
              <w:t>Percentage and number of people who survive out of hospital witnessed cardiac arrest incidents</w:t>
            </w:r>
            <w:r w:rsidR="006B606F">
              <w:rPr>
                <w:rFonts w:eastAsia="Arial Unicode MS" w:cs="Calibri"/>
                <w:sz w:val="18"/>
                <w:szCs w:val="18"/>
                <w:vertAlign w:val="superscript"/>
              </w:rPr>
              <w:t>7</w:t>
            </w:r>
            <w:r w:rsidRPr="007E5D20">
              <w:rPr>
                <w:rFonts w:eastAsia="Arial Unicode MS" w:cs="Calibri"/>
                <w:sz w:val="18"/>
                <w:szCs w:val="18"/>
                <w:vertAlign w:val="superscript"/>
              </w:rPr>
              <w:t>,8</w:t>
            </w:r>
          </w:p>
        </w:tc>
        <w:tc>
          <w:tcPr>
            <w:tcW w:w="1542" w:type="dxa"/>
          </w:tcPr>
          <w:p w:rsidR="00C418F1" w:rsidRPr="007E5D20" w:rsidRDefault="00C418F1" w:rsidP="00C418F1">
            <w:pPr>
              <w:pStyle w:val="TableNumbersRight"/>
              <w:spacing w:before="100" w:beforeAutospacing="1" w:after="100" w:afterAutospacing="1"/>
              <w:rPr>
                <w:rFonts w:eastAsia="Arial Unicode MS" w:cs="Calibri"/>
                <w:sz w:val="18"/>
                <w:szCs w:val="18"/>
              </w:rPr>
            </w:pPr>
            <w:r w:rsidRPr="007E5D20">
              <w:rPr>
                <w:rFonts w:eastAsia="Arial Unicode MS" w:cs="Calibri"/>
                <w:sz w:val="18"/>
                <w:szCs w:val="18"/>
              </w:rPr>
              <w:t>25%</w:t>
            </w:r>
          </w:p>
        </w:tc>
        <w:tc>
          <w:tcPr>
            <w:tcW w:w="1542" w:type="dxa"/>
            <w:shd w:val="clear" w:color="auto" w:fill="auto"/>
          </w:tcPr>
          <w:p w:rsidR="00C418F1" w:rsidRPr="007E5D20" w:rsidRDefault="00C418F1" w:rsidP="00C418F1">
            <w:pPr>
              <w:pStyle w:val="TableNumbersRight"/>
              <w:spacing w:before="100" w:beforeAutospacing="1" w:after="100" w:afterAutospacing="1"/>
              <w:rPr>
                <w:rFonts w:eastAsia="Arial Unicode MS" w:cs="Calibri"/>
                <w:sz w:val="18"/>
                <w:szCs w:val="18"/>
              </w:rPr>
            </w:pPr>
            <w:r w:rsidRPr="007E5D20">
              <w:rPr>
                <w:rFonts w:eastAsia="Arial Unicode MS" w:cs="Calibri"/>
                <w:sz w:val="18"/>
                <w:szCs w:val="18"/>
              </w:rPr>
              <w:t>63.2% (12)</w:t>
            </w:r>
          </w:p>
        </w:tc>
        <w:tc>
          <w:tcPr>
            <w:tcW w:w="1542" w:type="dxa"/>
            <w:shd w:val="clear" w:color="auto" w:fill="auto"/>
          </w:tcPr>
          <w:p w:rsidR="00C418F1" w:rsidRPr="007E5D20" w:rsidRDefault="00C418F1" w:rsidP="00C418F1">
            <w:pPr>
              <w:pStyle w:val="TableNumbersRight"/>
              <w:spacing w:before="100" w:beforeAutospacing="1" w:after="100" w:afterAutospacing="1"/>
              <w:rPr>
                <w:rFonts w:eastAsia="Arial Unicode MS" w:cs="Calibri"/>
                <w:sz w:val="18"/>
                <w:szCs w:val="18"/>
              </w:rPr>
            </w:pPr>
            <w:r w:rsidRPr="007E5D20">
              <w:rPr>
                <w:rFonts w:eastAsia="Arial Unicode MS" w:cs="Calibri"/>
                <w:sz w:val="18"/>
                <w:szCs w:val="18"/>
              </w:rPr>
              <w:t>25%</w:t>
            </w:r>
          </w:p>
        </w:tc>
      </w:tr>
      <w:tr w:rsidR="00C418F1" w:rsidRPr="007E5D20" w:rsidTr="00246C18">
        <w:tblPrEx>
          <w:tblBorders>
            <w:top w:val="none" w:sz="0" w:space="0" w:color="auto"/>
            <w:bottom w:val="none" w:sz="0" w:space="0" w:color="auto"/>
          </w:tblBorders>
        </w:tblPrEx>
        <w:trPr>
          <w:trHeight w:hRule="exact" w:val="57"/>
        </w:trPr>
        <w:tc>
          <w:tcPr>
            <w:tcW w:w="1753" w:type="dxa"/>
          </w:tcPr>
          <w:p w:rsidR="00C418F1" w:rsidRPr="007E5D20" w:rsidRDefault="00C418F1" w:rsidP="007E5D20">
            <w:pPr>
              <w:pStyle w:val="TableTextLeftNoIndent"/>
              <w:spacing w:before="60" w:after="100" w:afterAutospacing="1"/>
              <w:rPr>
                <w:rFonts w:eastAsia="Arial Unicode MS" w:cs="Calibri"/>
                <w:sz w:val="18"/>
                <w:szCs w:val="18"/>
              </w:rPr>
            </w:pPr>
          </w:p>
        </w:tc>
        <w:tc>
          <w:tcPr>
            <w:tcW w:w="2721" w:type="dxa"/>
          </w:tcPr>
          <w:p w:rsidR="00C418F1" w:rsidRPr="007E5D20" w:rsidRDefault="00C418F1" w:rsidP="006B606F">
            <w:pPr>
              <w:pStyle w:val="TableTextLeftNoIndent"/>
              <w:spacing w:beforeAutospacing="1" w:afterAutospacing="1"/>
              <w:rPr>
                <w:rFonts w:eastAsia="Arial Unicode MS" w:cs="Calibri"/>
                <w:sz w:val="18"/>
                <w:szCs w:val="18"/>
              </w:rPr>
            </w:pPr>
          </w:p>
        </w:tc>
        <w:tc>
          <w:tcPr>
            <w:tcW w:w="1542" w:type="dxa"/>
          </w:tcPr>
          <w:p w:rsidR="00C418F1" w:rsidRPr="007E5D20" w:rsidRDefault="00C418F1" w:rsidP="00C418F1">
            <w:pPr>
              <w:pStyle w:val="TableNumbersRight"/>
              <w:spacing w:before="100" w:beforeAutospacing="1" w:after="100" w:afterAutospacing="1"/>
              <w:rPr>
                <w:rFonts w:eastAsia="Arial Unicode MS" w:cs="Calibri"/>
                <w:sz w:val="18"/>
                <w:szCs w:val="18"/>
              </w:rPr>
            </w:pPr>
          </w:p>
        </w:tc>
        <w:tc>
          <w:tcPr>
            <w:tcW w:w="1542" w:type="dxa"/>
            <w:shd w:val="clear" w:color="auto" w:fill="auto"/>
          </w:tcPr>
          <w:p w:rsidR="00C418F1" w:rsidRPr="007E5D20" w:rsidRDefault="00C418F1" w:rsidP="00C418F1">
            <w:pPr>
              <w:pStyle w:val="TableNumbersRight"/>
              <w:spacing w:before="100" w:beforeAutospacing="1" w:after="100" w:afterAutospacing="1"/>
              <w:rPr>
                <w:rFonts w:eastAsia="Arial Unicode MS" w:cs="Calibri"/>
                <w:sz w:val="18"/>
                <w:szCs w:val="18"/>
              </w:rPr>
            </w:pPr>
          </w:p>
        </w:tc>
        <w:tc>
          <w:tcPr>
            <w:tcW w:w="1542" w:type="dxa"/>
            <w:shd w:val="clear" w:color="auto" w:fill="auto"/>
          </w:tcPr>
          <w:p w:rsidR="00C418F1" w:rsidRPr="007E5D20" w:rsidRDefault="00C418F1" w:rsidP="00C418F1">
            <w:pPr>
              <w:pStyle w:val="TableNumbersRight"/>
              <w:spacing w:before="100" w:beforeAutospacing="1" w:after="100" w:afterAutospacing="1"/>
              <w:rPr>
                <w:rFonts w:eastAsia="Arial Unicode MS" w:cs="Calibri"/>
                <w:sz w:val="18"/>
                <w:szCs w:val="18"/>
              </w:rPr>
            </w:pPr>
          </w:p>
        </w:tc>
      </w:tr>
      <w:tr w:rsidR="00C418F1" w:rsidRPr="007E5D20" w:rsidTr="00246C18">
        <w:tblPrEx>
          <w:tblBorders>
            <w:top w:val="none" w:sz="0" w:space="0" w:color="auto"/>
            <w:bottom w:val="none" w:sz="0" w:space="0" w:color="auto"/>
          </w:tblBorders>
        </w:tblPrEx>
        <w:tc>
          <w:tcPr>
            <w:tcW w:w="1753" w:type="dxa"/>
            <w:vMerge w:val="restart"/>
          </w:tcPr>
          <w:p w:rsidR="00C418F1" w:rsidRPr="007E5D20" w:rsidRDefault="00C418F1" w:rsidP="00C418F1">
            <w:pPr>
              <w:pStyle w:val="TableTextLeftNoIndent"/>
              <w:spacing w:before="0" w:after="100" w:afterAutospacing="1"/>
              <w:rPr>
                <w:rFonts w:eastAsia="Arial Unicode MS" w:cs="Calibri"/>
                <w:sz w:val="18"/>
                <w:szCs w:val="18"/>
              </w:rPr>
            </w:pPr>
            <w:r w:rsidRPr="007E5D20">
              <w:rPr>
                <w:rFonts w:eastAsia="Arial Unicode MS" w:cs="Calibri"/>
                <w:sz w:val="18"/>
                <w:szCs w:val="18"/>
              </w:rPr>
              <w:t>Reduced loss and damage to property</w:t>
            </w:r>
          </w:p>
        </w:tc>
        <w:tc>
          <w:tcPr>
            <w:tcW w:w="2721" w:type="dxa"/>
          </w:tcPr>
          <w:p w:rsidR="00C418F1" w:rsidRPr="007E5D20" w:rsidRDefault="00C418F1" w:rsidP="006B606F">
            <w:pPr>
              <w:pStyle w:val="TableTextLeftNoIndent"/>
              <w:spacing w:beforeAutospacing="1" w:afterAutospacing="1"/>
              <w:rPr>
                <w:rFonts w:eastAsia="Arial Unicode MS" w:cs="Calibri"/>
                <w:sz w:val="18"/>
                <w:szCs w:val="18"/>
                <w:vertAlign w:val="superscript"/>
              </w:rPr>
            </w:pPr>
            <w:r w:rsidRPr="007E5D20">
              <w:rPr>
                <w:rFonts w:eastAsia="Arial Unicode MS" w:cs="Calibri"/>
                <w:sz w:val="18"/>
                <w:szCs w:val="18"/>
              </w:rPr>
              <w:t>Percentage and number of structure fires confined to room of origin</w:t>
            </w:r>
            <w:r w:rsidR="006B606F">
              <w:rPr>
                <w:rFonts w:eastAsia="Arial Unicode MS" w:cs="Calibri"/>
                <w:sz w:val="18"/>
                <w:szCs w:val="18"/>
                <w:vertAlign w:val="superscript"/>
              </w:rPr>
              <w:t>3</w:t>
            </w:r>
            <w:r w:rsidRPr="007E5D20">
              <w:rPr>
                <w:rFonts w:eastAsia="Arial Unicode MS" w:cs="Calibri"/>
                <w:sz w:val="18"/>
                <w:szCs w:val="18"/>
                <w:vertAlign w:val="superscript"/>
              </w:rPr>
              <w:t>,</w:t>
            </w:r>
            <w:r w:rsidR="006B606F">
              <w:rPr>
                <w:rFonts w:eastAsia="Arial Unicode MS" w:cs="Calibri"/>
                <w:sz w:val="18"/>
                <w:szCs w:val="18"/>
                <w:vertAlign w:val="superscript"/>
              </w:rPr>
              <w:t>7,</w:t>
            </w:r>
            <w:r w:rsidRPr="007E5D20">
              <w:rPr>
                <w:rFonts w:eastAsia="Arial Unicode MS" w:cs="Calibri"/>
                <w:sz w:val="18"/>
                <w:szCs w:val="18"/>
                <w:vertAlign w:val="superscript"/>
              </w:rPr>
              <w:t>9</w:t>
            </w:r>
          </w:p>
        </w:tc>
        <w:tc>
          <w:tcPr>
            <w:tcW w:w="1542" w:type="dxa"/>
          </w:tcPr>
          <w:p w:rsidR="00C418F1" w:rsidRPr="007E5D20" w:rsidRDefault="00C418F1" w:rsidP="00C418F1">
            <w:pPr>
              <w:pStyle w:val="TableNumbersRight"/>
              <w:spacing w:before="100" w:beforeAutospacing="1" w:after="100" w:afterAutospacing="1"/>
              <w:rPr>
                <w:rFonts w:eastAsia="Arial Unicode MS" w:cs="Calibri"/>
                <w:sz w:val="18"/>
                <w:szCs w:val="18"/>
              </w:rPr>
            </w:pPr>
            <w:r w:rsidRPr="007E5D20">
              <w:rPr>
                <w:rFonts w:eastAsia="Arial Unicode MS" w:cs="Calibri"/>
                <w:sz w:val="18"/>
                <w:szCs w:val="18"/>
              </w:rPr>
              <w:t>80%</w:t>
            </w:r>
          </w:p>
        </w:tc>
        <w:tc>
          <w:tcPr>
            <w:tcW w:w="1542" w:type="dxa"/>
            <w:shd w:val="clear" w:color="auto" w:fill="auto"/>
          </w:tcPr>
          <w:p w:rsidR="00C418F1" w:rsidRPr="007E5D20" w:rsidRDefault="00C418F1" w:rsidP="00C418F1">
            <w:pPr>
              <w:pStyle w:val="TableNumbersRight"/>
              <w:spacing w:before="100" w:beforeAutospacing="1" w:after="100" w:afterAutospacing="1"/>
              <w:rPr>
                <w:rFonts w:eastAsia="Arial Unicode MS" w:cs="Calibri"/>
                <w:sz w:val="18"/>
                <w:szCs w:val="18"/>
              </w:rPr>
            </w:pPr>
            <w:r w:rsidRPr="007E5D20">
              <w:rPr>
                <w:rFonts w:eastAsia="Arial Unicode MS" w:cs="Calibri"/>
                <w:sz w:val="18"/>
                <w:szCs w:val="18"/>
              </w:rPr>
              <w:t>70%</w:t>
            </w:r>
          </w:p>
        </w:tc>
        <w:tc>
          <w:tcPr>
            <w:tcW w:w="1542" w:type="dxa"/>
            <w:shd w:val="clear" w:color="auto" w:fill="auto"/>
          </w:tcPr>
          <w:p w:rsidR="00C418F1" w:rsidRPr="007E5D20" w:rsidRDefault="00C418F1" w:rsidP="00C418F1">
            <w:pPr>
              <w:pStyle w:val="TableNumbersRight"/>
              <w:spacing w:before="100" w:beforeAutospacing="1" w:after="100" w:afterAutospacing="1"/>
              <w:rPr>
                <w:rFonts w:eastAsia="Arial Unicode MS" w:cs="Calibri"/>
                <w:sz w:val="18"/>
                <w:szCs w:val="18"/>
              </w:rPr>
            </w:pPr>
            <w:r w:rsidRPr="007E5D20">
              <w:rPr>
                <w:rFonts w:eastAsia="Arial Unicode MS" w:cs="Calibri"/>
                <w:sz w:val="18"/>
                <w:szCs w:val="18"/>
              </w:rPr>
              <w:t>80%</w:t>
            </w:r>
          </w:p>
        </w:tc>
      </w:tr>
      <w:tr w:rsidR="00C418F1" w:rsidRPr="007E5D20" w:rsidTr="00246C18">
        <w:tblPrEx>
          <w:tblBorders>
            <w:top w:val="none" w:sz="0" w:space="0" w:color="auto"/>
            <w:bottom w:val="none" w:sz="0" w:space="0" w:color="auto"/>
          </w:tblBorders>
        </w:tblPrEx>
        <w:tc>
          <w:tcPr>
            <w:tcW w:w="1753" w:type="dxa"/>
            <w:vMerge/>
          </w:tcPr>
          <w:p w:rsidR="00C418F1" w:rsidRPr="007E5D20" w:rsidRDefault="00C418F1" w:rsidP="00C418F1">
            <w:pPr>
              <w:pStyle w:val="TableTextLeftNoIndent"/>
              <w:spacing w:before="0" w:after="100" w:afterAutospacing="1"/>
              <w:rPr>
                <w:rFonts w:eastAsia="Arial Unicode MS" w:cs="Calibri"/>
                <w:sz w:val="18"/>
                <w:szCs w:val="18"/>
              </w:rPr>
            </w:pPr>
          </w:p>
        </w:tc>
        <w:tc>
          <w:tcPr>
            <w:tcW w:w="2721" w:type="dxa"/>
          </w:tcPr>
          <w:p w:rsidR="00C418F1" w:rsidRPr="007E5D20" w:rsidRDefault="00C418F1" w:rsidP="006B606F">
            <w:pPr>
              <w:pStyle w:val="TableTextLeftNoIndent"/>
              <w:spacing w:beforeAutospacing="1" w:afterAutospacing="1"/>
              <w:rPr>
                <w:rFonts w:eastAsia="Arial Unicode MS" w:cs="Calibri"/>
                <w:sz w:val="18"/>
                <w:szCs w:val="18"/>
              </w:rPr>
            </w:pPr>
            <w:r w:rsidRPr="007E5D20">
              <w:rPr>
                <w:rFonts w:eastAsia="Arial Unicode MS" w:cs="Calibri"/>
                <w:sz w:val="18"/>
                <w:szCs w:val="18"/>
              </w:rPr>
              <w:t>Percentage and number of storm damage incidents responded to within ESA time standards</w:t>
            </w:r>
            <w:r w:rsidR="00F47382" w:rsidRPr="00F47382">
              <w:rPr>
                <w:rFonts w:eastAsia="Arial Unicode MS" w:cs="Calibri"/>
                <w:sz w:val="18"/>
                <w:szCs w:val="18"/>
                <w:vertAlign w:val="superscript"/>
              </w:rPr>
              <w:t>3</w:t>
            </w:r>
          </w:p>
        </w:tc>
        <w:tc>
          <w:tcPr>
            <w:tcW w:w="1542" w:type="dxa"/>
          </w:tcPr>
          <w:p w:rsidR="00C418F1" w:rsidRPr="007E5D20" w:rsidRDefault="00C418F1" w:rsidP="00C418F1">
            <w:pPr>
              <w:pStyle w:val="TableNumbersRight"/>
              <w:spacing w:before="100" w:beforeAutospacing="1" w:after="100" w:afterAutospacing="1"/>
              <w:rPr>
                <w:rFonts w:eastAsia="Arial Unicode MS" w:cs="Calibri"/>
                <w:sz w:val="18"/>
                <w:szCs w:val="18"/>
              </w:rPr>
            </w:pPr>
            <w:r w:rsidRPr="007E5D20">
              <w:rPr>
                <w:rFonts w:eastAsia="Arial Unicode MS" w:cs="Calibri"/>
                <w:sz w:val="18"/>
                <w:szCs w:val="18"/>
              </w:rPr>
              <w:t>100%</w:t>
            </w:r>
          </w:p>
        </w:tc>
        <w:tc>
          <w:tcPr>
            <w:tcW w:w="1542" w:type="dxa"/>
            <w:shd w:val="clear" w:color="auto" w:fill="auto"/>
          </w:tcPr>
          <w:p w:rsidR="00C418F1" w:rsidRPr="007E5D20" w:rsidRDefault="00C418F1" w:rsidP="00C418F1">
            <w:pPr>
              <w:pStyle w:val="TableNumbersRight"/>
              <w:spacing w:before="100" w:beforeAutospacing="1" w:after="100" w:afterAutospacing="1"/>
              <w:rPr>
                <w:rFonts w:eastAsia="Arial Unicode MS" w:cs="Calibri"/>
                <w:sz w:val="18"/>
                <w:szCs w:val="18"/>
              </w:rPr>
            </w:pPr>
            <w:r w:rsidRPr="007E5D20">
              <w:rPr>
                <w:rFonts w:eastAsia="Arial Unicode MS" w:cs="Calibri"/>
                <w:sz w:val="18"/>
                <w:szCs w:val="18"/>
              </w:rPr>
              <w:t>100%</w:t>
            </w:r>
          </w:p>
        </w:tc>
        <w:tc>
          <w:tcPr>
            <w:tcW w:w="1542" w:type="dxa"/>
            <w:shd w:val="clear" w:color="auto" w:fill="auto"/>
          </w:tcPr>
          <w:p w:rsidR="00C418F1" w:rsidRPr="007E5D20" w:rsidRDefault="00C418F1" w:rsidP="00C418F1">
            <w:pPr>
              <w:pStyle w:val="TableNumbersRight"/>
              <w:spacing w:before="100" w:beforeAutospacing="1" w:after="100" w:afterAutospacing="1"/>
              <w:rPr>
                <w:rFonts w:eastAsia="Arial Unicode MS" w:cs="Calibri"/>
                <w:sz w:val="18"/>
                <w:szCs w:val="18"/>
              </w:rPr>
            </w:pPr>
            <w:r w:rsidRPr="007E5D20">
              <w:rPr>
                <w:rFonts w:eastAsia="Arial Unicode MS" w:cs="Calibri"/>
                <w:sz w:val="18"/>
                <w:szCs w:val="18"/>
              </w:rPr>
              <w:t>100%</w:t>
            </w:r>
          </w:p>
        </w:tc>
      </w:tr>
      <w:tr w:rsidR="00C418F1" w:rsidRPr="007E5D20" w:rsidTr="00246C18">
        <w:tblPrEx>
          <w:tblBorders>
            <w:top w:val="none" w:sz="0" w:space="0" w:color="auto"/>
            <w:bottom w:val="none" w:sz="0" w:space="0" w:color="auto"/>
          </w:tblBorders>
        </w:tblPrEx>
        <w:trPr>
          <w:trHeight w:hRule="exact" w:val="57"/>
        </w:trPr>
        <w:tc>
          <w:tcPr>
            <w:tcW w:w="1753" w:type="dxa"/>
            <w:tcBorders>
              <w:bottom w:val="single" w:sz="4" w:space="0" w:color="auto"/>
            </w:tcBorders>
          </w:tcPr>
          <w:p w:rsidR="00C418F1" w:rsidRPr="007E5D20" w:rsidRDefault="00C418F1" w:rsidP="00C418F1">
            <w:pPr>
              <w:pStyle w:val="TableTextLeftNoIndent"/>
              <w:spacing w:before="0" w:after="100" w:afterAutospacing="1"/>
              <w:rPr>
                <w:rFonts w:eastAsia="Arial Unicode MS" w:cs="Calibri"/>
                <w:sz w:val="18"/>
                <w:szCs w:val="18"/>
              </w:rPr>
            </w:pPr>
          </w:p>
        </w:tc>
        <w:tc>
          <w:tcPr>
            <w:tcW w:w="2721" w:type="dxa"/>
            <w:tcBorders>
              <w:bottom w:val="single" w:sz="4" w:space="0" w:color="auto"/>
            </w:tcBorders>
          </w:tcPr>
          <w:p w:rsidR="00C418F1" w:rsidRPr="007E5D20" w:rsidRDefault="00C418F1" w:rsidP="006B606F">
            <w:pPr>
              <w:pStyle w:val="TableTextLeftNoIndent"/>
              <w:spacing w:beforeAutospacing="1" w:afterAutospacing="1"/>
              <w:rPr>
                <w:rFonts w:eastAsia="Arial Unicode MS" w:cs="Calibri"/>
                <w:sz w:val="18"/>
                <w:szCs w:val="18"/>
              </w:rPr>
            </w:pPr>
          </w:p>
        </w:tc>
        <w:tc>
          <w:tcPr>
            <w:tcW w:w="1542" w:type="dxa"/>
            <w:tcBorders>
              <w:bottom w:val="single" w:sz="4" w:space="0" w:color="auto"/>
            </w:tcBorders>
          </w:tcPr>
          <w:p w:rsidR="00C418F1" w:rsidRPr="007E5D20" w:rsidRDefault="00C418F1" w:rsidP="00C418F1">
            <w:pPr>
              <w:pStyle w:val="TableNumbersRight"/>
              <w:spacing w:before="100" w:beforeAutospacing="1" w:after="100" w:afterAutospacing="1"/>
              <w:rPr>
                <w:rFonts w:eastAsia="Arial Unicode MS" w:cs="Calibri"/>
                <w:sz w:val="18"/>
                <w:szCs w:val="18"/>
              </w:rPr>
            </w:pPr>
          </w:p>
        </w:tc>
        <w:tc>
          <w:tcPr>
            <w:tcW w:w="1542" w:type="dxa"/>
            <w:tcBorders>
              <w:bottom w:val="single" w:sz="4" w:space="0" w:color="auto"/>
            </w:tcBorders>
            <w:shd w:val="clear" w:color="auto" w:fill="auto"/>
          </w:tcPr>
          <w:p w:rsidR="00C418F1" w:rsidRPr="007E5D20" w:rsidRDefault="00C418F1" w:rsidP="00C418F1">
            <w:pPr>
              <w:pStyle w:val="TableNumbersRight"/>
              <w:spacing w:before="100" w:beforeAutospacing="1" w:after="100" w:afterAutospacing="1"/>
              <w:rPr>
                <w:rFonts w:eastAsia="Arial Unicode MS" w:cs="Calibri"/>
                <w:sz w:val="18"/>
                <w:szCs w:val="18"/>
              </w:rPr>
            </w:pPr>
          </w:p>
        </w:tc>
        <w:tc>
          <w:tcPr>
            <w:tcW w:w="1542" w:type="dxa"/>
            <w:tcBorders>
              <w:bottom w:val="single" w:sz="4" w:space="0" w:color="auto"/>
            </w:tcBorders>
            <w:shd w:val="clear" w:color="auto" w:fill="auto"/>
          </w:tcPr>
          <w:p w:rsidR="00C418F1" w:rsidRPr="007E5D20" w:rsidRDefault="00C418F1" w:rsidP="00C418F1">
            <w:pPr>
              <w:pStyle w:val="TableNumbersRight"/>
              <w:spacing w:before="100" w:beforeAutospacing="1" w:after="100" w:afterAutospacing="1"/>
              <w:rPr>
                <w:rFonts w:eastAsia="Arial Unicode MS" w:cs="Calibri"/>
                <w:sz w:val="18"/>
                <w:szCs w:val="18"/>
              </w:rPr>
            </w:pPr>
          </w:p>
        </w:tc>
      </w:tr>
    </w:tbl>
    <w:p w:rsidR="00246C18" w:rsidRPr="00FB46C0" w:rsidRDefault="00246C18" w:rsidP="00246C18">
      <w:r>
        <w:br w:type="page"/>
      </w:r>
      <w:r w:rsidRPr="00246C18">
        <w:rPr>
          <w:rFonts w:ascii="Arial" w:hAnsi="Arial" w:cs="Arial"/>
          <w:b/>
          <w:sz w:val="20"/>
        </w:rPr>
        <w:lastRenderedPageBreak/>
        <w:t>Strategic Indicator 3</w:t>
      </w:r>
      <w:r>
        <w:t xml:space="preserve">:  </w:t>
      </w:r>
      <w:r w:rsidRPr="00246C18">
        <w:rPr>
          <w:rFonts w:ascii="Arial" w:hAnsi="Arial" w:cs="Arial"/>
          <w:sz w:val="20"/>
        </w:rPr>
        <w:t>Emergency Related Community Safety</w:t>
      </w:r>
      <w:r w:rsidRPr="00246C18">
        <w:rPr>
          <w:rFonts w:ascii="Arial" w:hAnsi="Arial" w:cs="Arial"/>
          <w:b/>
          <w:sz w:val="20"/>
        </w:rPr>
        <w:t xml:space="preserve"> </w:t>
      </w:r>
      <w:r w:rsidRPr="00246C18">
        <w:rPr>
          <w:rFonts w:ascii="Arial" w:hAnsi="Arial" w:cs="Arial"/>
          <w:sz w:val="20"/>
        </w:rPr>
        <w:t>cont</w:t>
      </w:r>
      <w:r w:rsidRPr="00246C18">
        <w:t>.</w:t>
      </w:r>
    </w:p>
    <w:tbl>
      <w:tblPr>
        <w:tblW w:w="9100" w:type="dxa"/>
        <w:tblBorders>
          <w:top w:val="single" w:sz="4" w:space="0" w:color="auto"/>
          <w:bottom w:val="single" w:sz="4" w:space="0" w:color="auto"/>
        </w:tblBorders>
        <w:tblLayout w:type="fixed"/>
        <w:tblLook w:val="01E0"/>
      </w:tblPr>
      <w:tblGrid>
        <w:gridCol w:w="1753"/>
        <w:gridCol w:w="2721"/>
        <w:gridCol w:w="1542"/>
        <w:gridCol w:w="1542"/>
        <w:gridCol w:w="1542"/>
      </w:tblGrid>
      <w:tr w:rsidR="00246C18" w:rsidRPr="00FB46C0" w:rsidTr="0073064A">
        <w:tc>
          <w:tcPr>
            <w:tcW w:w="1753" w:type="dxa"/>
            <w:tcBorders>
              <w:top w:val="single" w:sz="4" w:space="0" w:color="auto"/>
              <w:bottom w:val="single" w:sz="4" w:space="0" w:color="auto"/>
            </w:tcBorders>
          </w:tcPr>
          <w:p w:rsidR="00246C18" w:rsidRPr="00FB46C0" w:rsidRDefault="00246C18" w:rsidP="0073064A">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19"/>
                <w:szCs w:val="19"/>
              </w:rPr>
            </w:pPr>
            <w:r w:rsidRPr="00FB46C0">
              <w:rPr>
                <w:rFonts w:cs="Calibri"/>
                <w:sz w:val="19"/>
                <w:szCs w:val="19"/>
              </w:rPr>
              <w:t>Success</w:t>
            </w:r>
          </w:p>
        </w:tc>
        <w:tc>
          <w:tcPr>
            <w:tcW w:w="2721" w:type="dxa"/>
            <w:tcBorders>
              <w:top w:val="single" w:sz="4" w:space="0" w:color="auto"/>
              <w:bottom w:val="single" w:sz="4" w:space="0" w:color="auto"/>
            </w:tcBorders>
          </w:tcPr>
          <w:p w:rsidR="00246C18" w:rsidRPr="00FB46C0" w:rsidRDefault="00246C18" w:rsidP="0073064A">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19"/>
                <w:szCs w:val="19"/>
              </w:rPr>
            </w:pPr>
            <w:r w:rsidRPr="00FB46C0">
              <w:rPr>
                <w:rFonts w:cs="Calibri"/>
                <w:sz w:val="19"/>
                <w:szCs w:val="19"/>
              </w:rPr>
              <w:t xml:space="preserve">Strategic Indicator </w:t>
            </w:r>
          </w:p>
        </w:tc>
        <w:tc>
          <w:tcPr>
            <w:tcW w:w="1542" w:type="dxa"/>
            <w:tcBorders>
              <w:top w:val="single" w:sz="4" w:space="0" w:color="auto"/>
              <w:bottom w:val="single" w:sz="4" w:space="0" w:color="auto"/>
            </w:tcBorders>
          </w:tcPr>
          <w:p w:rsidR="00246C18" w:rsidRPr="00FB46C0" w:rsidRDefault="00246C18" w:rsidP="0073064A">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Pr>
                <w:rFonts w:cs="Calibri"/>
                <w:sz w:val="19"/>
                <w:szCs w:val="19"/>
              </w:rPr>
              <w:t>2012-13</w:t>
            </w:r>
          </w:p>
          <w:p w:rsidR="00246C18" w:rsidRPr="00FB46C0" w:rsidRDefault="00246C18" w:rsidP="0073064A">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sidRPr="00FB46C0">
              <w:rPr>
                <w:rFonts w:cs="Calibri"/>
                <w:sz w:val="19"/>
                <w:szCs w:val="19"/>
              </w:rPr>
              <w:t>Target</w:t>
            </w:r>
          </w:p>
        </w:tc>
        <w:tc>
          <w:tcPr>
            <w:tcW w:w="1542" w:type="dxa"/>
            <w:tcBorders>
              <w:top w:val="single" w:sz="4" w:space="0" w:color="auto"/>
              <w:bottom w:val="single" w:sz="4" w:space="0" w:color="auto"/>
            </w:tcBorders>
          </w:tcPr>
          <w:p w:rsidR="00246C18" w:rsidRPr="00FB46C0" w:rsidRDefault="00246C18" w:rsidP="0073064A">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Pr>
                <w:rFonts w:cs="Calibri"/>
                <w:sz w:val="19"/>
                <w:szCs w:val="19"/>
              </w:rPr>
              <w:t>2012-13</w:t>
            </w:r>
          </w:p>
          <w:p w:rsidR="00246C18" w:rsidRPr="00FB46C0" w:rsidRDefault="00246C18" w:rsidP="0073064A">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sidRPr="00FB46C0">
              <w:rPr>
                <w:rFonts w:cs="Calibri"/>
                <w:sz w:val="19"/>
                <w:szCs w:val="19"/>
              </w:rPr>
              <w:t>Est. Outcome</w:t>
            </w:r>
          </w:p>
        </w:tc>
        <w:tc>
          <w:tcPr>
            <w:tcW w:w="1542" w:type="dxa"/>
            <w:tcBorders>
              <w:top w:val="single" w:sz="4" w:space="0" w:color="auto"/>
              <w:bottom w:val="single" w:sz="4" w:space="0" w:color="auto"/>
            </w:tcBorders>
          </w:tcPr>
          <w:p w:rsidR="00246C18" w:rsidRPr="00FB46C0" w:rsidRDefault="00246C18" w:rsidP="0073064A">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Pr>
                <w:rFonts w:cs="Calibri"/>
                <w:sz w:val="19"/>
                <w:szCs w:val="19"/>
              </w:rPr>
              <w:t>2013-14</w:t>
            </w:r>
          </w:p>
          <w:p w:rsidR="00246C18" w:rsidRPr="00FB46C0" w:rsidRDefault="00246C18" w:rsidP="0073064A">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sidRPr="00FB46C0">
              <w:rPr>
                <w:rFonts w:cs="Calibri"/>
                <w:sz w:val="19"/>
                <w:szCs w:val="19"/>
              </w:rPr>
              <w:t>Target</w:t>
            </w:r>
          </w:p>
        </w:tc>
      </w:tr>
      <w:tr w:rsidR="00C418F1" w:rsidRPr="007E5D20" w:rsidTr="00246C18">
        <w:tblPrEx>
          <w:tblBorders>
            <w:top w:val="none" w:sz="0" w:space="0" w:color="auto"/>
            <w:bottom w:val="none" w:sz="0" w:space="0" w:color="auto"/>
          </w:tblBorders>
        </w:tblPrEx>
        <w:tc>
          <w:tcPr>
            <w:tcW w:w="1753" w:type="dxa"/>
            <w:vMerge w:val="restart"/>
          </w:tcPr>
          <w:p w:rsidR="00C418F1" w:rsidRPr="007E5D20" w:rsidRDefault="00246C18" w:rsidP="00C418F1">
            <w:pPr>
              <w:pStyle w:val="TableTextLeftNoIndent"/>
              <w:spacing w:before="0" w:after="100" w:afterAutospacing="1"/>
              <w:rPr>
                <w:rFonts w:eastAsia="Arial Unicode MS" w:cs="Calibri"/>
                <w:sz w:val="18"/>
                <w:szCs w:val="18"/>
              </w:rPr>
            </w:pPr>
            <w:r>
              <w:rPr>
                <w:sz w:val="24"/>
                <w:lang w:eastAsia="en-US"/>
              </w:rPr>
              <w:br w:type="page"/>
            </w:r>
            <w:r w:rsidR="00C418F1" w:rsidRPr="007E5D20">
              <w:rPr>
                <w:rFonts w:eastAsia="Arial Unicode MS" w:cs="Calibri"/>
                <w:sz w:val="18"/>
                <w:szCs w:val="18"/>
              </w:rPr>
              <w:t>Reduced impact on the environment from bushfires</w:t>
            </w:r>
          </w:p>
        </w:tc>
        <w:tc>
          <w:tcPr>
            <w:tcW w:w="2721" w:type="dxa"/>
          </w:tcPr>
          <w:p w:rsidR="00C418F1" w:rsidRPr="007E5D20" w:rsidRDefault="00C418F1" w:rsidP="00F47382">
            <w:pPr>
              <w:pStyle w:val="TableTextLeftNoIndent"/>
              <w:spacing w:beforeAutospacing="1" w:afterAutospacing="1"/>
              <w:rPr>
                <w:rFonts w:eastAsia="Arial Unicode MS" w:cs="Calibri"/>
                <w:sz w:val="18"/>
                <w:szCs w:val="18"/>
              </w:rPr>
            </w:pPr>
            <w:r w:rsidRPr="007E5D20">
              <w:rPr>
                <w:rFonts w:eastAsia="Arial Unicode MS" w:cs="Calibri"/>
                <w:sz w:val="18"/>
                <w:szCs w:val="18"/>
              </w:rPr>
              <w:t>Percentage and number of bushfires kept below five hectares of damage, within bushfire abatement zones and built up areas</w:t>
            </w:r>
            <w:r w:rsidR="007B32B0">
              <w:rPr>
                <w:rFonts w:eastAsia="Arial Unicode MS" w:cs="Calibri"/>
                <w:sz w:val="18"/>
                <w:szCs w:val="18"/>
                <w:vertAlign w:val="superscript"/>
              </w:rPr>
              <w:t>2,3</w:t>
            </w:r>
          </w:p>
        </w:tc>
        <w:tc>
          <w:tcPr>
            <w:tcW w:w="1542" w:type="dxa"/>
          </w:tcPr>
          <w:p w:rsidR="00C418F1" w:rsidRPr="007E5D20" w:rsidRDefault="00C418F1" w:rsidP="00C418F1">
            <w:pPr>
              <w:pStyle w:val="TableNumbersRight"/>
              <w:spacing w:before="100" w:beforeAutospacing="1" w:after="100" w:afterAutospacing="1"/>
              <w:rPr>
                <w:rFonts w:eastAsia="Arial Unicode MS" w:cs="Calibri"/>
                <w:sz w:val="18"/>
                <w:szCs w:val="18"/>
              </w:rPr>
            </w:pPr>
            <w:r w:rsidRPr="007E5D20">
              <w:rPr>
                <w:rFonts w:eastAsia="Arial Unicode MS" w:cs="Calibri"/>
                <w:sz w:val="18"/>
                <w:szCs w:val="18"/>
              </w:rPr>
              <w:t>100%</w:t>
            </w:r>
          </w:p>
        </w:tc>
        <w:tc>
          <w:tcPr>
            <w:tcW w:w="1542" w:type="dxa"/>
            <w:shd w:val="clear" w:color="auto" w:fill="auto"/>
          </w:tcPr>
          <w:p w:rsidR="00C418F1" w:rsidRPr="007E5D20" w:rsidRDefault="00C418F1" w:rsidP="00C418F1">
            <w:pPr>
              <w:pStyle w:val="TableNumbersRight"/>
              <w:spacing w:before="100" w:beforeAutospacing="1" w:after="100" w:afterAutospacing="1"/>
              <w:rPr>
                <w:rFonts w:eastAsia="Arial Unicode MS" w:cs="Calibri"/>
                <w:sz w:val="18"/>
                <w:szCs w:val="18"/>
              </w:rPr>
            </w:pPr>
            <w:r w:rsidRPr="007E5D20">
              <w:rPr>
                <w:rFonts w:eastAsia="Arial Unicode MS" w:cs="Calibri"/>
                <w:sz w:val="18"/>
                <w:szCs w:val="18"/>
              </w:rPr>
              <w:t>&gt;99%</w:t>
            </w:r>
          </w:p>
        </w:tc>
        <w:tc>
          <w:tcPr>
            <w:tcW w:w="1542" w:type="dxa"/>
            <w:shd w:val="clear" w:color="auto" w:fill="auto"/>
          </w:tcPr>
          <w:p w:rsidR="00C418F1" w:rsidRPr="007E5D20" w:rsidRDefault="00C418F1" w:rsidP="00C418F1">
            <w:pPr>
              <w:pStyle w:val="TableNumbersRight"/>
              <w:spacing w:before="100" w:beforeAutospacing="1" w:after="100" w:afterAutospacing="1"/>
              <w:rPr>
                <w:rFonts w:eastAsia="Arial Unicode MS" w:cs="Calibri"/>
                <w:sz w:val="18"/>
                <w:szCs w:val="18"/>
              </w:rPr>
            </w:pPr>
            <w:r w:rsidRPr="007E5D20">
              <w:rPr>
                <w:rFonts w:eastAsia="Arial Unicode MS" w:cs="Calibri"/>
                <w:sz w:val="18"/>
                <w:szCs w:val="18"/>
              </w:rPr>
              <w:t>n/a</w:t>
            </w:r>
          </w:p>
        </w:tc>
      </w:tr>
      <w:tr w:rsidR="00C418F1" w:rsidRPr="007E5D20" w:rsidTr="00246C18">
        <w:tblPrEx>
          <w:tblBorders>
            <w:top w:val="none" w:sz="0" w:space="0" w:color="auto"/>
            <w:bottom w:val="none" w:sz="0" w:space="0" w:color="auto"/>
          </w:tblBorders>
        </w:tblPrEx>
        <w:tc>
          <w:tcPr>
            <w:tcW w:w="1753" w:type="dxa"/>
            <w:vMerge/>
          </w:tcPr>
          <w:p w:rsidR="00C418F1" w:rsidRPr="007E5D20" w:rsidRDefault="00C418F1" w:rsidP="007E5D20">
            <w:pPr>
              <w:pStyle w:val="TableTextLeftNoIndent"/>
              <w:spacing w:before="60" w:after="100" w:afterAutospacing="1"/>
              <w:rPr>
                <w:rFonts w:eastAsia="Arial Unicode MS" w:cs="Calibri"/>
                <w:sz w:val="18"/>
                <w:szCs w:val="18"/>
              </w:rPr>
            </w:pPr>
          </w:p>
        </w:tc>
        <w:tc>
          <w:tcPr>
            <w:tcW w:w="2721" w:type="dxa"/>
          </w:tcPr>
          <w:p w:rsidR="00C418F1" w:rsidRPr="007E5D20" w:rsidRDefault="00C418F1" w:rsidP="006B606F">
            <w:pPr>
              <w:pStyle w:val="TableTextLeftNoIndent"/>
              <w:spacing w:beforeAutospacing="1" w:afterAutospacing="1"/>
              <w:rPr>
                <w:rFonts w:eastAsia="Arial Unicode MS" w:cs="Calibri"/>
                <w:sz w:val="18"/>
                <w:szCs w:val="18"/>
              </w:rPr>
            </w:pPr>
            <w:r w:rsidRPr="007E5D20">
              <w:rPr>
                <w:rFonts w:eastAsia="Arial Unicode MS" w:cs="Calibri"/>
                <w:sz w:val="18"/>
                <w:szCs w:val="18"/>
              </w:rPr>
              <w:t>Percentage and number of unscheduled bushfires kept below five hectares within the ACT</w:t>
            </w:r>
            <w:r w:rsidRPr="007E5D20">
              <w:rPr>
                <w:rFonts w:eastAsia="Arial Unicode MS" w:cs="Calibri"/>
                <w:sz w:val="18"/>
                <w:szCs w:val="18"/>
                <w:vertAlign w:val="superscript"/>
              </w:rPr>
              <w:t>10</w:t>
            </w:r>
          </w:p>
        </w:tc>
        <w:tc>
          <w:tcPr>
            <w:tcW w:w="1542" w:type="dxa"/>
          </w:tcPr>
          <w:p w:rsidR="00C418F1" w:rsidRPr="007E5D20" w:rsidRDefault="00C418F1" w:rsidP="00C418F1">
            <w:pPr>
              <w:pStyle w:val="TableNumbersRight"/>
              <w:spacing w:before="100" w:beforeAutospacing="1" w:after="100" w:afterAutospacing="1"/>
              <w:rPr>
                <w:rFonts w:eastAsia="Arial Unicode MS" w:cs="Calibri"/>
                <w:sz w:val="18"/>
                <w:szCs w:val="18"/>
              </w:rPr>
            </w:pPr>
            <w:r w:rsidRPr="007E5D20">
              <w:rPr>
                <w:rFonts w:eastAsia="Arial Unicode MS" w:cs="Calibri"/>
                <w:sz w:val="18"/>
                <w:szCs w:val="18"/>
              </w:rPr>
              <w:t>n/a</w:t>
            </w:r>
          </w:p>
        </w:tc>
        <w:tc>
          <w:tcPr>
            <w:tcW w:w="1542" w:type="dxa"/>
            <w:shd w:val="clear" w:color="auto" w:fill="auto"/>
          </w:tcPr>
          <w:p w:rsidR="00C418F1" w:rsidRPr="007E5D20" w:rsidRDefault="00C418F1" w:rsidP="00C418F1">
            <w:pPr>
              <w:pStyle w:val="TableNumbersRight"/>
              <w:spacing w:before="100" w:beforeAutospacing="1" w:after="100" w:afterAutospacing="1"/>
              <w:rPr>
                <w:rFonts w:eastAsia="Arial Unicode MS" w:cs="Calibri"/>
                <w:sz w:val="18"/>
                <w:szCs w:val="18"/>
              </w:rPr>
            </w:pPr>
            <w:r w:rsidRPr="007E5D20">
              <w:rPr>
                <w:rFonts w:eastAsia="Arial Unicode MS" w:cs="Calibri"/>
                <w:sz w:val="18"/>
                <w:szCs w:val="18"/>
              </w:rPr>
              <w:t>n/a</w:t>
            </w:r>
          </w:p>
        </w:tc>
        <w:tc>
          <w:tcPr>
            <w:tcW w:w="1542" w:type="dxa"/>
            <w:shd w:val="clear" w:color="auto" w:fill="auto"/>
          </w:tcPr>
          <w:p w:rsidR="00C418F1" w:rsidRPr="007E5D20" w:rsidRDefault="00C418F1" w:rsidP="00C418F1">
            <w:pPr>
              <w:pStyle w:val="TableNumbersRight"/>
              <w:spacing w:before="100" w:beforeAutospacing="1" w:after="100" w:afterAutospacing="1"/>
              <w:rPr>
                <w:rFonts w:eastAsia="Arial Unicode MS" w:cs="Calibri"/>
                <w:sz w:val="18"/>
                <w:szCs w:val="18"/>
              </w:rPr>
            </w:pPr>
            <w:r w:rsidRPr="007E5D20">
              <w:rPr>
                <w:rFonts w:eastAsia="Arial Unicode MS" w:cs="Calibri"/>
                <w:sz w:val="18"/>
                <w:szCs w:val="18"/>
              </w:rPr>
              <w:t>100%</w:t>
            </w:r>
          </w:p>
        </w:tc>
      </w:tr>
      <w:tr w:rsidR="00C418F1" w:rsidRPr="00FB46C0" w:rsidTr="00246C18">
        <w:tblPrEx>
          <w:tblBorders>
            <w:top w:val="none" w:sz="0" w:space="0" w:color="auto"/>
            <w:bottom w:val="none" w:sz="0" w:space="0" w:color="auto"/>
          </w:tblBorders>
        </w:tblPrEx>
        <w:trPr>
          <w:trHeight w:hRule="exact" w:val="57"/>
        </w:trPr>
        <w:tc>
          <w:tcPr>
            <w:tcW w:w="1753" w:type="dxa"/>
            <w:tcBorders>
              <w:bottom w:val="single" w:sz="4" w:space="0" w:color="auto"/>
            </w:tcBorders>
          </w:tcPr>
          <w:p w:rsidR="00C418F1" w:rsidRPr="007716CB" w:rsidRDefault="00C418F1" w:rsidP="00523D95">
            <w:pPr>
              <w:pStyle w:val="TableTextLeftNoIndent"/>
              <w:spacing w:beforeAutospacing="1" w:afterAutospacing="1"/>
              <w:rPr>
                <w:rFonts w:eastAsia="Arial Unicode MS" w:cs="Calibri"/>
                <w:sz w:val="19"/>
                <w:szCs w:val="19"/>
              </w:rPr>
            </w:pPr>
          </w:p>
        </w:tc>
        <w:tc>
          <w:tcPr>
            <w:tcW w:w="2721" w:type="dxa"/>
            <w:tcBorders>
              <w:bottom w:val="single" w:sz="4" w:space="0" w:color="auto"/>
            </w:tcBorders>
          </w:tcPr>
          <w:p w:rsidR="00C418F1" w:rsidRPr="007716CB" w:rsidRDefault="00C418F1" w:rsidP="00523D95">
            <w:pPr>
              <w:pStyle w:val="TableTextLeftNoIndent"/>
              <w:spacing w:beforeAutospacing="1" w:afterAutospacing="1"/>
              <w:rPr>
                <w:rFonts w:eastAsia="Arial Unicode MS" w:cs="Calibri"/>
                <w:sz w:val="19"/>
                <w:szCs w:val="19"/>
              </w:rPr>
            </w:pPr>
          </w:p>
        </w:tc>
        <w:tc>
          <w:tcPr>
            <w:tcW w:w="1542" w:type="dxa"/>
            <w:tcBorders>
              <w:bottom w:val="single" w:sz="4" w:space="0" w:color="auto"/>
            </w:tcBorders>
          </w:tcPr>
          <w:p w:rsidR="00C418F1" w:rsidRPr="007716CB" w:rsidRDefault="00C418F1" w:rsidP="00523D95">
            <w:pPr>
              <w:pStyle w:val="TableNumbersRight"/>
              <w:spacing w:before="100" w:beforeAutospacing="1" w:after="100" w:afterAutospacing="1"/>
              <w:jc w:val="left"/>
              <w:rPr>
                <w:rFonts w:eastAsia="Arial Unicode MS" w:cs="Calibri"/>
                <w:sz w:val="19"/>
                <w:szCs w:val="19"/>
              </w:rPr>
            </w:pPr>
          </w:p>
        </w:tc>
        <w:tc>
          <w:tcPr>
            <w:tcW w:w="1542" w:type="dxa"/>
            <w:tcBorders>
              <w:bottom w:val="single" w:sz="4" w:space="0" w:color="auto"/>
            </w:tcBorders>
            <w:shd w:val="clear" w:color="auto" w:fill="auto"/>
          </w:tcPr>
          <w:p w:rsidR="00C418F1" w:rsidRPr="007716CB" w:rsidRDefault="00C418F1" w:rsidP="00523D95">
            <w:pPr>
              <w:pStyle w:val="TableNumbersRight"/>
              <w:spacing w:before="100" w:beforeAutospacing="1" w:after="100" w:afterAutospacing="1"/>
              <w:jc w:val="left"/>
              <w:rPr>
                <w:rFonts w:eastAsia="Arial Unicode MS" w:cs="Calibri"/>
                <w:sz w:val="19"/>
                <w:szCs w:val="19"/>
              </w:rPr>
            </w:pPr>
          </w:p>
        </w:tc>
        <w:tc>
          <w:tcPr>
            <w:tcW w:w="1542" w:type="dxa"/>
            <w:tcBorders>
              <w:bottom w:val="single" w:sz="4" w:space="0" w:color="auto"/>
            </w:tcBorders>
            <w:shd w:val="clear" w:color="auto" w:fill="auto"/>
          </w:tcPr>
          <w:p w:rsidR="00C418F1" w:rsidRPr="007716CB" w:rsidRDefault="00C418F1" w:rsidP="00523D95">
            <w:pPr>
              <w:pStyle w:val="TableNumbersRight"/>
              <w:spacing w:before="100" w:beforeAutospacing="1" w:after="100" w:afterAutospacing="1"/>
              <w:jc w:val="left"/>
              <w:rPr>
                <w:rFonts w:eastAsia="Arial Unicode MS" w:cs="Calibri"/>
                <w:sz w:val="19"/>
                <w:szCs w:val="19"/>
              </w:rPr>
            </w:pPr>
          </w:p>
        </w:tc>
      </w:tr>
    </w:tbl>
    <w:p w:rsidR="008601F3" w:rsidRPr="0037410A" w:rsidRDefault="008601F3" w:rsidP="008601F3">
      <w:pPr>
        <w:pStyle w:val="NoteHeading0"/>
      </w:pPr>
      <w:r>
        <w:t>Notes</w:t>
      </w:r>
      <w:r w:rsidRPr="00C50C28">
        <w:t>:</w:t>
      </w:r>
    </w:p>
    <w:p w:rsidR="008601F3" w:rsidRDefault="008601F3" w:rsidP="00A2331E">
      <w:pPr>
        <w:pStyle w:val="AINotes"/>
        <w:numPr>
          <w:ilvl w:val="0"/>
          <w:numId w:val="50"/>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EB5B8A">
        <w:t xml:space="preserve">Resilience includes awareness, preparedness, response, recovery and all hazard/all agency approach. </w:t>
      </w:r>
    </w:p>
    <w:p w:rsidR="008601F3" w:rsidRDefault="008601F3" w:rsidP="008601F3">
      <w:pPr>
        <w:pStyle w:val="AINotes"/>
        <w:numPr>
          <w:ilvl w:val="0"/>
          <w:numId w:val="28"/>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Discontinued measure.</w:t>
      </w:r>
    </w:p>
    <w:p w:rsidR="009277B9" w:rsidRPr="00EB5B8A" w:rsidRDefault="009277B9" w:rsidP="008601F3">
      <w:pPr>
        <w:pStyle w:val="AINotes"/>
        <w:numPr>
          <w:ilvl w:val="0"/>
          <w:numId w:val="28"/>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The actual number result for this indicator will be reported in the Annual Report.</w:t>
      </w:r>
    </w:p>
    <w:p w:rsidR="008601F3" w:rsidRDefault="008601F3" w:rsidP="008601F3">
      <w:pPr>
        <w:pStyle w:val="AINotes"/>
        <w:numPr>
          <w:ilvl w:val="0"/>
          <w:numId w:val="28"/>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New measure based on a new resilience framework for emergency management in Australia.</w:t>
      </w:r>
    </w:p>
    <w:p w:rsidR="008601F3" w:rsidRDefault="006F3F04" w:rsidP="008601F3">
      <w:pPr>
        <w:pStyle w:val="AINotes"/>
        <w:numPr>
          <w:ilvl w:val="0"/>
          <w:numId w:val="28"/>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New measure based on the p</w:t>
      </w:r>
      <w:r w:rsidR="008601F3">
        <w:t>ercentage of alerts issued for major incidents that required a front line response.</w:t>
      </w:r>
    </w:p>
    <w:p w:rsidR="008601F3" w:rsidRPr="00EB5B8A" w:rsidRDefault="008601F3" w:rsidP="008601F3">
      <w:pPr>
        <w:pStyle w:val="AINotes"/>
        <w:numPr>
          <w:ilvl w:val="0"/>
          <w:numId w:val="28"/>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EB5B8A">
        <w:t>This data is sourced from the Report o</w:t>
      </w:r>
      <w:r w:rsidR="009277B9">
        <w:t xml:space="preserve">n Government Services (ROGS).  </w:t>
      </w:r>
      <w:r w:rsidRPr="00EB5B8A">
        <w:t xml:space="preserve">Note that information is based on </w:t>
      </w:r>
      <w:r>
        <w:t>movement in 3 year rolling</w:t>
      </w:r>
      <w:r w:rsidRPr="00EB5B8A">
        <w:t xml:space="preserve"> averages and is adjusted by the Australian Bureau of Statistics due to privacy concerns</w:t>
      </w:r>
      <w:r>
        <w:t>.</w:t>
      </w:r>
      <w:r w:rsidRPr="00EB5B8A">
        <w:t xml:space="preserve"> </w:t>
      </w:r>
    </w:p>
    <w:p w:rsidR="008601F3" w:rsidRDefault="008601F3" w:rsidP="008601F3">
      <w:pPr>
        <w:pStyle w:val="AINotes"/>
        <w:numPr>
          <w:ilvl w:val="0"/>
          <w:numId w:val="28"/>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EB5B8A">
        <w:t xml:space="preserve">Given the relatively small population there is </w:t>
      </w:r>
      <w:proofErr w:type="gramStart"/>
      <w:r>
        <w:t xml:space="preserve">a </w:t>
      </w:r>
      <w:r w:rsidRPr="00EB5B8A">
        <w:t>likelihood</w:t>
      </w:r>
      <w:proofErr w:type="gramEnd"/>
      <w:r w:rsidRPr="00EB5B8A">
        <w:t xml:space="preserve"> that a small number of incidents may adversely affect the target</w:t>
      </w:r>
      <w:r>
        <w:t>.</w:t>
      </w:r>
    </w:p>
    <w:p w:rsidR="008601F3" w:rsidRPr="00EB5B8A" w:rsidRDefault="008601F3" w:rsidP="008601F3">
      <w:pPr>
        <w:pStyle w:val="AINotes"/>
        <w:numPr>
          <w:ilvl w:val="0"/>
          <w:numId w:val="28"/>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EB5B8A">
        <w:t>Th</w:t>
      </w:r>
      <w:r>
        <w:t>e</w:t>
      </w:r>
      <w:r w:rsidRPr="00EB5B8A">
        <w:t xml:space="preserve"> data is sourced from </w:t>
      </w:r>
      <w:r>
        <w:t xml:space="preserve">the </w:t>
      </w:r>
      <w:r w:rsidRPr="00EB5B8A">
        <w:t>Report on Government Services (ROGS)</w:t>
      </w:r>
      <w:r>
        <w:t xml:space="preserve">.  </w:t>
      </w:r>
    </w:p>
    <w:p w:rsidR="007E502C" w:rsidRDefault="008601F3" w:rsidP="0084729C">
      <w:pPr>
        <w:pStyle w:val="AINotes"/>
        <w:numPr>
          <w:ilvl w:val="0"/>
          <w:numId w:val="28"/>
        </w:numPr>
      </w:pPr>
      <w:r>
        <w:t>Structure fires confined to room of origin is affected by factors such as the time before the fire was discovered and reported, the response time of the attending crews, the materials and type of structure involved and the actions of the fire fighting crews.</w:t>
      </w:r>
    </w:p>
    <w:p w:rsidR="007E502C" w:rsidRDefault="007E502C" w:rsidP="008601F3">
      <w:pPr>
        <w:pStyle w:val="AINotes"/>
        <w:numPr>
          <w:ilvl w:val="0"/>
          <w:numId w:val="28"/>
        </w:numPr>
      </w:pPr>
      <w:r>
        <w:t>New measure.</w:t>
      </w:r>
    </w:p>
    <w:p w:rsidR="008601F3" w:rsidRPr="00FB46C0" w:rsidRDefault="008601F3" w:rsidP="008601F3">
      <w:pPr>
        <w:pStyle w:val="SIHeading1"/>
      </w:pPr>
      <w:r w:rsidRPr="00FB46C0">
        <w:t>Strategic Objective 4</w:t>
      </w:r>
    </w:p>
    <w:p w:rsidR="008601F3" w:rsidRPr="00FB46C0" w:rsidRDefault="008601F3" w:rsidP="008601F3">
      <w:pPr>
        <w:pStyle w:val="SIHeading2"/>
      </w:pPr>
      <w:r w:rsidRPr="00FB46C0">
        <w:t>Effective Regulation and Enforcement</w:t>
      </w:r>
    </w:p>
    <w:p w:rsidR="008601F3" w:rsidRDefault="008601F3" w:rsidP="008601F3">
      <w:pPr>
        <w:pStyle w:val="BodyText"/>
        <w:keepNext w:val="0"/>
        <w:keepLines w:val="0"/>
      </w:pPr>
      <w:r>
        <w:t xml:space="preserve">The model for regulation in the ACT aims to provide the community with a single coordinated point of regulation and enforcement delivered through the range of licensing, registration, education and compliance activities undertaken by the Office of Regulatory Services (ORS).  The measures below aim to provide an indication of the activity occurring to enforce legislation covering regulatory functions of government and the effectiveness of this activity. </w:t>
      </w:r>
    </w:p>
    <w:p w:rsidR="008601F3" w:rsidRDefault="008601F3" w:rsidP="008601F3">
      <w:pPr>
        <w:pStyle w:val="SIHeading1"/>
        <w:jc w:val="left"/>
      </w:pPr>
      <w:r>
        <w:t xml:space="preserve">Strategic Indicator 4:  </w:t>
      </w:r>
      <w:r>
        <w:rPr>
          <w:b w:val="0"/>
        </w:rPr>
        <w:t>E</w:t>
      </w:r>
      <w:r w:rsidRPr="00FB46C0">
        <w:rPr>
          <w:b w:val="0"/>
        </w:rPr>
        <w:t xml:space="preserve">ffectiveness </w:t>
      </w:r>
      <w:r>
        <w:rPr>
          <w:b w:val="0"/>
        </w:rPr>
        <w:t>and Responsive Regulatory Compliance</w:t>
      </w:r>
    </w:p>
    <w:tbl>
      <w:tblPr>
        <w:tblW w:w="9100" w:type="dxa"/>
        <w:tblBorders>
          <w:top w:val="single" w:sz="4" w:space="0" w:color="auto"/>
          <w:bottom w:val="single" w:sz="4" w:space="0" w:color="auto"/>
        </w:tblBorders>
        <w:tblLayout w:type="fixed"/>
        <w:tblLook w:val="01E0"/>
      </w:tblPr>
      <w:tblGrid>
        <w:gridCol w:w="1753"/>
        <w:gridCol w:w="2721"/>
        <w:gridCol w:w="1542"/>
        <w:gridCol w:w="1542"/>
        <w:gridCol w:w="1542"/>
      </w:tblGrid>
      <w:tr w:rsidR="00CD1816" w:rsidRPr="00FB46C0" w:rsidTr="008B0291">
        <w:tc>
          <w:tcPr>
            <w:tcW w:w="1753" w:type="dxa"/>
            <w:tcBorders>
              <w:top w:val="single" w:sz="4" w:space="0" w:color="auto"/>
              <w:bottom w:val="single" w:sz="4" w:space="0" w:color="auto"/>
            </w:tcBorders>
          </w:tcPr>
          <w:p w:rsidR="00CD1816" w:rsidRPr="00FB46C0" w:rsidRDefault="00CD1816" w:rsidP="008B0291">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19"/>
                <w:szCs w:val="19"/>
              </w:rPr>
            </w:pPr>
            <w:r w:rsidRPr="00FB46C0">
              <w:rPr>
                <w:rFonts w:cs="Calibri"/>
                <w:sz w:val="19"/>
                <w:szCs w:val="19"/>
              </w:rPr>
              <w:t>Success</w:t>
            </w:r>
          </w:p>
        </w:tc>
        <w:tc>
          <w:tcPr>
            <w:tcW w:w="2721" w:type="dxa"/>
            <w:tcBorders>
              <w:top w:val="single" w:sz="4" w:space="0" w:color="auto"/>
              <w:bottom w:val="single" w:sz="4" w:space="0" w:color="auto"/>
            </w:tcBorders>
          </w:tcPr>
          <w:p w:rsidR="00CD1816" w:rsidRPr="00FB46C0" w:rsidRDefault="00CD1816" w:rsidP="008B0291">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19"/>
                <w:szCs w:val="19"/>
              </w:rPr>
            </w:pPr>
            <w:r w:rsidRPr="00FB46C0">
              <w:rPr>
                <w:rFonts w:cs="Calibri"/>
                <w:sz w:val="19"/>
                <w:szCs w:val="19"/>
              </w:rPr>
              <w:t xml:space="preserve">Strategic Indicator </w:t>
            </w:r>
          </w:p>
        </w:tc>
        <w:tc>
          <w:tcPr>
            <w:tcW w:w="1542" w:type="dxa"/>
            <w:tcBorders>
              <w:top w:val="single" w:sz="4" w:space="0" w:color="auto"/>
              <w:bottom w:val="single" w:sz="4" w:space="0" w:color="auto"/>
            </w:tcBorders>
          </w:tcPr>
          <w:p w:rsidR="00CD1816" w:rsidRPr="00FB46C0" w:rsidRDefault="00CD1816" w:rsidP="008B0291">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Pr>
                <w:rFonts w:cs="Calibri"/>
                <w:sz w:val="19"/>
                <w:szCs w:val="19"/>
              </w:rPr>
              <w:t>2012-13</w:t>
            </w:r>
          </w:p>
          <w:p w:rsidR="00CD1816" w:rsidRPr="00FB46C0" w:rsidRDefault="00CD1816" w:rsidP="008B0291">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sidRPr="00FB46C0">
              <w:rPr>
                <w:rFonts w:cs="Calibri"/>
                <w:sz w:val="19"/>
                <w:szCs w:val="19"/>
              </w:rPr>
              <w:t>Target</w:t>
            </w:r>
          </w:p>
        </w:tc>
        <w:tc>
          <w:tcPr>
            <w:tcW w:w="1542" w:type="dxa"/>
            <w:tcBorders>
              <w:top w:val="single" w:sz="4" w:space="0" w:color="auto"/>
              <w:bottom w:val="single" w:sz="4" w:space="0" w:color="auto"/>
            </w:tcBorders>
          </w:tcPr>
          <w:p w:rsidR="00CD1816" w:rsidRPr="00FB46C0" w:rsidRDefault="00CD1816" w:rsidP="008B0291">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Pr>
                <w:rFonts w:cs="Calibri"/>
                <w:sz w:val="19"/>
                <w:szCs w:val="19"/>
              </w:rPr>
              <w:t>2012-13</w:t>
            </w:r>
          </w:p>
          <w:p w:rsidR="00CD1816" w:rsidRPr="00FB46C0" w:rsidRDefault="00CD1816" w:rsidP="008B0291">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sidRPr="00FB46C0">
              <w:rPr>
                <w:rFonts w:cs="Calibri"/>
                <w:sz w:val="19"/>
                <w:szCs w:val="19"/>
              </w:rPr>
              <w:t>Est. Outcome</w:t>
            </w:r>
          </w:p>
        </w:tc>
        <w:tc>
          <w:tcPr>
            <w:tcW w:w="1542" w:type="dxa"/>
            <w:tcBorders>
              <w:top w:val="single" w:sz="4" w:space="0" w:color="auto"/>
              <w:bottom w:val="single" w:sz="4" w:space="0" w:color="auto"/>
            </w:tcBorders>
          </w:tcPr>
          <w:p w:rsidR="00CD1816" w:rsidRPr="00FB46C0" w:rsidRDefault="00CD1816" w:rsidP="008B0291">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Pr>
                <w:rFonts w:cs="Calibri"/>
                <w:sz w:val="19"/>
                <w:szCs w:val="19"/>
              </w:rPr>
              <w:t>2013-14</w:t>
            </w:r>
          </w:p>
          <w:p w:rsidR="00CD1816" w:rsidRPr="00FB46C0" w:rsidRDefault="00CD1816" w:rsidP="008B0291">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sidRPr="00FB46C0">
              <w:rPr>
                <w:rFonts w:cs="Calibri"/>
                <w:sz w:val="19"/>
                <w:szCs w:val="19"/>
              </w:rPr>
              <w:t>Target</w:t>
            </w:r>
          </w:p>
        </w:tc>
      </w:tr>
      <w:tr w:rsidR="008601F3" w:rsidRPr="00FB46C0" w:rsidTr="00CD1816">
        <w:tblPrEx>
          <w:tblBorders>
            <w:top w:val="none" w:sz="0" w:space="0" w:color="auto"/>
            <w:bottom w:val="none" w:sz="0" w:space="0" w:color="auto"/>
          </w:tblBorders>
          <w:tblLook w:val="0000"/>
        </w:tblPrEx>
        <w:trPr>
          <w:cantSplit/>
        </w:trPr>
        <w:tc>
          <w:tcPr>
            <w:tcW w:w="1753" w:type="dxa"/>
            <w:tcBorders>
              <w:top w:val="nil"/>
              <w:left w:val="nil"/>
              <w:bottom w:val="nil"/>
              <w:right w:val="nil"/>
            </w:tcBorders>
            <w:shd w:val="clear" w:color="auto" w:fill="auto"/>
          </w:tcPr>
          <w:p w:rsidR="008601F3" w:rsidRPr="00FB46C0"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19"/>
                <w:szCs w:val="19"/>
              </w:rPr>
            </w:pPr>
            <w:r w:rsidRPr="00FB46C0">
              <w:rPr>
                <w:rFonts w:cs="Calibri"/>
                <w:sz w:val="19"/>
                <w:szCs w:val="19"/>
              </w:rPr>
              <w:t>Reduction in significant workplace injuries</w:t>
            </w:r>
          </w:p>
        </w:tc>
        <w:tc>
          <w:tcPr>
            <w:tcW w:w="2721" w:type="dxa"/>
            <w:tcBorders>
              <w:top w:val="nil"/>
              <w:left w:val="nil"/>
              <w:bottom w:val="nil"/>
              <w:right w:val="nil"/>
            </w:tcBorders>
          </w:tcPr>
          <w:p w:rsidR="008601F3" w:rsidRPr="00FB46C0" w:rsidRDefault="008601F3" w:rsidP="00523D95">
            <w:pPr>
              <w:pStyle w:val="TableTextLeftNoIndent"/>
              <w:rPr>
                <w:rFonts w:cs="Calibri"/>
                <w:sz w:val="19"/>
                <w:szCs w:val="19"/>
              </w:rPr>
            </w:pPr>
            <w:r w:rsidRPr="00FB46C0">
              <w:rPr>
                <w:rFonts w:cs="Calibri"/>
                <w:sz w:val="19"/>
                <w:szCs w:val="19"/>
              </w:rPr>
              <w:t>Rate per 1,000 employees of accepted worker’s compensation claims in the ACT private sector that result in absences from work of more than seven days</w:t>
            </w:r>
            <w:r w:rsidRPr="00FB46C0">
              <w:rPr>
                <w:rFonts w:cs="Calibri"/>
                <w:sz w:val="19"/>
                <w:szCs w:val="19"/>
                <w:vertAlign w:val="superscript"/>
              </w:rPr>
              <w:t>1</w:t>
            </w:r>
          </w:p>
        </w:tc>
        <w:tc>
          <w:tcPr>
            <w:tcW w:w="1542" w:type="dxa"/>
            <w:tcBorders>
              <w:top w:val="nil"/>
              <w:left w:val="nil"/>
              <w:bottom w:val="nil"/>
              <w:right w:val="nil"/>
            </w:tcBorders>
          </w:tcPr>
          <w:p w:rsidR="008601F3" w:rsidRPr="00FB46C0"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r w:rsidRPr="00FB46C0">
              <w:rPr>
                <w:rFonts w:cs="Calibri"/>
                <w:sz w:val="19"/>
                <w:szCs w:val="19"/>
              </w:rPr>
              <w:t>12 per 1,000 employees</w:t>
            </w:r>
          </w:p>
        </w:tc>
        <w:tc>
          <w:tcPr>
            <w:tcW w:w="1542" w:type="dxa"/>
            <w:tcBorders>
              <w:top w:val="nil"/>
              <w:left w:val="nil"/>
              <w:bottom w:val="nil"/>
              <w:right w:val="nil"/>
            </w:tcBorders>
            <w:shd w:val="clear" w:color="auto" w:fill="auto"/>
          </w:tcPr>
          <w:p w:rsidR="008601F3" w:rsidRPr="00903186"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r w:rsidRPr="00B53888">
              <w:rPr>
                <w:rFonts w:cs="Calibri"/>
                <w:sz w:val="19"/>
                <w:szCs w:val="19"/>
              </w:rPr>
              <w:t>12 per 1,000 employees</w:t>
            </w:r>
          </w:p>
          <w:p w:rsidR="008601F3" w:rsidRPr="00903186"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tc>
        <w:tc>
          <w:tcPr>
            <w:tcW w:w="1542" w:type="dxa"/>
            <w:tcBorders>
              <w:top w:val="nil"/>
              <w:left w:val="nil"/>
              <w:bottom w:val="nil"/>
              <w:right w:val="nil"/>
            </w:tcBorders>
            <w:shd w:val="clear" w:color="auto" w:fill="auto"/>
          </w:tcPr>
          <w:p w:rsidR="008601F3" w:rsidRPr="00903186"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r w:rsidRPr="00903186">
              <w:rPr>
                <w:rFonts w:cs="Calibri"/>
                <w:sz w:val="19"/>
                <w:szCs w:val="19"/>
              </w:rPr>
              <w:t>12 per 1,000 employees</w:t>
            </w:r>
          </w:p>
          <w:p w:rsidR="008601F3" w:rsidRPr="00903186"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tc>
      </w:tr>
      <w:tr w:rsidR="008601F3" w:rsidRPr="00FB46C0" w:rsidTr="00CD1816">
        <w:tblPrEx>
          <w:tblBorders>
            <w:top w:val="none" w:sz="0" w:space="0" w:color="auto"/>
            <w:bottom w:val="none" w:sz="0" w:space="0" w:color="auto"/>
          </w:tblBorders>
          <w:tblLook w:val="0000"/>
        </w:tblPrEx>
        <w:trPr>
          <w:cantSplit/>
          <w:trHeight w:hRule="exact" w:val="57"/>
        </w:trPr>
        <w:tc>
          <w:tcPr>
            <w:tcW w:w="1753" w:type="dxa"/>
            <w:tcBorders>
              <w:top w:val="nil"/>
              <w:left w:val="nil"/>
              <w:right w:val="nil"/>
            </w:tcBorders>
            <w:shd w:val="clear" w:color="auto" w:fill="auto"/>
          </w:tcPr>
          <w:p w:rsidR="008601F3" w:rsidRPr="00FB46C0"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cs="Calibri"/>
                <w:sz w:val="19"/>
                <w:szCs w:val="19"/>
              </w:rPr>
            </w:pPr>
          </w:p>
        </w:tc>
        <w:tc>
          <w:tcPr>
            <w:tcW w:w="2721" w:type="dxa"/>
            <w:tcBorders>
              <w:top w:val="nil"/>
              <w:left w:val="nil"/>
              <w:right w:val="nil"/>
            </w:tcBorders>
          </w:tcPr>
          <w:p w:rsidR="008601F3" w:rsidRPr="00FB46C0"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220" w:hanging="220"/>
              <w:rPr>
                <w:rFonts w:cs="Calibri"/>
                <w:sz w:val="19"/>
                <w:szCs w:val="19"/>
              </w:rPr>
            </w:pPr>
          </w:p>
        </w:tc>
        <w:tc>
          <w:tcPr>
            <w:tcW w:w="1542" w:type="dxa"/>
            <w:tcBorders>
              <w:top w:val="nil"/>
              <w:left w:val="nil"/>
              <w:right w:val="nil"/>
            </w:tcBorders>
          </w:tcPr>
          <w:p w:rsidR="008601F3" w:rsidRPr="00FB46C0"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tc>
        <w:tc>
          <w:tcPr>
            <w:tcW w:w="1542" w:type="dxa"/>
            <w:tcBorders>
              <w:top w:val="nil"/>
              <w:left w:val="nil"/>
              <w:right w:val="nil"/>
            </w:tcBorders>
            <w:shd w:val="clear" w:color="auto" w:fill="auto"/>
          </w:tcPr>
          <w:p w:rsidR="008601F3" w:rsidRPr="00903186"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tc>
        <w:tc>
          <w:tcPr>
            <w:tcW w:w="1542" w:type="dxa"/>
            <w:tcBorders>
              <w:top w:val="nil"/>
              <w:left w:val="nil"/>
              <w:right w:val="nil"/>
            </w:tcBorders>
            <w:shd w:val="clear" w:color="auto" w:fill="auto"/>
          </w:tcPr>
          <w:p w:rsidR="008601F3" w:rsidRPr="00903186"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tc>
      </w:tr>
      <w:tr w:rsidR="008601F3" w:rsidRPr="00FB46C0" w:rsidTr="00CD1816">
        <w:tblPrEx>
          <w:tblBorders>
            <w:top w:val="none" w:sz="0" w:space="0" w:color="auto"/>
            <w:bottom w:val="none" w:sz="0" w:space="0" w:color="auto"/>
          </w:tblBorders>
          <w:tblLook w:val="0000"/>
        </w:tblPrEx>
        <w:trPr>
          <w:cantSplit/>
        </w:trPr>
        <w:tc>
          <w:tcPr>
            <w:tcW w:w="1753" w:type="dxa"/>
            <w:vMerge w:val="restart"/>
            <w:tcBorders>
              <w:top w:val="nil"/>
              <w:left w:val="nil"/>
              <w:right w:val="nil"/>
            </w:tcBorders>
            <w:shd w:val="clear" w:color="auto" w:fill="auto"/>
          </w:tcPr>
          <w:p w:rsidR="008601F3" w:rsidRPr="00FB46C0"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19"/>
                <w:szCs w:val="19"/>
              </w:rPr>
            </w:pPr>
            <w:r w:rsidRPr="00FB46C0">
              <w:rPr>
                <w:rFonts w:cs="Calibri"/>
                <w:sz w:val="19"/>
                <w:szCs w:val="19"/>
              </w:rPr>
              <w:t>High level of compliance</w:t>
            </w:r>
          </w:p>
        </w:tc>
        <w:tc>
          <w:tcPr>
            <w:tcW w:w="2721" w:type="dxa"/>
            <w:tcBorders>
              <w:top w:val="nil"/>
              <w:left w:val="nil"/>
              <w:right w:val="nil"/>
            </w:tcBorders>
          </w:tcPr>
          <w:p w:rsidR="008601F3" w:rsidRPr="00FB46C0" w:rsidRDefault="008601F3" w:rsidP="00523D95">
            <w:pPr>
              <w:pStyle w:val="TableTextLeftNoIndent"/>
              <w:rPr>
                <w:rFonts w:cs="Calibri"/>
                <w:sz w:val="19"/>
                <w:szCs w:val="19"/>
              </w:rPr>
            </w:pPr>
            <w:r>
              <w:rPr>
                <w:rFonts w:cs="Calibri"/>
                <w:sz w:val="19"/>
                <w:szCs w:val="19"/>
              </w:rPr>
              <w:t>Percentage</w:t>
            </w:r>
            <w:r w:rsidRPr="00FB46C0">
              <w:rPr>
                <w:rFonts w:cs="Calibri"/>
                <w:sz w:val="19"/>
                <w:szCs w:val="19"/>
              </w:rPr>
              <w:t xml:space="preserve"> and number of individuals, businesses and workplaces that comply with relevant legislation</w:t>
            </w:r>
            <w:r w:rsidRPr="00FB46C0">
              <w:rPr>
                <w:rFonts w:cs="Calibri"/>
                <w:sz w:val="19"/>
                <w:szCs w:val="19"/>
                <w:vertAlign w:val="superscript"/>
              </w:rPr>
              <w:t>2,3</w:t>
            </w:r>
          </w:p>
        </w:tc>
        <w:tc>
          <w:tcPr>
            <w:tcW w:w="1542" w:type="dxa"/>
            <w:tcBorders>
              <w:top w:val="nil"/>
              <w:left w:val="nil"/>
              <w:right w:val="nil"/>
            </w:tcBorders>
          </w:tcPr>
          <w:p w:rsidR="008601F3" w:rsidRPr="00FB46C0"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jc w:val="right"/>
              <w:rPr>
                <w:rFonts w:cs="Calibri"/>
                <w:sz w:val="19"/>
                <w:szCs w:val="19"/>
              </w:rPr>
            </w:pPr>
            <w:r w:rsidRPr="00FB46C0">
              <w:rPr>
                <w:rFonts w:cs="Calibri"/>
                <w:sz w:val="19"/>
                <w:szCs w:val="19"/>
              </w:rPr>
              <w:t>80%</w:t>
            </w:r>
          </w:p>
        </w:tc>
        <w:tc>
          <w:tcPr>
            <w:tcW w:w="1542" w:type="dxa"/>
            <w:tcBorders>
              <w:top w:val="nil"/>
              <w:left w:val="nil"/>
              <w:right w:val="nil"/>
            </w:tcBorders>
            <w:shd w:val="clear" w:color="auto" w:fill="auto"/>
          </w:tcPr>
          <w:p w:rsidR="008601F3" w:rsidRPr="00903186"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jc w:val="right"/>
              <w:rPr>
                <w:rFonts w:cs="Calibri"/>
                <w:sz w:val="19"/>
                <w:szCs w:val="19"/>
              </w:rPr>
            </w:pPr>
            <w:r w:rsidRPr="00903186">
              <w:rPr>
                <w:rFonts w:cs="Calibri"/>
                <w:sz w:val="19"/>
                <w:szCs w:val="19"/>
              </w:rPr>
              <w:t>86%</w:t>
            </w:r>
          </w:p>
        </w:tc>
        <w:tc>
          <w:tcPr>
            <w:tcW w:w="1542" w:type="dxa"/>
            <w:tcBorders>
              <w:top w:val="nil"/>
              <w:left w:val="nil"/>
              <w:right w:val="nil"/>
            </w:tcBorders>
            <w:shd w:val="clear" w:color="auto" w:fill="auto"/>
          </w:tcPr>
          <w:p w:rsidR="008601F3" w:rsidRPr="00903186"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jc w:val="right"/>
              <w:rPr>
                <w:rFonts w:cs="Calibri"/>
                <w:sz w:val="19"/>
                <w:szCs w:val="19"/>
              </w:rPr>
            </w:pPr>
            <w:r w:rsidRPr="00903186">
              <w:rPr>
                <w:rFonts w:cs="Calibri"/>
                <w:sz w:val="19"/>
                <w:szCs w:val="19"/>
              </w:rPr>
              <w:t>80%</w:t>
            </w:r>
          </w:p>
        </w:tc>
      </w:tr>
      <w:tr w:rsidR="008601F3" w:rsidRPr="00FB46C0" w:rsidTr="00CD1816">
        <w:tblPrEx>
          <w:tblBorders>
            <w:top w:val="none" w:sz="0" w:space="0" w:color="auto"/>
            <w:bottom w:val="none" w:sz="0" w:space="0" w:color="auto"/>
          </w:tblBorders>
          <w:tblLook w:val="0000"/>
        </w:tblPrEx>
        <w:trPr>
          <w:cantSplit/>
        </w:trPr>
        <w:tc>
          <w:tcPr>
            <w:tcW w:w="1753" w:type="dxa"/>
            <w:vMerge/>
            <w:tcBorders>
              <w:left w:val="nil"/>
              <w:right w:val="nil"/>
            </w:tcBorders>
            <w:shd w:val="clear" w:color="auto" w:fill="auto"/>
          </w:tcPr>
          <w:p w:rsidR="008601F3" w:rsidRPr="00FB46C0"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19"/>
                <w:szCs w:val="19"/>
              </w:rPr>
            </w:pPr>
          </w:p>
        </w:tc>
        <w:tc>
          <w:tcPr>
            <w:tcW w:w="2721" w:type="dxa"/>
            <w:tcBorders>
              <w:top w:val="nil"/>
              <w:left w:val="nil"/>
              <w:right w:val="nil"/>
            </w:tcBorders>
          </w:tcPr>
          <w:p w:rsidR="008601F3" w:rsidRPr="00FB46C0" w:rsidRDefault="008601F3" w:rsidP="00D255B7">
            <w:pPr>
              <w:pStyle w:val="TableTextLeftNoIndent"/>
              <w:rPr>
                <w:rFonts w:cs="Calibri"/>
                <w:sz w:val="19"/>
                <w:szCs w:val="19"/>
              </w:rPr>
            </w:pPr>
            <w:r>
              <w:rPr>
                <w:rFonts w:cs="Calibri"/>
                <w:sz w:val="19"/>
                <w:szCs w:val="19"/>
              </w:rPr>
              <w:t>Percentage</w:t>
            </w:r>
            <w:r w:rsidRPr="00FB46C0">
              <w:rPr>
                <w:rFonts w:cs="Calibri"/>
                <w:sz w:val="19"/>
                <w:szCs w:val="19"/>
              </w:rPr>
              <w:t xml:space="preserve"> and number of workplaces that comply with:</w:t>
            </w:r>
          </w:p>
        </w:tc>
        <w:tc>
          <w:tcPr>
            <w:tcW w:w="1542" w:type="dxa"/>
            <w:tcBorders>
              <w:top w:val="nil"/>
              <w:left w:val="nil"/>
              <w:right w:val="nil"/>
            </w:tcBorders>
          </w:tcPr>
          <w:p w:rsidR="008601F3" w:rsidRPr="00FB46C0"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tc>
        <w:tc>
          <w:tcPr>
            <w:tcW w:w="1542" w:type="dxa"/>
            <w:tcBorders>
              <w:top w:val="nil"/>
              <w:left w:val="nil"/>
              <w:right w:val="nil"/>
            </w:tcBorders>
            <w:shd w:val="clear" w:color="auto" w:fill="auto"/>
          </w:tcPr>
          <w:p w:rsidR="008601F3" w:rsidRPr="00903186"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tc>
        <w:tc>
          <w:tcPr>
            <w:tcW w:w="1542" w:type="dxa"/>
            <w:tcBorders>
              <w:top w:val="nil"/>
              <w:left w:val="nil"/>
              <w:right w:val="nil"/>
            </w:tcBorders>
            <w:shd w:val="clear" w:color="auto" w:fill="auto"/>
          </w:tcPr>
          <w:p w:rsidR="008601F3" w:rsidRPr="00903186"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tc>
      </w:tr>
      <w:tr w:rsidR="008601F3" w:rsidRPr="00FB46C0" w:rsidTr="00CD1816">
        <w:tblPrEx>
          <w:tblBorders>
            <w:top w:val="none" w:sz="0" w:space="0" w:color="auto"/>
            <w:bottom w:val="none" w:sz="0" w:space="0" w:color="auto"/>
          </w:tblBorders>
          <w:tblLook w:val="0000"/>
        </w:tblPrEx>
        <w:trPr>
          <w:cantSplit/>
        </w:trPr>
        <w:tc>
          <w:tcPr>
            <w:tcW w:w="1753" w:type="dxa"/>
            <w:vMerge/>
            <w:tcBorders>
              <w:left w:val="nil"/>
              <w:right w:val="nil"/>
            </w:tcBorders>
            <w:shd w:val="clear" w:color="auto" w:fill="auto"/>
          </w:tcPr>
          <w:p w:rsidR="008601F3" w:rsidRPr="00FB46C0"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19"/>
                <w:szCs w:val="19"/>
              </w:rPr>
            </w:pPr>
          </w:p>
        </w:tc>
        <w:tc>
          <w:tcPr>
            <w:tcW w:w="2721" w:type="dxa"/>
            <w:tcBorders>
              <w:left w:val="nil"/>
              <w:right w:val="nil"/>
            </w:tcBorders>
          </w:tcPr>
          <w:p w:rsidR="008601F3" w:rsidRPr="00FB46C0" w:rsidRDefault="008601F3" w:rsidP="00523D95">
            <w:pPr>
              <w:pStyle w:val="BodyTextIndent3"/>
              <w:numPr>
                <w:ilvl w:val="0"/>
                <w:numId w:val="4"/>
              </w:numPr>
              <w:tabs>
                <w:tab w:val="left" w:pos="2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ind w:left="220" w:hanging="220"/>
              <w:jc w:val="left"/>
              <w:rPr>
                <w:rFonts w:cs="Calibri"/>
                <w:sz w:val="19"/>
                <w:szCs w:val="19"/>
              </w:rPr>
            </w:pPr>
            <w:r w:rsidRPr="00FB46C0">
              <w:rPr>
                <w:rFonts w:cs="Calibri"/>
                <w:sz w:val="19"/>
                <w:szCs w:val="19"/>
              </w:rPr>
              <w:t>occupational health and safety legislation</w:t>
            </w:r>
            <w:r>
              <w:rPr>
                <w:rFonts w:cs="Calibri"/>
                <w:sz w:val="19"/>
                <w:szCs w:val="19"/>
                <w:vertAlign w:val="superscript"/>
                <w:lang w:eastAsia="en-AU"/>
              </w:rPr>
              <w:t>2,4</w:t>
            </w:r>
            <w:r w:rsidR="007116C0">
              <w:rPr>
                <w:rFonts w:cs="Calibri"/>
                <w:sz w:val="19"/>
                <w:szCs w:val="19"/>
                <w:vertAlign w:val="superscript"/>
                <w:lang w:eastAsia="en-AU"/>
              </w:rPr>
              <w:t>,7</w:t>
            </w:r>
          </w:p>
        </w:tc>
        <w:tc>
          <w:tcPr>
            <w:tcW w:w="1542" w:type="dxa"/>
            <w:tcBorders>
              <w:left w:val="nil"/>
              <w:right w:val="nil"/>
            </w:tcBorders>
          </w:tcPr>
          <w:p w:rsidR="008601F3" w:rsidRPr="00FB46C0"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sidRPr="00FB46C0">
              <w:rPr>
                <w:rFonts w:cs="Calibri"/>
                <w:sz w:val="19"/>
                <w:szCs w:val="19"/>
              </w:rPr>
              <w:t xml:space="preserve"> </w:t>
            </w:r>
            <w:r>
              <w:rPr>
                <w:rFonts w:cs="Calibri"/>
                <w:sz w:val="19"/>
                <w:szCs w:val="19"/>
              </w:rPr>
              <w:t>5</w:t>
            </w:r>
            <w:r w:rsidRPr="00FB46C0">
              <w:rPr>
                <w:rFonts w:cs="Calibri"/>
                <w:sz w:val="19"/>
                <w:szCs w:val="19"/>
              </w:rPr>
              <w:t>0%</w:t>
            </w:r>
          </w:p>
        </w:tc>
        <w:tc>
          <w:tcPr>
            <w:tcW w:w="1542" w:type="dxa"/>
            <w:tcBorders>
              <w:left w:val="nil"/>
              <w:right w:val="nil"/>
            </w:tcBorders>
            <w:shd w:val="clear" w:color="auto" w:fill="auto"/>
          </w:tcPr>
          <w:p w:rsidR="008601F3" w:rsidRPr="00903186"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sidRPr="00903186">
              <w:rPr>
                <w:rFonts w:cs="Calibri"/>
                <w:sz w:val="19"/>
                <w:szCs w:val="19"/>
              </w:rPr>
              <w:t>32%</w:t>
            </w:r>
          </w:p>
        </w:tc>
        <w:tc>
          <w:tcPr>
            <w:tcW w:w="1542" w:type="dxa"/>
            <w:tcBorders>
              <w:left w:val="nil"/>
              <w:right w:val="nil"/>
            </w:tcBorders>
            <w:shd w:val="clear" w:color="auto" w:fill="auto"/>
          </w:tcPr>
          <w:p w:rsidR="008601F3" w:rsidRPr="00903186"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sidRPr="00195323">
              <w:rPr>
                <w:rFonts w:cs="Calibri"/>
                <w:sz w:val="19"/>
                <w:szCs w:val="19"/>
              </w:rPr>
              <w:t>n/a</w:t>
            </w:r>
          </w:p>
        </w:tc>
      </w:tr>
      <w:tr w:rsidR="008601F3" w:rsidRPr="00FB46C0" w:rsidTr="00CD1816">
        <w:tblPrEx>
          <w:tblBorders>
            <w:top w:val="none" w:sz="0" w:space="0" w:color="auto"/>
            <w:bottom w:val="none" w:sz="0" w:space="0" w:color="auto"/>
          </w:tblBorders>
          <w:tblLook w:val="0000"/>
        </w:tblPrEx>
        <w:trPr>
          <w:cantSplit/>
        </w:trPr>
        <w:tc>
          <w:tcPr>
            <w:tcW w:w="1753" w:type="dxa"/>
            <w:vMerge/>
            <w:tcBorders>
              <w:left w:val="nil"/>
              <w:bottom w:val="single" w:sz="4" w:space="0" w:color="auto"/>
              <w:right w:val="nil"/>
            </w:tcBorders>
            <w:shd w:val="clear" w:color="auto" w:fill="auto"/>
          </w:tcPr>
          <w:p w:rsidR="008601F3" w:rsidRPr="00FB46C0"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19"/>
                <w:szCs w:val="19"/>
              </w:rPr>
            </w:pPr>
          </w:p>
        </w:tc>
        <w:tc>
          <w:tcPr>
            <w:tcW w:w="2721" w:type="dxa"/>
            <w:tcBorders>
              <w:left w:val="nil"/>
              <w:bottom w:val="single" w:sz="4" w:space="0" w:color="auto"/>
              <w:right w:val="nil"/>
            </w:tcBorders>
          </w:tcPr>
          <w:p w:rsidR="008601F3" w:rsidRPr="00FB46C0" w:rsidRDefault="008601F3" w:rsidP="00523D95">
            <w:pPr>
              <w:pStyle w:val="BodyTextIndent3"/>
              <w:numPr>
                <w:ilvl w:val="0"/>
                <w:numId w:val="4"/>
              </w:numPr>
              <w:tabs>
                <w:tab w:val="left" w:pos="2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ind w:left="220" w:hanging="220"/>
              <w:jc w:val="left"/>
              <w:rPr>
                <w:rFonts w:cs="Calibri"/>
                <w:sz w:val="19"/>
                <w:szCs w:val="19"/>
              </w:rPr>
            </w:pPr>
            <w:r w:rsidRPr="00FB46C0">
              <w:rPr>
                <w:rFonts w:cs="Calibri"/>
                <w:sz w:val="19"/>
                <w:szCs w:val="19"/>
              </w:rPr>
              <w:t>workers’ compensation policy</w:t>
            </w:r>
            <w:r>
              <w:rPr>
                <w:rFonts w:cs="Calibri"/>
                <w:sz w:val="19"/>
                <w:szCs w:val="19"/>
                <w:vertAlign w:val="superscript"/>
                <w:lang w:eastAsia="en-AU"/>
              </w:rPr>
              <w:t>2</w:t>
            </w:r>
          </w:p>
        </w:tc>
        <w:tc>
          <w:tcPr>
            <w:tcW w:w="1542" w:type="dxa"/>
            <w:tcBorders>
              <w:left w:val="nil"/>
              <w:bottom w:val="single" w:sz="4" w:space="0" w:color="auto"/>
              <w:right w:val="nil"/>
            </w:tcBorders>
          </w:tcPr>
          <w:p w:rsidR="008601F3" w:rsidRPr="00FB46C0"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sidRPr="00FB46C0">
              <w:rPr>
                <w:rFonts w:cs="Calibri"/>
                <w:sz w:val="19"/>
                <w:szCs w:val="19"/>
              </w:rPr>
              <w:t>80%</w:t>
            </w:r>
          </w:p>
        </w:tc>
        <w:tc>
          <w:tcPr>
            <w:tcW w:w="1542" w:type="dxa"/>
            <w:tcBorders>
              <w:left w:val="nil"/>
              <w:bottom w:val="single" w:sz="4" w:space="0" w:color="auto"/>
              <w:right w:val="nil"/>
            </w:tcBorders>
            <w:shd w:val="clear" w:color="auto" w:fill="auto"/>
          </w:tcPr>
          <w:p w:rsidR="008601F3" w:rsidRPr="00903186"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sidRPr="00903186">
              <w:rPr>
                <w:rFonts w:cs="Calibri"/>
                <w:sz w:val="19"/>
                <w:szCs w:val="19"/>
              </w:rPr>
              <w:t>95%</w:t>
            </w:r>
          </w:p>
        </w:tc>
        <w:tc>
          <w:tcPr>
            <w:tcW w:w="1542" w:type="dxa"/>
            <w:tcBorders>
              <w:left w:val="nil"/>
              <w:bottom w:val="single" w:sz="4" w:space="0" w:color="auto"/>
              <w:right w:val="nil"/>
            </w:tcBorders>
            <w:shd w:val="clear" w:color="auto" w:fill="auto"/>
          </w:tcPr>
          <w:p w:rsidR="008601F3" w:rsidRPr="00903186"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sidRPr="00903186">
              <w:rPr>
                <w:rFonts w:cs="Calibri"/>
                <w:sz w:val="19"/>
                <w:szCs w:val="19"/>
              </w:rPr>
              <w:t>90%</w:t>
            </w:r>
          </w:p>
        </w:tc>
      </w:tr>
      <w:tr w:rsidR="008601F3" w:rsidRPr="00FB46C0" w:rsidTr="00CD1816">
        <w:tblPrEx>
          <w:tblBorders>
            <w:top w:val="none" w:sz="0" w:space="0" w:color="auto"/>
            <w:bottom w:val="none" w:sz="0" w:space="0" w:color="auto"/>
          </w:tblBorders>
          <w:tblLook w:val="0000"/>
        </w:tblPrEx>
        <w:trPr>
          <w:cantSplit/>
          <w:trHeight w:hRule="exact" w:val="57"/>
        </w:trPr>
        <w:tc>
          <w:tcPr>
            <w:tcW w:w="1753" w:type="dxa"/>
            <w:tcBorders>
              <w:top w:val="single" w:sz="4" w:space="0" w:color="auto"/>
              <w:left w:val="nil"/>
              <w:bottom w:val="nil"/>
              <w:right w:val="nil"/>
            </w:tcBorders>
            <w:shd w:val="clear" w:color="auto" w:fill="auto"/>
          </w:tcPr>
          <w:p w:rsidR="008601F3" w:rsidRPr="00FB46C0"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cs="Calibri"/>
                <w:sz w:val="19"/>
                <w:szCs w:val="19"/>
              </w:rPr>
            </w:pPr>
          </w:p>
        </w:tc>
        <w:tc>
          <w:tcPr>
            <w:tcW w:w="2721" w:type="dxa"/>
            <w:tcBorders>
              <w:top w:val="single" w:sz="4" w:space="0" w:color="auto"/>
              <w:left w:val="nil"/>
              <w:bottom w:val="nil"/>
              <w:right w:val="nil"/>
            </w:tcBorders>
          </w:tcPr>
          <w:p w:rsidR="008601F3" w:rsidRPr="00FB46C0"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220" w:hanging="220"/>
              <w:rPr>
                <w:rFonts w:cs="Calibri"/>
                <w:sz w:val="19"/>
                <w:szCs w:val="19"/>
              </w:rPr>
            </w:pPr>
          </w:p>
        </w:tc>
        <w:tc>
          <w:tcPr>
            <w:tcW w:w="1542" w:type="dxa"/>
            <w:tcBorders>
              <w:top w:val="single" w:sz="4" w:space="0" w:color="auto"/>
              <w:left w:val="nil"/>
              <w:bottom w:val="nil"/>
              <w:right w:val="nil"/>
            </w:tcBorders>
          </w:tcPr>
          <w:p w:rsidR="008601F3" w:rsidRPr="00FB46C0"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tc>
        <w:tc>
          <w:tcPr>
            <w:tcW w:w="1542" w:type="dxa"/>
            <w:tcBorders>
              <w:top w:val="single" w:sz="4" w:space="0" w:color="auto"/>
              <w:left w:val="nil"/>
              <w:bottom w:val="nil"/>
              <w:right w:val="nil"/>
            </w:tcBorders>
            <w:shd w:val="clear" w:color="auto" w:fill="auto"/>
          </w:tcPr>
          <w:p w:rsidR="008601F3" w:rsidRPr="00903186"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tc>
        <w:tc>
          <w:tcPr>
            <w:tcW w:w="1542" w:type="dxa"/>
            <w:tcBorders>
              <w:top w:val="single" w:sz="4" w:space="0" w:color="auto"/>
              <w:left w:val="nil"/>
              <w:bottom w:val="nil"/>
              <w:right w:val="nil"/>
            </w:tcBorders>
            <w:shd w:val="clear" w:color="auto" w:fill="auto"/>
          </w:tcPr>
          <w:p w:rsidR="008601F3" w:rsidRPr="00903186"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tc>
      </w:tr>
    </w:tbl>
    <w:p w:rsidR="00EF345A" w:rsidRDefault="00EF345A">
      <w:r>
        <w:br w:type="page"/>
      </w:r>
    </w:p>
    <w:p w:rsidR="00EF345A" w:rsidRDefault="00EF345A" w:rsidP="00EF345A">
      <w:pPr>
        <w:pStyle w:val="SIHeading1"/>
        <w:jc w:val="left"/>
      </w:pPr>
      <w:r>
        <w:lastRenderedPageBreak/>
        <w:t xml:space="preserve">Strategic Indicator 4:  </w:t>
      </w:r>
      <w:r>
        <w:rPr>
          <w:b w:val="0"/>
        </w:rPr>
        <w:t>E</w:t>
      </w:r>
      <w:r w:rsidRPr="00FB46C0">
        <w:rPr>
          <w:b w:val="0"/>
        </w:rPr>
        <w:t xml:space="preserve">ffectiveness </w:t>
      </w:r>
      <w:r>
        <w:rPr>
          <w:b w:val="0"/>
        </w:rPr>
        <w:t>and Responsive Regulatory Compliance cont.</w:t>
      </w:r>
    </w:p>
    <w:tbl>
      <w:tblPr>
        <w:tblW w:w="9100" w:type="dxa"/>
        <w:tblBorders>
          <w:top w:val="single" w:sz="4" w:space="0" w:color="auto"/>
          <w:bottom w:val="single" w:sz="4" w:space="0" w:color="auto"/>
        </w:tblBorders>
        <w:tblLayout w:type="fixed"/>
        <w:tblLook w:val="01E0"/>
      </w:tblPr>
      <w:tblGrid>
        <w:gridCol w:w="1753"/>
        <w:gridCol w:w="2721"/>
        <w:gridCol w:w="1542"/>
        <w:gridCol w:w="1542"/>
        <w:gridCol w:w="1542"/>
      </w:tblGrid>
      <w:tr w:rsidR="00D1303D" w:rsidRPr="00FB46C0" w:rsidTr="008B0291">
        <w:tc>
          <w:tcPr>
            <w:tcW w:w="1753" w:type="dxa"/>
            <w:tcBorders>
              <w:top w:val="single" w:sz="4" w:space="0" w:color="auto"/>
              <w:bottom w:val="single" w:sz="4" w:space="0" w:color="auto"/>
            </w:tcBorders>
          </w:tcPr>
          <w:p w:rsidR="00D1303D" w:rsidRPr="00FB46C0" w:rsidRDefault="00D1303D" w:rsidP="008B0291">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19"/>
                <w:szCs w:val="19"/>
              </w:rPr>
            </w:pPr>
            <w:r w:rsidRPr="00FB46C0">
              <w:rPr>
                <w:rFonts w:cs="Calibri"/>
                <w:sz w:val="19"/>
                <w:szCs w:val="19"/>
              </w:rPr>
              <w:t>Success</w:t>
            </w:r>
          </w:p>
        </w:tc>
        <w:tc>
          <w:tcPr>
            <w:tcW w:w="2721" w:type="dxa"/>
            <w:tcBorders>
              <w:top w:val="single" w:sz="4" w:space="0" w:color="auto"/>
              <w:bottom w:val="single" w:sz="4" w:space="0" w:color="auto"/>
            </w:tcBorders>
          </w:tcPr>
          <w:p w:rsidR="00D1303D" w:rsidRPr="00FB46C0" w:rsidRDefault="00D1303D" w:rsidP="008B0291">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19"/>
                <w:szCs w:val="19"/>
              </w:rPr>
            </w:pPr>
            <w:r w:rsidRPr="00FB46C0">
              <w:rPr>
                <w:rFonts w:cs="Calibri"/>
                <w:sz w:val="19"/>
                <w:szCs w:val="19"/>
              </w:rPr>
              <w:t xml:space="preserve">Strategic Indicator </w:t>
            </w:r>
          </w:p>
        </w:tc>
        <w:tc>
          <w:tcPr>
            <w:tcW w:w="1542" w:type="dxa"/>
            <w:tcBorders>
              <w:top w:val="single" w:sz="4" w:space="0" w:color="auto"/>
              <w:bottom w:val="single" w:sz="4" w:space="0" w:color="auto"/>
            </w:tcBorders>
          </w:tcPr>
          <w:p w:rsidR="00D1303D" w:rsidRPr="00FB46C0" w:rsidRDefault="00D1303D" w:rsidP="008B0291">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Pr>
                <w:rFonts w:cs="Calibri"/>
                <w:sz w:val="19"/>
                <w:szCs w:val="19"/>
              </w:rPr>
              <w:t>2012-13</w:t>
            </w:r>
          </w:p>
          <w:p w:rsidR="00D1303D" w:rsidRPr="00FB46C0" w:rsidRDefault="00D1303D" w:rsidP="008B0291">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sidRPr="00FB46C0">
              <w:rPr>
                <w:rFonts w:cs="Calibri"/>
                <w:sz w:val="19"/>
                <w:szCs w:val="19"/>
              </w:rPr>
              <w:t>Target</w:t>
            </w:r>
          </w:p>
        </w:tc>
        <w:tc>
          <w:tcPr>
            <w:tcW w:w="1542" w:type="dxa"/>
            <w:tcBorders>
              <w:top w:val="single" w:sz="4" w:space="0" w:color="auto"/>
              <w:bottom w:val="single" w:sz="4" w:space="0" w:color="auto"/>
            </w:tcBorders>
          </w:tcPr>
          <w:p w:rsidR="00D1303D" w:rsidRPr="00FB46C0" w:rsidRDefault="00D1303D" w:rsidP="008B0291">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Pr>
                <w:rFonts w:cs="Calibri"/>
                <w:sz w:val="19"/>
                <w:szCs w:val="19"/>
              </w:rPr>
              <w:t>2012-13</w:t>
            </w:r>
          </w:p>
          <w:p w:rsidR="00D1303D" w:rsidRPr="00FB46C0" w:rsidRDefault="00D1303D" w:rsidP="008B0291">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sidRPr="00FB46C0">
              <w:rPr>
                <w:rFonts w:cs="Calibri"/>
                <w:sz w:val="19"/>
                <w:szCs w:val="19"/>
              </w:rPr>
              <w:t>Est. Outcome</w:t>
            </w:r>
          </w:p>
        </w:tc>
        <w:tc>
          <w:tcPr>
            <w:tcW w:w="1542" w:type="dxa"/>
            <w:tcBorders>
              <w:top w:val="single" w:sz="4" w:space="0" w:color="auto"/>
              <w:bottom w:val="single" w:sz="4" w:space="0" w:color="auto"/>
            </w:tcBorders>
          </w:tcPr>
          <w:p w:rsidR="00D1303D" w:rsidRPr="00FB46C0" w:rsidRDefault="00D1303D" w:rsidP="008B0291">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Pr>
                <w:rFonts w:cs="Calibri"/>
                <w:sz w:val="19"/>
                <w:szCs w:val="19"/>
              </w:rPr>
              <w:t>2013-14</w:t>
            </w:r>
          </w:p>
          <w:p w:rsidR="00D1303D" w:rsidRPr="00FB46C0" w:rsidRDefault="00D1303D" w:rsidP="008B0291">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sidRPr="00FB46C0">
              <w:rPr>
                <w:rFonts w:cs="Calibri"/>
                <w:sz w:val="19"/>
                <w:szCs w:val="19"/>
              </w:rPr>
              <w:t>Target</w:t>
            </w:r>
          </w:p>
        </w:tc>
      </w:tr>
      <w:tr w:rsidR="008601F3" w:rsidRPr="00FB46C0" w:rsidTr="00D1303D">
        <w:tblPrEx>
          <w:tblBorders>
            <w:top w:val="none" w:sz="0" w:space="0" w:color="auto"/>
            <w:bottom w:val="none" w:sz="0" w:space="0" w:color="auto"/>
          </w:tblBorders>
          <w:tblLook w:val="0000"/>
        </w:tblPrEx>
        <w:trPr>
          <w:cantSplit/>
        </w:trPr>
        <w:tc>
          <w:tcPr>
            <w:tcW w:w="1753" w:type="dxa"/>
            <w:tcBorders>
              <w:top w:val="nil"/>
              <w:left w:val="nil"/>
              <w:bottom w:val="nil"/>
              <w:right w:val="nil"/>
            </w:tcBorders>
            <w:shd w:val="clear" w:color="auto" w:fill="auto"/>
          </w:tcPr>
          <w:p w:rsidR="008601F3" w:rsidRPr="00FB46C0"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19"/>
                <w:szCs w:val="19"/>
              </w:rPr>
            </w:pPr>
            <w:r w:rsidRPr="00FB46C0">
              <w:rPr>
                <w:rFonts w:cs="Calibri"/>
                <w:sz w:val="19"/>
                <w:szCs w:val="19"/>
              </w:rPr>
              <w:t>Accurate data</w:t>
            </w:r>
          </w:p>
        </w:tc>
        <w:tc>
          <w:tcPr>
            <w:tcW w:w="2721" w:type="dxa"/>
            <w:tcBorders>
              <w:top w:val="nil"/>
              <w:left w:val="nil"/>
              <w:bottom w:val="nil"/>
              <w:right w:val="nil"/>
            </w:tcBorders>
          </w:tcPr>
          <w:p w:rsidR="008601F3" w:rsidRPr="00FB46C0" w:rsidRDefault="008601F3" w:rsidP="00523D95">
            <w:pPr>
              <w:pStyle w:val="TableTextLeftNoIndent"/>
              <w:rPr>
                <w:rFonts w:cs="Calibri"/>
                <w:sz w:val="19"/>
                <w:szCs w:val="19"/>
              </w:rPr>
            </w:pPr>
            <w:r>
              <w:rPr>
                <w:rFonts w:cs="Calibri"/>
                <w:sz w:val="19"/>
                <w:szCs w:val="19"/>
              </w:rPr>
              <w:t>Percentage</w:t>
            </w:r>
            <w:r w:rsidRPr="00FB46C0">
              <w:rPr>
                <w:rFonts w:cs="Calibri"/>
                <w:sz w:val="19"/>
                <w:szCs w:val="19"/>
              </w:rPr>
              <w:t xml:space="preserve"> and number of Registrar General’s data that is accurate</w:t>
            </w:r>
            <w:r>
              <w:rPr>
                <w:rFonts w:cs="Calibri"/>
                <w:sz w:val="19"/>
                <w:szCs w:val="19"/>
                <w:vertAlign w:val="superscript"/>
              </w:rPr>
              <w:t>2,5</w:t>
            </w:r>
            <w:r w:rsidR="007116C0">
              <w:rPr>
                <w:rFonts w:cs="Calibri"/>
                <w:sz w:val="19"/>
                <w:szCs w:val="19"/>
                <w:vertAlign w:val="superscript"/>
              </w:rPr>
              <w:t>,7</w:t>
            </w:r>
          </w:p>
        </w:tc>
        <w:tc>
          <w:tcPr>
            <w:tcW w:w="1542" w:type="dxa"/>
            <w:tcBorders>
              <w:top w:val="nil"/>
              <w:left w:val="nil"/>
              <w:bottom w:val="nil"/>
              <w:right w:val="nil"/>
            </w:tcBorders>
          </w:tcPr>
          <w:p w:rsidR="008601F3" w:rsidRPr="00FB46C0"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r w:rsidRPr="00FB46C0">
              <w:rPr>
                <w:rFonts w:cs="Calibri"/>
                <w:sz w:val="19"/>
                <w:szCs w:val="19"/>
              </w:rPr>
              <w:t>95%</w:t>
            </w:r>
          </w:p>
        </w:tc>
        <w:tc>
          <w:tcPr>
            <w:tcW w:w="1542" w:type="dxa"/>
            <w:tcBorders>
              <w:top w:val="nil"/>
              <w:left w:val="nil"/>
              <w:bottom w:val="nil"/>
              <w:right w:val="nil"/>
            </w:tcBorders>
            <w:shd w:val="clear" w:color="auto" w:fill="auto"/>
          </w:tcPr>
          <w:p w:rsidR="008601F3" w:rsidRPr="00903186"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r w:rsidRPr="00903186">
              <w:rPr>
                <w:rFonts w:cs="Calibri"/>
                <w:sz w:val="19"/>
                <w:szCs w:val="19"/>
              </w:rPr>
              <w:t>99%</w:t>
            </w:r>
          </w:p>
        </w:tc>
        <w:tc>
          <w:tcPr>
            <w:tcW w:w="1542" w:type="dxa"/>
            <w:tcBorders>
              <w:top w:val="nil"/>
              <w:left w:val="nil"/>
              <w:bottom w:val="nil"/>
              <w:right w:val="nil"/>
            </w:tcBorders>
            <w:shd w:val="clear" w:color="auto" w:fill="auto"/>
          </w:tcPr>
          <w:p w:rsidR="008601F3" w:rsidRPr="00903186"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r w:rsidRPr="00903186">
              <w:rPr>
                <w:rFonts w:cs="Calibri"/>
                <w:sz w:val="19"/>
                <w:szCs w:val="19"/>
              </w:rPr>
              <w:t>n/a</w:t>
            </w:r>
          </w:p>
        </w:tc>
      </w:tr>
      <w:tr w:rsidR="008601F3" w:rsidRPr="00FB46C0" w:rsidTr="00D1303D">
        <w:tblPrEx>
          <w:tblBorders>
            <w:top w:val="none" w:sz="0" w:space="0" w:color="auto"/>
            <w:bottom w:val="none" w:sz="0" w:space="0" w:color="auto"/>
          </w:tblBorders>
          <w:tblLook w:val="0000"/>
        </w:tblPrEx>
        <w:trPr>
          <w:cantSplit/>
          <w:trHeight w:hRule="exact" w:val="57"/>
        </w:trPr>
        <w:tc>
          <w:tcPr>
            <w:tcW w:w="1753" w:type="dxa"/>
            <w:tcBorders>
              <w:top w:val="nil"/>
              <w:left w:val="nil"/>
              <w:bottom w:val="nil"/>
              <w:right w:val="nil"/>
            </w:tcBorders>
            <w:shd w:val="clear" w:color="auto" w:fill="auto"/>
          </w:tcPr>
          <w:p w:rsidR="008601F3" w:rsidRPr="00FB46C0"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cs="Calibri"/>
                <w:sz w:val="19"/>
                <w:szCs w:val="19"/>
              </w:rPr>
            </w:pPr>
          </w:p>
        </w:tc>
        <w:tc>
          <w:tcPr>
            <w:tcW w:w="2721" w:type="dxa"/>
            <w:tcBorders>
              <w:top w:val="nil"/>
              <w:left w:val="nil"/>
              <w:bottom w:val="nil"/>
              <w:right w:val="nil"/>
            </w:tcBorders>
          </w:tcPr>
          <w:p w:rsidR="008601F3" w:rsidRPr="00FB46C0"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220" w:hanging="220"/>
              <w:rPr>
                <w:rFonts w:cs="Calibri"/>
                <w:sz w:val="19"/>
                <w:szCs w:val="19"/>
              </w:rPr>
            </w:pPr>
          </w:p>
        </w:tc>
        <w:tc>
          <w:tcPr>
            <w:tcW w:w="1542" w:type="dxa"/>
            <w:tcBorders>
              <w:top w:val="nil"/>
              <w:left w:val="nil"/>
              <w:bottom w:val="nil"/>
              <w:right w:val="nil"/>
            </w:tcBorders>
          </w:tcPr>
          <w:p w:rsidR="008601F3" w:rsidRPr="00FB46C0"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tc>
        <w:tc>
          <w:tcPr>
            <w:tcW w:w="1542" w:type="dxa"/>
            <w:tcBorders>
              <w:top w:val="nil"/>
              <w:left w:val="nil"/>
              <w:bottom w:val="nil"/>
              <w:right w:val="nil"/>
            </w:tcBorders>
            <w:shd w:val="clear" w:color="auto" w:fill="auto"/>
          </w:tcPr>
          <w:p w:rsidR="008601F3" w:rsidRPr="00903186"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tc>
        <w:tc>
          <w:tcPr>
            <w:tcW w:w="1542" w:type="dxa"/>
            <w:tcBorders>
              <w:top w:val="nil"/>
              <w:left w:val="nil"/>
              <w:bottom w:val="nil"/>
              <w:right w:val="nil"/>
            </w:tcBorders>
            <w:shd w:val="clear" w:color="auto" w:fill="auto"/>
          </w:tcPr>
          <w:p w:rsidR="008601F3" w:rsidRPr="00903186"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tc>
      </w:tr>
      <w:tr w:rsidR="008601F3" w:rsidRPr="00FB46C0" w:rsidTr="00D1303D">
        <w:tblPrEx>
          <w:tblBorders>
            <w:top w:val="none" w:sz="0" w:space="0" w:color="auto"/>
            <w:bottom w:val="none" w:sz="0" w:space="0" w:color="auto"/>
          </w:tblBorders>
          <w:tblLook w:val="0000"/>
        </w:tblPrEx>
        <w:trPr>
          <w:cantSplit/>
        </w:trPr>
        <w:tc>
          <w:tcPr>
            <w:tcW w:w="1753" w:type="dxa"/>
            <w:tcBorders>
              <w:top w:val="nil"/>
              <w:left w:val="nil"/>
              <w:bottom w:val="single" w:sz="4" w:space="0" w:color="auto"/>
              <w:right w:val="nil"/>
            </w:tcBorders>
            <w:shd w:val="clear" w:color="auto" w:fill="auto"/>
          </w:tcPr>
          <w:p w:rsidR="008601F3" w:rsidRPr="00FB46C0"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19"/>
                <w:szCs w:val="19"/>
              </w:rPr>
            </w:pPr>
            <w:r w:rsidRPr="00FB46C0">
              <w:rPr>
                <w:rFonts w:cs="Calibri"/>
                <w:sz w:val="19"/>
                <w:szCs w:val="19"/>
              </w:rPr>
              <w:t>Timely response to workplace incidents</w:t>
            </w:r>
          </w:p>
        </w:tc>
        <w:tc>
          <w:tcPr>
            <w:tcW w:w="2721" w:type="dxa"/>
            <w:tcBorders>
              <w:top w:val="nil"/>
              <w:left w:val="nil"/>
              <w:bottom w:val="single" w:sz="4" w:space="0" w:color="auto"/>
              <w:right w:val="nil"/>
            </w:tcBorders>
          </w:tcPr>
          <w:p w:rsidR="008601F3" w:rsidRPr="00FB46C0" w:rsidRDefault="008601F3" w:rsidP="00523D95">
            <w:pPr>
              <w:pStyle w:val="TableTextLeftNoIndent"/>
              <w:rPr>
                <w:rFonts w:cs="Calibri"/>
                <w:sz w:val="19"/>
                <w:szCs w:val="19"/>
              </w:rPr>
            </w:pPr>
            <w:r>
              <w:rPr>
                <w:rFonts w:cs="Calibri"/>
                <w:sz w:val="19"/>
                <w:szCs w:val="19"/>
              </w:rPr>
              <w:t>Percentage</w:t>
            </w:r>
            <w:r w:rsidRPr="00FB46C0">
              <w:rPr>
                <w:rFonts w:cs="Calibri"/>
                <w:sz w:val="19"/>
                <w:szCs w:val="19"/>
              </w:rPr>
              <w:t xml:space="preserve"> and number of workplace incidents responded to within time standards</w:t>
            </w:r>
            <w:r w:rsidR="004F10FE">
              <w:rPr>
                <w:rFonts w:cs="Calibri"/>
                <w:sz w:val="19"/>
                <w:szCs w:val="19"/>
                <w:vertAlign w:val="superscript"/>
              </w:rPr>
              <w:t>6</w:t>
            </w:r>
            <w:r w:rsidR="007116C0">
              <w:rPr>
                <w:rFonts w:cs="Calibri"/>
                <w:sz w:val="19"/>
                <w:szCs w:val="19"/>
                <w:vertAlign w:val="superscript"/>
              </w:rPr>
              <w:t>,7</w:t>
            </w:r>
          </w:p>
        </w:tc>
        <w:tc>
          <w:tcPr>
            <w:tcW w:w="1542" w:type="dxa"/>
            <w:tcBorders>
              <w:top w:val="nil"/>
              <w:left w:val="nil"/>
              <w:bottom w:val="single" w:sz="4" w:space="0" w:color="auto"/>
              <w:right w:val="nil"/>
            </w:tcBorders>
          </w:tcPr>
          <w:p w:rsidR="008601F3" w:rsidRPr="00FB46C0"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r w:rsidRPr="00FB46C0">
              <w:rPr>
                <w:rFonts w:cs="Calibri"/>
                <w:sz w:val="19"/>
                <w:szCs w:val="19"/>
              </w:rPr>
              <w:t>90%</w:t>
            </w:r>
          </w:p>
        </w:tc>
        <w:tc>
          <w:tcPr>
            <w:tcW w:w="1542" w:type="dxa"/>
            <w:tcBorders>
              <w:top w:val="nil"/>
              <w:left w:val="nil"/>
              <w:bottom w:val="single" w:sz="4" w:space="0" w:color="auto"/>
              <w:right w:val="nil"/>
            </w:tcBorders>
            <w:shd w:val="clear" w:color="auto" w:fill="auto"/>
          </w:tcPr>
          <w:p w:rsidR="008601F3" w:rsidRPr="00903186"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r w:rsidRPr="004F10FE">
              <w:rPr>
                <w:rFonts w:cs="Calibri"/>
                <w:sz w:val="19"/>
                <w:szCs w:val="19"/>
              </w:rPr>
              <w:t>Data not available</w:t>
            </w:r>
          </w:p>
        </w:tc>
        <w:tc>
          <w:tcPr>
            <w:tcW w:w="1542" w:type="dxa"/>
            <w:tcBorders>
              <w:top w:val="nil"/>
              <w:left w:val="nil"/>
              <w:bottom w:val="single" w:sz="4" w:space="0" w:color="auto"/>
              <w:right w:val="nil"/>
            </w:tcBorders>
            <w:shd w:val="clear" w:color="auto" w:fill="auto"/>
          </w:tcPr>
          <w:p w:rsidR="008601F3" w:rsidRPr="00903186" w:rsidRDefault="008601F3" w:rsidP="00523D95">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r w:rsidRPr="00903186">
              <w:rPr>
                <w:rFonts w:cs="Calibri"/>
                <w:sz w:val="19"/>
                <w:szCs w:val="19"/>
              </w:rPr>
              <w:t>n/a</w:t>
            </w:r>
          </w:p>
        </w:tc>
      </w:tr>
    </w:tbl>
    <w:p w:rsidR="008601F3" w:rsidRPr="00FB46C0" w:rsidRDefault="008601F3" w:rsidP="008601F3">
      <w:pPr>
        <w:pStyle w:val="NoteHeading0"/>
      </w:pPr>
      <w:r w:rsidRPr="00FB46C0">
        <w:t>Notes:</w:t>
      </w:r>
    </w:p>
    <w:p w:rsidR="008601F3" w:rsidRPr="00903186" w:rsidRDefault="008601F3" w:rsidP="00A2331E">
      <w:pPr>
        <w:pStyle w:val="AINotes"/>
        <w:numPr>
          <w:ilvl w:val="0"/>
          <w:numId w:val="51"/>
        </w:numPr>
      </w:pPr>
      <w:r w:rsidRPr="00B53888">
        <w:t xml:space="preserve">The </w:t>
      </w:r>
      <w:r w:rsidR="00BC10D8" w:rsidRPr="00B53888">
        <w:t>2012-13</w:t>
      </w:r>
      <w:r w:rsidRPr="00B53888">
        <w:t xml:space="preserve"> </w:t>
      </w:r>
      <w:r w:rsidR="00B53888" w:rsidRPr="00B53888">
        <w:t xml:space="preserve">actual </w:t>
      </w:r>
      <w:proofErr w:type="gramStart"/>
      <w:r w:rsidRPr="00B53888">
        <w:t>outcome</w:t>
      </w:r>
      <w:proofErr w:type="gramEnd"/>
      <w:r w:rsidRPr="00B53888">
        <w:t xml:space="preserve"> is not expected to be available until 2014,</w:t>
      </w:r>
      <w:r>
        <w:t xml:space="preserve"> and the 2013-14 </w:t>
      </w:r>
      <w:r w:rsidR="00B53888">
        <w:t xml:space="preserve">actual </w:t>
      </w:r>
      <w:r>
        <w:t>outcome until 2015, as it relies on reporting of workers compensation data from the Accident Information System, and also the employee jobs denominator data from the ABS which is not available until the March following the reporting period.</w:t>
      </w:r>
    </w:p>
    <w:p w:rsidR="008601F3" w:rsidRPr="00903186" w:rsidRDefault="008601F3" w:rsidP="008601F3">
      <w:pPr>
        <w:pStyle w:val="AINotes"/>
      </w:pPr>
      <w:r w:rsidRPr="00903186">
        <w:t xml:space="preserve">The </w:t>
      </w:r>
      <w:r w:rsidR="00BC10D8">
        <w:t>2012-13</w:t>
      </w:r>
      <w:r w:rsidRPr="00903186">
        <w:t xml:space="preserve"> estimated outcome and </w:t>
      </w:r>
      <w:r w:rsidR="00BC10D8">
        <w:t>2013-14</w:t>
      </w:r>
      <w:r w:rsidRPr="00903186">
        <w:t xml:space="preserve"> targets are based on percentage results.  Actual number result for this indicator will be reported in the Annual Report.</w:t>
      </w:r>
    </w:p>
    <w:p w:rsidR="008601F3" w:rsidRPr="00903186" w:rsidRDefault="008601F3" w:rsidP="008601F3">
      <w:pPr>
        <w:pStyle w:val="AINotes"/>
      </w:pPr>
      <w:r w:rsidRPr="00903186">
        <w:t>Compliance activity and statistical information will be based upon the compliance programs as published on an annual basis.  It should be noted that the program will change on an annual basis, but the detail will be available to support the indicator.</w:t>
      </w:r>
    </w:p>
    <w:p w:rsidR="008601F3" w:rsidRPr="00903186" w:rsidRDefault="008601F3" w:rsidP="008601F3">
      <w:pPr>
        <w:pStyle w:val="AINotes"/>
      </w:pPr>
      <w:proofErr w:type="spellStart"/>
      <w:r w:rsidRPr="00903186">
        <w:t>WorkSafe</w:t>
      </w:r>
      <w:proofErr w:type="spellEnd"/>
      <w:r w:rsidRPr="00903186">
        <w:t xml:space="preserve"> has been focusing on areas of non-compliance with particular attention on the Construction sector.  As the majority of workplace visits have occurred in areas where there is an expectation that compliance is lower than it should be, the expected result is significantly lower than the target of </w:t>
      </w:r>
      <w:r>
        <w:t>50</w:t>
      </w:r>
      <w:r w:rsidR="008033C5">
        <w:t>%.</w:t>
      </w:r>
    </w:p>
    <w:p w:rsidR="008601F3" w:rsidRPr="00903186" w:rsidRDefault="008601F3" w:rsidP="008601F3">
      <w:pPr>
        <w:pStyle w:val="AINotes"/>
      </w:pPr>
      <w:r w:rsidRPr="00903186">
        <w:t>Accurate data reporting refers to land titles, births, deaths, marriages and rental bonds business.</w:t>
      </w:r>
    </w:p>
    <w:p w:rsidR="008601F3" w:rsidRDefault="008601F3" w:rsidP="008601F3">
      <w:pPr>
        <w:pStyle w:val="AINotes"/>
      </w:pPr>
      <w:r w:rsidRPr="004F10FE">
        <w:t>Data is not available due to changes associated with the move to the IBS/OHS system.</w:t>
      </w:r>
    </w:p>
    <w:p w:rsidR="007116C0" w:rsidRDefault="007116C0" w:rsidP="008601F3">
      <w:pPr>
        <w:pStyle w:val="AINotes"/>
      </w:pPr>
      <w:r>
        <w:t>Measure is to be discontinued in 2013-14.</w:t>
      </w:r>
    </w:p>
    <w:p w:rsidR="00B5639A" w:rsidRPr="004F10FE" w:rsidRDefault="00B5639A" w:rsidP="00B5639A">
      <w:pPr>
        <w:pStyle w:val="AINotes"/>
        <w:numPr>
          <w:ilvl w:val="0"/>
          <w:numId w:val="0"/>
        </w:numPr>
        <w:ind w:left="357"/>
      </w:pPr>
    </w:p>
    <w:p w:rsidR="00C67E97" w:rsidRPr="004A5FE5" w:rsidRDefault="00C67E97" w:rsidP="00246FA1">
      <w:pPr>
        <w:pStyle w:val="BodyText"/>
      </w:pPr>
      <w:bookmarkStart w:id="8" w:name="OLE_LINK16"/>
      <w:bookmarkStart w:id="9" w:name="OLE_LINK17"/>
      <w:proofErr w:type="gramStart"/>
      <w:r w:rsidRPr="00246FA1">
        <w:t>Regulation of public passenger transport, driver competency, vehicle registration and promotion of road user safety.</w:t>
      </w:r>
      <w:proofErr w:type="gramEnd"/>
    </w:p>
    <w:bookmarkEnd w:id="8"/>
    <w:bookmarkEnd w:id="9"/>
    <w:p w:rsidR="00BD2FB7" w:rsidRDefault="00002102" w:rsidP="00D20CCF">
      <w:pPr>
        <w:pStyle w:val="SIHeading1"/>
        <w:keepNext w:val="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17.8pt;width:456.6pt;height:214.6pt;z-index:251657728">
            <v:imagedata r:id="rId8" o:title=""/>
            <w10:wrap type="square"/>
          </v:shape>
          <o:OLEObject Type="Embed" ProgID="Excel.Sheet.12" ShapeID="_x0000_s1027" DrawAspect="Content" ObjectID="_1431423561" r:id="rId9"/>
        </w:pict>
      </w:r>
      <w:r w:rsidR="00BD2FB7">
        <w:t>An</w:t>
      </w:r>
      <w:r w:rsidR="00BD2FB7" w:rsidRPr="00A63B7F">
        <w:t>nual number of road fatalities per 100,000 population</w:t>
      </w:r>
      <w:r w:rsidR="00D21FF5" w:rsidRPr="00D21FF5">
        <w:rPr>
          <w:vertAlign w:val="superscript"/>
        </w:rPr>
        <w:t>1</w:t>
      </w:r>
    </w:p>
    <w:p w:rsidR="00363854" w:rsidRPr="00D21FF5" w:rsidRDefault="00E87CDE" w:rsidP="00D20CCF">
      <w:pPr>
        <w:jc w:val="both"/>
        <w:rPr>
          <w:bCs/>
          <w:i/>
          <w:color w:val="1F497D"/>
          <w:sz w:val="16"/>
          <w:szCs w:val="16"/>
        </w:rPr>
      </w:pPr>
      <w:r w:rsidRPr="00D21FF5">
        <w:rPr>
          <w:rFonts w:cs="Calibri"/>
          <w:i/>
          <w:iCs/>
          <w:sz w:val="16"/>
          <w:szCs w:val="16"/>
        </w:rPr>
        <w:t xml:space="preserve">Source: </w:t>
      </w:r>
      <w:r w:rsidR="00D21FF5" w:rsidRPr="00D21FF5">
        <w:rPr>
          <w:rFonts w:cs="Calibri"/>
          <w:i/>
          <w:iCs/>
          <w:sz w:val="16"/>
          <w:szCs w:val="16"/>
        </w:rPr>
        <w:t xml:space="preserve"> </w:t>
      </w:r>
      <w:r w:rsidRPr="00D21FF5">
        <w:rPr>
          <w:rFonts w:cs="Calibri"/>
          <w:i/>
          <w:iCs/>
          <w:sz w:val="16"/>
          <w:szCs w:val="16"/>
        </w:rPr>
        <w:t xml:space="preserve">Bureau of Infrastructure, Transport and Regional Economic, Road Deaths Australia </w:t>
      </w:r>
      <w:r w:rsidR="00363854" w:rsidRPr="00D21FF5">
        <w:rPr>
          <w:rFonts w:cs="Calibri"/>
          <w:i/>
          <w:iCs/>
          <w:sz w:val="16"/>
          <w:szCs w:val="16"/>
        </w:rPr>
        <w:t>April</w:t>
      </w:r>
      <w:r w:rsidRPr="00D21FF5">
        <w:rPr>
          <w:rFonts w:cs="Calibri"/>
          <w:i/>
          <w:iCs/>
          <w:sz w:val="16"/>
          <w:szCs w:val="16"/>
        </w:rPr>
        <w:t xml:space="preserve"> </w:t>
      </w:r>
      <w:r w:rsidR="00363854" w:rsidRPr="00D21FF5">
        <w:rPr>
          <w:rFonts w:cs="Calibri"/>
          <w:i/>
          <w:iCs/>
          <w:sz w:val="16"/>
          <w:szCs w:val="16"/>
        </w:rPr>
        <w:t>2013</w:t>
      </w:r>
    </w:p>
    <w:p w:rsidR="00D21FF5" w:rsidRPr="00FB46C0" w:rsidRDefault="00D21FF5" w:rsidP="00D20CCF">
      <w:pPr>
        <w:pStyle w:val="NoteHeading0"/>
      </w:pPr>
      <w:r w:rsidRPr="00FB46C0">
        <w:t>Note:</w:t>
      </w:r>
    </w:p>
    <w:p w:rsidR="00406B14" w:rsidRPr="00D21FF5" w:rsidRDefault="00406B14" w:rsidP="00D20CCF">
      <w:pPr>
        <w:pStyle w:val="AINotes"/>
        <w:numPr>
          <w:ilvl w:val="0"/>
          <w:numId w:val="55"/>
        </w:numPr>
      </w:pPr>
      <w:r w:rsidRPr="00D21FF5">
        <w:t>NRSS is the National Road Safety Strategy</w:t>
      </w:r>
    </w:p>
    <w:p w:rsidR="00D20CCF" w:rsidRDefault="00E87CDE" w:rsidP="00D20CCF">
      <w:pPr>
        <w:pStyle w:val="BodyText"/>
        <w:keepNext w:val="0"/>
      </w:pPr>
      <w:r w:rsidRPr="008864CA">
        <w:t xml:space="preserve">The annual number of road fatalities per 100,000 of population allows jurisdictions to compare the road safety performance of their state or territory and is used at the national level to monitor road safety performance. </w:t>
      </w:r>
    </w:p>
    <w:p w:rsidR="00D20CCF" w:rsidRDefault="00D20CCF">
      <w:r>
        <w:br w:type="page"/>
      </w:r>
    </w:p>
    <w:p w:rsidR="00C67E97" w:rsidRPr="004A5FE5" w:rsidRDefault="00C67E97" w:rsidP="00C67E97">
      <w:pPr>
        <w:pStyle w:val="SIHeading1"/>
      </w:pPr>
      <w:r w:rsidRPr="004A5FE5">
        <w:lastRenderedPageBreak/>
        <w:t>Strategic Objective 5</w:t>
      </w:r>
    </w:p>
    <w:p w:rsidR="00C67E97" w:rsidRPr="004A5FE5" w:rsidRDefault="00C67E97" w:rsidP="00C67E97">
      <w:pPr>
        <w:pStyle w:val="SIHeading2"/>
      </w:pPr>
      <w:r w:rsidRPr="004A5FE5">
        <w:t>Promotion and Protection of Rights and Interests</w:t>
      </w:r>
    </w:p>
    <w:p w:rsidR="00FC4AB9" w:rsidRDefault="00701BAD" w:rsidP="00684246">
      <w:pPr>
        <w:pStyle w:val="BodyText"/>
        <w:rPr>
          <w:color w:val="000000"/>
        </w:rPr>
      </w:pPr>
      <w:r w:rsidRPr="00684246">
        <w:rPr>
          <w:color w:val="000000"/>
        </w:rPr>
        <w:t>The ACT Human Rights Commission, the Public Advocate of the ACT, and Victim Support ACT all protect the rights of vulnerable members of the community.  All three agencies provide community engagement, information, support and/or advice in relation to the roles and functions of their agencies, including how members of the community can access and protect their rights.</w:t>
      </w:r>
      <w:r w:rsidR="00684246" w:rsidRPr="00684246">
        <w:rPr>
          <w:color w:val="000000"/>
        </w:rPr>
        <w:t xml:space="preserve">  Additionally, as required under the </w:t>
      </w:r>
      <w:r w:rsidR="00684246" w:rsidRPr="00684246">
        <w:rPr>
          <w:i/>
          <w:color w:val="000000"/>
        </w:rPr>
        <w:t>Human Rights Act 2004</w:t>
      </w:r>
      <w:r w:rsidR="00684246" w:rsidRPr="00684246">
        <w:rPr>
          <w:color w:val="000000"/>
        </w:rPr>
        <w:t xml:space="preserve">, the Directorate seeks to ensure that all legislation </w:t>
      </w:r>
      <w:r w:rsidR="00684246">
        <w:rPr>
          <w:color w:val="000000"/>
        </w:rPr>
        <w:t>is compatible with human rights.</w:t>
      </w:r>
    </w:p>
    <w:p w:rsidR="00C67E97" w:rsidRPr="00FC4AB9" w:rsidRDefault="00C67E97" w:rsidP="00FC4AB9">
      <w:pPr>
        <w:rPr>
          <w:color w:val="000000"/>
        </w:rPr>
      </w:pPr>
      <w:r w:rsidRPr="00FC4AB9">
        <w:rPr>
          <w:rFonts w:ascii="Arial" w:hAnsi="Arial"/>
          <w:b/>
          <w:kern w:val="28"/>
          <w:sz w:val="20"/>
        </w:rPr>
        <w:t>Strategic Indicator 5</w:t>
      </w:r>
      <w:r>
        <w:t>:</w:t>
      </w:r>
      <w:r w:rsidRPr="004A5FE5">
        <w:t xml:space="preserve">  </w:t>
      </w:r>
      <w:r w:rsidRPr="0079111F">
        <w:rPr>
          <w:rFonts w:ascii="Arial" w:hAnsi="Arial"/>
          <w:kern w:val="28"/>
          <w:sz w:val="20"/>
        </w:rPr>
        <w:t>Awareness and Compliance with Human Rights and Interests</w:t>
      </w:r>
    </w:p>
    <w:tbl>
      <w:tblPr>
        <w:tblW w:w="9100" w:type="dxa"/>
        <w:tblBorders>
          <w:top w:val="single" w:sz="4" w:space="0" w:color="auto"/>
          <w:bottom w:val="single" w:sz="4" w:space="0" w:color="auto"/>
        </w:tblBorders>
        <w:tblLayout w:type="fixed"/>
        <w:tblLook w:val="01E0"/>
      </w:tblPr>
      <w:tblGrid>
        <w:gridCol w:w="1753"/>
        <w:gridCol w:w="2721"/>
        <w:gridCol w:w="1542"/>
        <w:gridCol w:w="1542"/>
        <w:gridCol w:w="1542"/>
      </w:tblGrid>
      <w:tr w:rsidR="00755D32" w:rsidRPr="00FB46C0" w:rsidTr="008B0291">
        <w:tc>
          <w:tcPr>
            <w:tcW w:w="1753" w:type="dxa"/>
            <w:tcBorders>
              <w:top w:val="single" w:sz="4" w:space="0" w:color="auto"/>
              <w:bottom w:val="single" w:sz="4" w:space="0" w:color="auto"/>
            </w:tcBorders>
          </w:tcPr>
          <w:p w:rsidR="00755D32" w:rsidRPr="00FB46C0" w:rsidRDefault="00755D32" w:rsidP="008B0291">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19"/>
                <w:szCs w:val="19"/>
              </w:rPr>
            </w:pPr>
            <w:r w:rsidRPr="00FB46C0">
              <w:rPr>
                <w:rFonts w:cs="Calibri"/>
                <w:sz w:val="19"/>
                <w:szCs w:val="19"/>
              </w:rPr>
              <w:t>Success</w:t>
            </w:r>
          </w:p>
        </w:tc>
        <w:tc>
          <w:tcPr>
            <w:tcW w:w="2721" w:type="dxa"/>
            <w:tcBorders>
              <w:top w:val="single" w:sz="4" w:space="0" w:color="auto"/>
              <w:bottom w:val="single" w:sz="4" w:space="0" w:color="auto"/>
            </w:tcBorders>
          </w:tcPr>
          <w:p w:rsidR="00755D32" w:rsidRPr="00FB46C0" w:rsidRDefault="00755D32" w:rsidP="008B0291">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19"/>
                <w:szCs w:val="19"/>
              </w:rPr>
            </w:pPr>
            <w:r w:rsidRPr="00FB46C0">
              <w:rPr>
                <w:rFonts w:cs="Calibri"/>
                <w:sz w:val="19"/>
                <w:szCs w:val="19"/>
              </w:rPr>
              <w:t xml:space="preserve">Strategic Indicator </w:t>
            </w:r>
          </w:p>
        </w:tc>
        <w:tc>
          <w:tcPr>
            <w:tcW w:w="1542" w:type="dxa"/>
            <w:tcBorders>
              <w:top w:val="single" w:sz="4" w:space="0" w:color="auto"/>
              <w:bottom w:val="single" w:sz="4" w:space="0" w:color="auto"/>
            </w:tcBorders>
          </w:tcPr>
          <w:p w:rsidR="00755D32" w:rsidRPr="00FB46C0" w:rsidRDefault="00755D32" w:rsidP="008B0291">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Pr>
                <w:rFonts w:cs="Calibri"/>
                <w:sz w:val="19"/>
                <w:szCs w:val="19"/>
              </w:rPr>
              <w:t>2012-13</w:t>
            </w:r>
          </w:p>
          <w:p w:rsidR="00755D32" w:rsidRPr="00FB46C0" w:rsidRDefault="00755D32" w:rsidP="008B0291">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sidRPr="00FB46C0">
              <w:rPr>
                <w:rFonts w:cs="Calibri"/>
                <w:sz w:val="19"/>
                <w:szCs w:val="19"/>
              </w:rPr>
              <w:t>Target</w:t>
            </w:r>
          </w:p>
        </w:tc>
        <w:tc>
          <w:tcPr>
            <w:tcW w:w="1542" w:type="dxa"/>
            <w:tcBorders>
              <w:top w:val="single" w:sz="4" w:space="0" w:color="auto"/>
              <w:bottom w:val="single" w:sz="4" w:space="0" w:color="auto"/>
            </w:tcBorders>
          </w:tcPr>
          <w:p w:rsidR="00755D32" w:rsidRPr="00FB46C0" w:rsidRDefault="00755D32" w:rsidP="008B0291">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Pr>
                <w:rFonts w:cs="Calibri"/>
                <w:sz w:val="19"/>
                <w:szCs w:val="19"/>
              </w:rPr>
              <w:t>2012-13</w:t>
            </w:r>
          </w:p>
          <w:p w:rsidR="00755D32" w:rsidRPr="00FB46C0" w:rsidRDefault="00755D32" w:rsidP="008B0291">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sidRPr="00FB46C0">
              <w:rPr>
                <w:rFonts w:cs="Calibri"/>
                <w:sz w:val="19"/>
                <w:szCs w:val="19"/>
              </w:rPr>
              <w:t>Est. Outcome</w:t>
            </w:r>
          </w:p>
        </w:tc>
        <w:tc>
          <w:tcPr>
            <w:tcW w:w="1542" w:type="dxa"/>
            <w:tcBorders>
              <w:top w:val="single" w:sz="4" w:space="0" w:color="auto"/>
              <w:bottom w:val="single" w:sz="4" w:space="0" w:color="auto"/>
            </w:tcBorders>
          </w:tcPr>
          <w:p w:rsidR="00755D32" w:rsidRPr="00FB46C0" w:rsidRDefault="00755D32" w:rsidP="008B0291">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Pr>
                <w:rFonts w:cs="Calibri"/>
                <w:sz w:val="19"/>
                <w:szCs w:val="19"/>
              </w:rPr>
              <w:t>2013-14</w:t>
            </w:r>
          </w:p>
          <w:p w:rsidR="00755D32" w:rsidRPr="00FB46C0" w:rsidRDefault="00755D32" w:rsidP="008B0291">
            <w:pPr>
              <w:pStyle w:val="TableHeadingLef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9"/>
                <w:szCs w:val="19"/>
              </w:rPr>
            </w:pPr>
            <w:r w:rsidRPr="00FB46C0">
              <w:rPr>
                <w:rFonts w:cs="Calibri"/>
                <w:sz w:val="19"/>
                <w:szCs w:val="19"/>
              </w:rPr>
              <w:t>Target</w:t>
            </w:r>
          </w:p>
        </w:tc>
      </w:tr>
      <w:tr w:rsidR="00C67E97" w:rsidRPr="004A5FE5" w:rsidTr="00755D32">
        <w:tblPrEx>
          <w:tblBorders>
            <w:top w:val="none" w:sz="0" w:space="0" w:color="auto"/>
            <w:bottom w:val="none" w:sz="0" w:space="0" w:color="auto"/>
          </w:tblBorders>
          <w:tblLook w:val="0000"/>
        </w:tblPrEx>
        <w:trPr>
          <w:cantSplit/>
        </w:trPr>
        <w:tc>
          <w:tcPr>
            <w:tcW w:w="1753" w:type="dxa"/>
            <w:tcBorders>
              <w:top w:val="nil"/>
              <w:left w:val="nil"/>
              <w:bottom w:val="nil"/>
              <w:right w:val="nil"/>
            </w:tcBorders>
          </w:tcPr>
          <w:p w:rsidR="00C67E97" w:rsidRPr="004A5FE5"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cs="Calibri"/>
                <w:sz w:val="19"/>
                <w:szCs w:val="19"/>
              </w:rPr>
            </w:pPr>
            <w:r w:rsidRPr="004A5FE5">
              <w:rPr>
                <w:rFonts w:cs="Calibri"/>
                <w:sz w:val="19"/>
                <w:szCs w:val="19"/>
              </w:rPr>
              <w:t>New government laws are compatible with human rights legislation at time of introduction</w:t>
            </w:r>
          </w:p>
        </w:tc>
        <w:tc>
          <w:tcPr>
            <w:tcW w:w="2721" w:type="dxa"/>
            <w:tcBorders>
              <w:top w:val="nil"/>
              <w:left w:val="nil"/>
              <w:bottom w:val="nil"/>
              <w:right w:val="nil"/>
            </w:tcBorders>
          </w:tcPr>
          <w:p w:rsidR="00C67E97" w:rsidRPr="004A5FE5"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cs="Calibri"/>
                <w:sz w:val="19"/>
                <w:szCs w:val="19"/>
              </w:rPr>
            </w:pPr>
            <w:r>
              <w:rPr>
                <w:rFonts w:cs="Calibri"/>
                <w:sz w:val="19"/>
                <w:szCs w:val="19"/>
              </w:rPr>
              <w:t>Percentage</w:t>
            </w:r>
            <w:r w:rsidRPr="004A5FE5">
              <w:rPr>
                <w:rFonts w:cs="Calibri"/>
                <w:sz w:val="19"/>
                <w:szCs w:val="19"/>
              </w:rPr>
              <w:t xml:space="preserve"> and number of new government laws that are compatible with human rights legislation at the time of introduction</w:t>
            </w:r>
            <w:r w:rsidRPr="004A5FE5">
              <w:rPr>
                <w:rFonts w:cs="Calibri"/>
                <w:sz w:val="19"/>
                <w:szCs w:val="19"/>
                <w:vertAlign w:val="superscript"/>
              </w:rPr>
              <w:t>1</w:t>
            </w:r>
          </w:p>
        </w:tc>
        <w:tc>
          <w:tcPr>
            <w:tcW w:w="1542" w:type="dxa"/>
            <w:tcBorders>
              <w:top w:val="nil"/>
              <w:left w:val="nil"/>
              <w:bottom w:val="nil"/>
              <w:right w:val="nil"/>
            </w:tcBorders>
          </w:tcPr>
          <w:p w:rsidR="00C67E97" w:rsidRPr="004A5FE5"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r w:rsidRPr="004A5FE5">
              <w:rPr>
                <w:rFonts w:cs="Calibri"/>
                <w:sz w:val="19"/>
                <w:szCs w:val="19"/>
              </w:rPr>
              <w:t>100%</w:t>
            </w:r>
          </w:p>
          <w:p w:rsidR="00C67E97" w:rsidRPr="004A5FE5"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tc>
        <w:tc>
          <w:tcPr>
            <w:tcW w:w="1542" w:type="dxa"/>
            <w:tcBorders>
              <w:top w:val="nil"/>
              <w:left w:val="nil"/>
              <w:bottom w:val="nil"/>
              <w:right w:val="nil"/>
            </w:tcBorders>
          </w:tcPr>
          <w:p w:rsidR="00C67E97" w:rsidRPr="004A5FE5"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r w:rsidRPr="004A5FE5">
              <w:rPr>
                <w:rFonts w:cs="Calibri"/>
                <w:sz w:val="19"/>
                <w:szCs w:val="19"/>
              </w:rPr>
              <w:t>100%</w:t>
            </w:r>
          </w:p>
        </w:tc>
        <w:tc>
          <w:tcPr>
            <w:tcW w:w="1542" w:type="dxa"/>
            <w:tcBorders>
              <w:top w:val="nil"/>
              <w:left w:val="nil"/>
              <w:bottom w:val="nil"/>
              <w:right w:val="nil"/>
            </w:tcBorders>
          </w:tcPr>
          <w:p w:rsidR="00C67E97" w:rsidRPr="004A5FE5"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r w:rsidRPr="004A5FE5">
              <w:rPr>
                <w:rFonts w:cs="Calibri"/>
                <w:sz w:val="19"/>
                <w:szCs w:val="19"/>
              </w:rPr>
              <w:t>100%</w:t>
            </w:r>
          </w:p>
        </w:tc>
      </w:tr>
      <w:tr w:rsidR="00C67E97" w:rsidRPr="004A5FE5" w:rsidTr="00755D32">
        <w:tblPrEx>
          <w:tblBorders>
            <w:top w:val="none" w:sz="0" w:space="0" w:color="auto"/>
            <w:bottom w:val="none" w:sz="0" w:space="0" w:color="auto"/>
          </w:tblBorders>
          <w:tblLook w:val="0000"/>
        </w:tblPrEx>
        <w:trPr>
          <w:cantSplit/>
          <w:trHeight w:hRule="exact" w:val="63"/>
        </w:trPr>
        <w:tc>
          <w:tcPr>
            <w:tcW w:w="1753" w:type="dxa"/>
            <w:tcBorders>
              <w:top w:val="nil"/>
              <w:left w:val="nil"/>
              <w:right w:val="nil"/>
            </w:tcBorders>
          </w:tcPr>
          <w:p w:rsidR="00C67E97" w:rsidRPr="004A5FE5"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cs="Calibri"/>
                <w:sz w:val="19"/>
                <w:szCs w:val="19"/>
                <w:highlight w:val="yellow"/>
              </w:rPr>
            </w:pPr>
          </w:p>
        </w:tc>
        <w:tc>
          <w:tcPr>
            <w:tcW w:w="2721" w:type="dxa"/>
            <w:tcBorders>
              <w:top w:val="nil"/>
              <w:left w:val="nil"/>
              <w:right w:val="nil"/>
            </w:tcBorders>
          </w:tcPr>
          <w:p w:rsidR="00C67E97" w:rsidRPr="004A5FE5"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cs="Calibri"/>
                <w:sz w:val="19"/>
                <w:szCs w:val="19"/>
                <w:highlight w:val="yellow"/>
              </w:rPr>
            </w:pPr>
          </w:p>
        </w:tc>
        <w:tc>
          <w:tcPr>
            <w:tcW w:w="1542" w:type="dxa"/>
            <w:tcBorders>
              <w:top w:val="nil"/>
              <w:left w:val="nil"/>
              <w:right w:val="nil"/>
            </w:tcBorders>
          </w:tcPr>
          <w:p w:rsidR="00C67E97" w:rsidRPr="004A5FE5"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highlight w:val="yellow"/>
              </w:rPr>
            </w:pPr>
          </w:p>
        </w:tc>
        <w:tc>
          <w:tcPr>
            <w:tcW w:w="1542" w:type="dxa"/>
            <w:tcBorders>
              <w:top w:val="nil"/>
              <w:left w:val="nil"/>
              <w:right w:val="nil"/>
            </w:tcBorders>
          </w:tcPr>
          <w:p w:rsidR="00C67E97" w:rsidRPr="004A5FE5"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highlight w:val="yellow"/>
              </w:rPr>
            </w:pPr>
          </w:p>
        </w:tc>
        <w:tc>
          <w:tcPr>
            <w:tcW w:w="1542" w:type="dxa"/>
            <w:tcBorders>
              <w:top w:val="nil"/>
              <w:left w:val="nil"/>
              <w:right w:val="nil"/>
            </w:tcBorders>
          </w:tcPr>
          <w:p w:rsidR="00C67E97" w:rsidRPr="004A5FE5"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highlight w:val="yellow"/>
              </w:rPr>
            </w:pPr>
          </w:p>
        </w:tc>
      </w:tr>
      <w:tr w:rsidR="00C67E97" w:rsidRPr="004A5FE5" w:rsidTr="00755D32">
        <w:tblPrEx>
          <w:tblBorders>
            <w:top w:val="none" w:sz="0" w:space="0" w:color="auto"/>
            <w:bottom w:val="none" w:sz="0" w:space="0" w:color="auto"/>
          </w:tblBorders>
          <w:tblLook w:val="0000"/>
        </w:tblPrEx>
        <w:trPr>
          <w:cantSplit/>
          <w:trHeight w:val="528"/>
        </w:trPr>
        <w:tc>
          <w:tcPr>
            <w:tcW w:w="1753" w:type="dxa"/>
            <w:tcBorders>
              <w:top w:val="nil"/>
              <w:left w:val="nil"/>
              <w:right w:val="nil"/>
            </w:tcBorders>
          </w:tcPr>
          <w:p w:rsidR="00C67E97" w:rsidRPr="004A5FE5"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cs="Calibri"/>
                <w:sz w:val="19"/>
                <w:szCs w:val="19"/>
              </w:rPr>
            </w:pPr>
            <w:r w:rsidRPr="004A5FE5">
              <w:rPr>
                <w:rFonts w:cs="Calibri"/>
                <w:sz w:val="19"/>
                <w:szCs w:val="19"/>
              </w:rPr>
              <w:t>Increased community awareness of how to access and protect rights</w:t>
            </w:r>
          </w:p>
        </w:tc>
        <w:tc>
          <w:tcPr>
            <w:tcW w:w="2721" w:type="dxa"/>
            <w:tcBorders>
              <w:top w:val="nil"/>
              <w:left w:val="nil"/>
              <w:right w:val="nil"/>
            </w:tcBorders>
          </w:tcPr>
          <w:p w:rsidR="00C67E97"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cs="Calibri"/>
                <w:sz w:val="19"/>
                <w:szCs w:val="19"/>
              </w:rPr>
            </w:pPr>
            <w:r w:rsidRPr="004A5FE5">
              <w:rPr>
                <w:rFonts w:cs="Calibri"/>
                <w:sz w:val="19"/>
                <w:szCs w:val="19"/>
              </w:rPr>
              <w:t>Number of community members made aware of their rights in the area of responsibility for:</w:t>
            </w:r>
          </w:p>
          <w:p w:rsidR="00C67E97" w:rsidRDefault="00C67E97" w:rsidP="00CD0D78">
            <w:pPr>
              <w:pStyle w:val="TableTextLeftNoIndent"/>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cs="Calibri"/>
                <w:sz w:val="19"/>
                <w:szCs w:val="19"/>
              </w:rPr>
            </w:pPr>
            <w:r w:rsidRPr="004A5FE5">
              <w:rPr>
                <w:rFonts w:cs="Calibri"/>
                <w:sz w:val="19"/>
                <w:szCs w:val="19"/>
              </w:rPr>
              <w:t>Human Rights</w:t>
            </w:r>
            <w:r w:rsidRPr="004A5FE5">
              <w:rPr>
                <w:rFonts w:cs="Calibri"/>
                <w:sz w:val="19"/>
                <w:szCs w:val="19"/>
                <w:vertAlign w:val="superscript"/>
              </w:rPr>
              <w:t>2</w:t>
            </w:r>
          </w:p>
          <w:p w:rsidR="00C67E97" w:rsidRDefault="00C67E97" w:rsidP="00CD0D78">
            <w:pPr>
              <w:pStyle w:val="TableTextLeftNoIndent"/>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cs="Calibri"/>
                <w:sz w:val="19"/>
                <w:szCs w:val="19"/>
              </w:rPr>
            </w:pPr>
            <w:r w:rsidRPr="004A5FE5">
              <w:rPr>
                <w:rFonts w:cs="Calibri"/>
                <w:sz w:val="19"/>
                <w:szCs w:val="19"/>
              </w:rPr>
              <w:t>Guardianship, Public Advocacy and Enduring Powers of Attorney</w:t>
            </w:r>
            <w:r w:rsidR="003328DB">
              <w:rPr>
                <w:rFonts w:cs="Calibri"/>
                <w:sz w:val="19"/>
                <w:szCs w:val="19"/>
                <w:vertAlign w:val="superscript"/>
              </w:rPr>
              <w:t>2,3</w:t>
            </w:r>
          </w:p>
          <w:p w:rsidR="00C67E97" w:rsidRPr="004A5FE5" w:rsidRDefault="00C67E97" w:rsidP="00CD0D78">
            <w:pPr>
              <w:pStyle w:val="TableTextLeftNoIndent"/>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cs="Calibri"/>
                <w:sz w:val="19"/>
                <w:szCs w:val="19"/>
              </w:rPr>
            </w:pPr>
            <w:r w:rsidRPr="004A5FE5">
              <w:rPr>
                <w:rFonts w:cs="Calibri"/>
                <w:sz w:val="19"/>
                <w:szCs w:val="19"/>
              </w:rPr>
              <w:t>Victim Support</w:t>
            </w:r>
          </w:p>
        </w:tc>
        <w:tc>
          <w:tcPr>
            <w:tcW w:w="1542" w:type="dxa"/>
            <w:tcBorders>
              <w:top w:val="nil"/>
              <w:left w:val="nil"/>
              <w:right w:val="nil"/>
            </w:tcBorders>
          </w:tcPr>
          <w:p w:rsidR="00C67E97" w:rsidRPr="004A5FE5"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p w:rsidR="00C67E97"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p w:rsidR="00595160" w:rsidRDefault="00595160"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p w:rsidR="00595160" w:rsidRDefault="00595160"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p w:rsidR="00C67E97"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r>
              <w:rPr>
                <w:rFonts w:cs="Calibri"/>
                <w:sz w:val="19"/>
                <w:szCs w:val="19"/>
              </w:rPr>
              <w:t>5,000</w:t>
            </w:r>
          </w:p>
          <w:p w:rsidR="00C67E97"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r>
              <w:rPr>
                <w:rFonts w:cs="Calibri"/>
                <w:sz w:val="19"/>
                <w:szCs w:val="19"/>
              </w:rPr>
              <w:t>650</w:t>
            </w:r>
          </w:p>
          <w:p w:rsidR="00C67E97"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p w:rsidR="00595160" w:rsidRDefault="00595160"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p w:rsidR="00C67E97" w:rsidRPr="004A5FE5"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r>
              <w:rPr>
                <w:rFonts w:cs="Calibri"/>
                <w:sz w:val="19"/>
                <w:szCs w:val="19"/>
              </w:rPr>
              <w:t>570</w:t>
            </w:r>
          </w:p>
        </w:tc>
        <w:tc>
          <w:tcPr>
            <w:tcW w:w="1542" w:type="dxa"/>
            <w:tcBorders>
              <w:top w:val="nil"/>
              <w:left w:val="nil"/>
              <w:right w:val="nil"/>
            </w:tcBorders>
          </w:tcPr>
          <w:p w:rsidR="00C67E97" w:rsidRPr="004A5FE5"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p w:rsidR="00C67E97"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p w:rsidR="00595160" w:rsidRDefault="00595160"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p w:rsidR="00595160" w:rsidRDefault="00595160"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p w:rsidR="00C67E97"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r>
              <w:rPr>
                <w:rFonts w:cs="Calibri"/>
                <w:sz w:val="19"/>
                <w:szCs w:val="19"/>
              </w:rPr>
              <w:t>2,500</w:t>
            </w:r>
          </w:p>
          <w:p w:rsidR="00C67E97"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r>
              <w:rPr>
                <w:rFonts w:cs="Calibri"/>
                <w:sz w:val="19"/>
                <w:szCs w:val="19"/>
              </w:rPr>
              <w:t>741</w:t>
            </w:r>
          </w:p>
          <w:p w:rsidR="00C67E97"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p w:rsidR="00595160" w:rsidRDefault="00595160"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p w:rsidR="00C67E97" w:rsidRPr="004A5FE5"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r>
              <w:rPr>
                <w:rFonts w:cs="Calibri"/>
                <w:sz w:val="19"/>
                <w:szCs w:val="19"/>
              </w:rPr>
              <w:t>730</w:t>
            </w:r>
          </w:p>
        </w:tc>
        <w:tc>
          <w:tcPr>
            <w:tcW w:w="1542" w:type="dxa"/>
            <w:tcBorders>
              <w:top w:val="nil"/>
              <w:left w:val="nil"/>
              <w:right w:val="nil"/>
            </w:tcBorders>
          </w:tcPr>
          <w:p w:rsidR="00C67E97" w:rsidRPr="004A5FE5"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p w:rsidR="00C67E97"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p w:rsidR="00595160" w:rsidRDefault="00595160"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p w:rsidR="00595160" w:rsidRDefault="00595160"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p w:rsidR="00C67E97"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r>
              <w:rPr>
                <w:rFonts w:cs="Calibri"/>
                <w:sz w:val="19"/>
                <w:szCs w:val="19"/>
              </w:rPr>
              <w:t>n/a</w:t>
            </w:r>
          </w:p>
          <w:p w:rsidR="00C67E97"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r>
              <w:rPr>
                <w:rFonts w:cs="Calibri"/>
                <w:sz w:val="19"/>
                <w:szCs w:val="19"/>
              </w:rPr>
              <w:t>n/a</w:t>
            </w:r>
          </w:p>
          <w:p w:rsidR="00C67E97"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p w:rsidR="00595160" w:rsidRDefault="00595160"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p w:rsidR="00C67E97" w:rsidRPr="004A5FE5"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r>
              <w:rPr>
                <w:rFonts w:cs="Calibri"/>
                <w:sz w:val="19"/>
                <w:szCs w:val="19"/>
              </w:rPr>
              <w:t>650</w:t>
            </w:r>
          </w:p>
        </w:tc>
      </w:tr>
      <w:tr w:rsidR="00A1462F" w:rsidRPr="004A5FE5" w:rsidTr="00755D32">
        <w:tblPrEx>
          <w:tblBorders>
            <w:top w:val="none" w:sz="0" w:space="0" w:color="auto"/>
            <w:bottom w:val="none" w:sz="0" w:space="0" w:color="auto"/>
          </w:tblBorders>
          <w:tblLook w:val="0000"/>
        </w:tblPrEx>
        <w:trPr>
          <w:cantSplit/>
          <w:trHeight w:hRule="exact" w:val="63"/>
        </w:trPr>
        <w:tc>
          <w:tcPr>
            <w:tcW w:w="1753" w:type="dxa"/>
            <w:tcBorders>
              <w:top w:val="nil"/>
              <w:left w:val="nil"/>
              <w:right w:val="nil"/>
            </w:tcBorders>
          </w:tcPr>
          <w:p w:rsidR="00A1462F" w:rsidRPr="004A5FE5" w:rsidRDefault="00A1462F" w:rsidP="0073064A">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cs="Calibri"/>
                <w:sz w:val="19"/>
                <w:szCs w:val="19"/>
                <w:highlight w:val="yellow"/>
              </w:rPr>
            </w:pPr>
          </w:p>
        </w:tc>
        <w:tc>
          <w:tcPr>
            <w:tcW w:w="2721" w:type="dxa"/>
            <w:tcBorders>
              <w:top w:val="nil"/>
              <w:left w:val="nil"/>
              <w:right w:val="nil"/>
            </w:tcBorders>
          </w:tcPr>
          <w:p w:rsidR="00A1462F" w:rsidRPr="004A5FE5" w:rsidRDefault="00A1462F" w:rsidP="0073064A">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cs="Calibri"/>
                <w:sz w:val="19"/>
                <w:szCs w:val="19"/>
                <w:highlight w:val="yellow"/>
              </w:rPr>
            </w:pPr>
          </w:p>
        </w:tc>
        <w:tc>
          <w:tcPr>
            <w:tcW w:w="1542" w:type="dxa"/>
            <w:tcBorders>
              <w:top w:val="nil"/>
              <w:left w:val="nil"/>
              <w:right w:val="nil"/>
            </w:tcBorders>
          </w:tcPr>
          <w:p w:rsidR="00A1462F" w:rsidRPr="004A5FE5" w:rsidRDefault="00A1462F" w:rsidP="0073064A">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highlight w:val="yellow"/>
              </w:rPr>
            </w:pPr>
          </w:p>
        </w:tc>
        <w:tc>
          <w:tcPr>
            <w:tcW w:w="1542" w:type="dxa"/>
            <w:tcBorders>
              <w:top w:val="nil"/>
              <w:left w:val="nil"/>
              <w:right w:val="nil"/>
            </w:tcBorders>
          </w:tcPr>
          <w:p w:rsidR="00A1462F" w:rsidRPr="004A5FE5" w:rsidRDefault="00A1462F" w:rsidP="0073064A">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highlight w:val="yellow"/>
              </w:rPr>
            </w:pPr>
          </w:p>
        </w:tc>
        <w:tc>
          <w:tcPr>
            <w:tcW w:w="1542" w:type="dxa"/>
            <w:tcBorders>
              <w:top w:val="nil"/>
              <w:left w:val="nil"/>
              <w:right w:val="nil"/>
            </w:tcBorders>
          </w:tcPr>
          <w:p w:rsidR="00A1462F" w:rsidRPr="004A5FE5" w:rsidRDefault="00A1462F" w:rsidP="0073064A">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highlight w:val="yellow"/>
              </w:rPr>
            </w:pPr>
          </w:p>
        </w:tc>
      </w:tr>
      <w:tr w:rsidR="00C67E97" w:rsidRPr="004A5FE5" w:rsidTr="00755D32">
        <w:tblPrEx>
          <w:tblBorders>
            <w:top w:val="none" w:sz="0" w:space="0" w:color="auto"/>
            <w:bottom w:val="none" w:sz="0" w:space="0" w:color="auto"/>
          </w:tblBorders>
          <w:tblLook w:val="0000"/>
        </w:tblPrEx>
        <w:trPr>
          <w:cantSplit/>
          <w:trHeight w:val="528"/>
        </w:trPr>
        <w:tc>
          <w:tcPr>
            <w:tcW w:w="1753" w:type="dxa"/>
            <w:vMerge w:val="restart"/>
            <w:tcBorders>
              <w:top w:val="nil"/>
              <w:left w:val="nil"/>
              <w:right w:val="nil"/>
            </w:tcBorders>
          </w:tcPr>
          <w:p w:rsidR="00C67E97" w:rsidRPr="004A5FE5"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cs="Calibri"/>
                <w:sz w:val="19"/>
                <w:szCs w:val="19"/>
              </w:rPr>
            </w:pPr>
            <w:bookmarkStart w:id="10" w:name="_Hlk291144607"/>
          </w:p>
        </w:tc>
        <w:tc>
          <w:tcPr>
            <w:tcW w:w="2721" w:type="dxa"/>
            <w:tcBorders>
              <w:top w:val="nil"/>
              <w:left w:val="nil"/>
              <w:right w:val="nil"/>
            </w:tcBorders>
          </w:tcPr>
          <w:p w:rsidR="00C67E97" w:rsidRPr="004A5FE5"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cs="Calibri"/>
                <w:sz w:val="19"/>
                <w:szCs w:val="19"/>
              </w:rPr>
            </w:pPr>
            <w:r w:rsidRPr="004A5FE5">
              <w:rPr>
                <w:rFonts w:cs="Calibri"/>
                <w:sz w:val="19"/>
                <w:szCs w:val="19"/>
              </w:rPr>
              <w:t xml:space="preserve">Number of community </w:t>
            </w:r>
            <w:r>
              <w:rPr>
                <w:rFonts w:cs="Calibri"/>
                <w:sz w:val="19"/>
                <w:szCs w:val="19"/>
              </w:rPr>
              <w:t>engagement activities undertaken by:</w:t>
            </w:r>
          </w:p>
        </w:tc>
        <w:tc>
          <w:tcPr>
            <w:tcW w:w="1542" w:type="dxa"/>
            <w:tcBorders>
              <w:top w:val="nil"/>
              <w:left w:val="nil"/>
              <w:right w:val="nil"/>
            </w:tcBorders>
          </w:tcPr>
          <w:p w:rsidR="00C67E97" w:rsidRPr="004A5FE5"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p w:rsidR="00C67E97" w:rsidRPr="004A5FE5"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tc>
        <w:tc>
          <w:tcPr>
            <w:tcW w:w="1542" w:type="dxa"/>
            <w:tcBorders>
              <w:top w:val="nil"/>
              <w:left w:val="nil"/>
              <w:right w:val="nil"/>
            </w:tcBorders>
          </w:tcPr>
          <w:p w:rsidR="00C67E97" w:rsidRPr="004A5FE5"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p w:rsidR="00C67E97" w:rsidRPr="004A5FE5"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tc>
        <w:tc>
          <w:tcPr>
            <w:tcW w:w="1542" w:type="dxa"/>
            <w:tcBorders>
              <w:top w:val="nil"/>
              <w:left w:val="nil"/>
              <w:right w:val="nil"/>
            </w:tcBorders>
          </w:tcPr>
          <w:p w:rsidR="00C67E97" w:rsidRPr="004A5FE5"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p w:rsidR="00C67E97" w:rsidRPr="004A5FE5"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tc>
      </w:tr>
      <w:tr w:rsidR="00C67E97" w:rsidRPr="004A5FE5" w:rsidTr="00755D32">
        <w:tblPrEx>
          <w:tblBorders>
            <w:top w:val="none" w:sz="0" w:space="0" w:color="auto"/>
            <w:bottom w:val="none" w:sz="0" w:space="0" w:color="auto"/>
          </w:tblBorders>
          <w:tblLook w:val="0000"/>
        </w:tblPrEx>
        <w:trPr>
          <w:cantSplit/>
        </w:trPr>
        <w:tc>
          <w:tcPr>
            <w:tcW w:w="1753" w:type="dxa"/>
            <w:vMerge/>
            <w:tcBorders>
              <w:top w:val="nil"/>
              <w:left w:val="nil"/>
              <w:right w:val="nil"/>
            </w:tcBorders>
          </w:tcPr>
          <w:p w:rsidR="00C67E97" w:rsidRPr="004A5FE5"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cs="Calibri"/>
                <w:sz w:val="19"/>
                <w:szCs w:val="19"/>
              </w:rPr>
            </w:pPr>
          </w:p>
        </w:tc>
        <w:tc>
          <w:tcPr>
            <w:tcW w:w="2721" w:type="dxa"/>
            <w:tcBorders>
              <w:left w:val="nil"/>
              <w:right w:val="nil"/>
            </w:tcBorders>
          </w:tcPr>
          <w:p w:rsidR="00C67E97" w:rsidRDefault="00C67E97" w:rsidP="00CD0D78">
            <w:pPr>
              <w:pStyle w:val="TableTextLeftNoIndent"/>
              <w:numPr>
                <w:ilvl w:val="0"/>
                <w:numId w:val="8"/>
              </w:numPr>
              <w:tabs>
                <w:tab w:val="left" w:pos="284"/>
              </w:tabs>
              <w:spacing w:before="0" w:after="0"/>
              <w:ind w:left="284" w:hanging="284"/>
              <w:rPr>
                <w:rFonts w:cs="Calibri"/>
                <w:sz w:val="19"/>
                <w:szCs w:val="19"/>
              </w:rPr>
            </w:pPr>
            <w:r w:rsidRPr="004A5FE5">
              <w:rPr>
                <w:rFonts w:cs="Calibri"/>
                <w:sz w:val="19"/>
                <w:szCs w:val="19"/>
              </w:rPr>
              <w:t>Human Rights</w:t>
            </w:r>
            <w:r>
              <w:rPr>
                <w:rFonts w:cs="Calibri"/>
                <w:sz w:val="19"/>
                <w:szCs w:val="19"/>
              </w:rPr>
              <w:t xml:space="preserve"> Commission in area of human rights and service provision</w:t>
            </w:r>
            <w:r w:rsidR="003328DB">
              <w:rPr>
                <w:rFonts w:cs="Calibri"/>
                <w:sz w:val="19"/>
                <w:szCs w:val="19"/>
                <w:vertAlign w:val="superscript"/>
              </w:rPr>
              <w:t>4</w:t>
            </w:r>
            <w:r w:rsidRPr="004A5FE5">
              <w:rPr>
                <w:rFonts w:cs="Calibri"/>
                <w:sz w:val="19"/>
                <w:szCs w:val="19"/>
              </w:rPr>
              <w:t>;</w:t>
            </w:r>
            <w:r>
              <w:rPr>
                <w:rFonts w:cs="Calibri"/>
                <w:sz w:val="19"/>
                <w:szCs w:val="19"/>
              </w:rPr>
              <w:t xml:space="preserve"> and</w:t>
            </w:r>
          </w:p>
          <w:p w:rsidR="00C67E97" w:rsidRPr="004A5FE5" w:rsidRDefault="00C67E97" w:rsidP="00CD0D78">
            <w:pPr>
              <w:pStyle w:val="TableTextLeftNoIndent"/>
              <w:numPr>
                <w:ilvl w:val="0"/>
                <w:numId w:val="8"/>
              </w:numPr>
              <w:tabs>
                <w:tab w:val="left" w:pos="284"/>
              </w:tabs>
              <w:spacing w:before="0" w:after="0"/>
              <w:ind w:left="284" w:hanging="284"/>
              <w:rPr>
                <w:rFonts w:cs="Calibri"/>
                <w:sz w:val="19"/>
                <w:szCs w:val="19"/>
              </w:rPr>
            </w:pPr>
            <w:r>
              <w:rPr>
                <w:rFonts w:cs="Calibri"/>
                <w:sz w:val="19"/>
                <w:szCs w:val="19"/>
              </w:rPr>
              <w:t xml:space="preserve">Public Advocate of the ACT in the area of </w:t>
            </w:r>
            <w:r w:rsidRPr="004A5FE5">
              <w:rPr>
                <w:rFonts w:cs="Calibri"/>
                <w:sz w:val="19"/>
                <w:szCs w:val="19"/>
              </w:rPr>
              <w:t>Guardianship, Public Advocacy and Enduring Powers of Attorney</w:t>
            </w:r>
            <w:r w:rsidR="003328DB">
              <w:rPr>
                <w:rFonts w:cs="Calibri"/>
                <w:sz w:val="19"/>
                <w:szCs w:val="19"/>
                <w:vertAlign w:val="superscript"/>
              </w:rPr>
              <w:t>4</w:t>
            </w:r>
          </w:p>
        </w:tc>
        <w:tc>
          <w:tcPr>
            <w:tcW w:w="1542" w:type="dxa"/>
            <w:tcBorders>
              <w:left w:val="nil"/>
              <w:right w:val="nil"/>
            </w:tcBorders>
          </w:tcPr>
          <w:p w:rsidR="00C67E97"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r>
              <w:rPr>
                <w:rFonts w:cs="Calibri"/>
                <w:sz w:val="19"/>
                <w:szCs w:val="19"/>
              </w:rPr>
              <w:t>n/a</w:t>
            </w:r>
          </w:p>
          <w:p w:rsidR="00C67E97"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p w:rsidR="00C67E97"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p w:rsidR="00C67E97" w:rsidRPr="004A5FE5"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r>
              <w:rPr>
                <w:rFonts w:cs="Calibri"/>
                <w:sz w:val="19"/>
                <w:szCs w:val="19"/>
              </w:rPr>
              <w:t>n/a</w:t>
            </w:r>
          </w:p>
        </w:tc>
        <w:tc>
          <w:tcPr>
            <w:tcW w:w="1542" w:type="dxa"/>
            <w:tcBorders>
              <w:left w:val="nil"/>
              <w:right w:val="nil"/>
            </w:tcBorders>
          </w:tcPr>
          <w:p w:rsidR="00C67E97"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r>
              <w:rPr>
                <w:rFonts w:cs="Calibri"/>
                <w:sz w:val="19"/>
                <w:szCs w:val="19"/>
              </w:rPr>
              <w:t>n/a</w:t>
            </w:r>
          </w:p>
          <w:p w:rsidR="00C67E97"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p w:rsidR="00C67E97"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p w:rsidR="00C67E97" w:rsidRPr="004A5FE5"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r>
              <w:rPr>
                <w:rFonts w:cs="Calibri"/>
                <w:sz w:val="19"/>
                <w:szCs w:val="19"/>
              </w:rPr>
              <w:t>n/a</w:t>
            </w:r>
          </w:p>
        </w:tc>
        <w:tc>
          <w:tcPr>
            <w:tcW w:w="1542" w:type="dxa"/>
            <w:tcBorders>
              <w:left w:val="nil"/>
              <w:right w:val="nil"/>
            </w:tcBorders>
          </w:tcPr>
          <w:p w:rsidR="00C67E97"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r>
              <w:rPr>
                <w:rFonts w:cs="Calibri"/>
                <w:sz w:val="19"/>
                <w:szCs w:val="19"/>
              </w:rPr>
              <w:t>30</w:t>
            </w:r>
          </w:p>
          <w:p w:rsidR="00C67E97"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p w:rsidR="00C67E97"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p w:rsidR="00C67E97" w:rsidRPr="004A5FE5" w:rsidRDefault="00C67E97" w:rsidP="00CD0D78">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r>
              <w:rPr>
                <w:rFonts w:cs="Calibri"/>
                <w:sz w:val="19"/>
                <w:szCs w:val="19"/>
              </w:rPr>
              <w:t>40</w:t>
            </w:r>
          </w:p>
        </w:tc>
      </w:tr>
      <w:tr w:rsidR="00C67E97" w:rsidRPr="004A5FE5" w:rsidTr="00755D32">
        <w:tblPrEx>
          <w:tblBorders>
            <w:top w:val="none" w:sz="0" w:space="0" w:color="auto"/>
            <w:bottom w:val="none" w:sz="0" w:space="0" w:color="auto"/>
          </w:tblBorders>
          <w:tblLook w:val="0000"/>
        </w:tblPrEx>
        <w:trPr>
          <w:cantSplit/>
          <w:trHeight w:hRule="exact" w:val="57"/>
        </w:trPr>
        <w:tc>
          <w:tcPr>
            <w:tcW w:w="1753" w:type="dxa"/>
            <w:vMerge/>
            <w:tcBorders>
              <w:left w:val="nil"/>
              <w:bottom w:val="single" w:sz="4" w:space="0" w:color="auto"/>
              <w:right w:val="nil"/>
            </w:tcBorders>
          </w:tcPr>
          <w:p w:rsidR="00C67E97" w:rsidRPr="004A5FE5" w:rsidRDefault="00C67E97" w:rsidP="007235C9">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19"/>
                <w:szCs w:val="19"/>
              </w:rPr>
            </w:pPr>
          </w:p>
        </w:tc>
        <w:tc>
          <w:tcPr>
            <w:tcW w:w="2721" w:type="dxa"/>
            <w:tcBorders>
              <w:left w:val="nil"/>
              <w:bottom w:val="single" w:sz="4" w:space="0" w:color="auto"/>
              <w:right w:val="nil"/>
            </w:tcBorders>
          </w:tcPr>
          <w:p w:rsidR="00C67E97" w:rsidRPr="004A5FE5" w:rsidRDefault="00C67E97" w:rsidP="007235C9">
            <w:pPr>
              <w:pStyle w:val="TableTextLeftNoIndent"/>
              <w:tabs>
                <w:tab w:val="left" w:pos="284"/>
              </w:tabs>
              <w:spacing w:before="0" w:after="0"/>
              <w:rPr>
                <w:rFonts w:cs="Calibri"/>
                <w:sz w:val="19"/>
                <w:szCs w:val="19"/>
              </w:rPr>
            </w:pPr>
          </w:p>
        </w:tc>
        <w:tc>
          <w:tcPr>
            <w:tcW w:w="1542" w:type="dxa"/>
            <w:tcBorders>
              <w:left w:val="nil"/>
              <w:bottom w:val="single" w:sz="4" w:space="0" w:color="auto"/>
              <w:right w:val="nil"/>
            </w:tcBorders>
          </w:tcPr>
          <w:p w:rsidR="00C67E97" w:rsidRPr="004A5FE5" w:rsidRDefault="00C67E97" w:rsidP="007235C9">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rPr>
            </w:pPr>
          </w:p>
        </w:tc>
        <w:tc>
          <w:tcPr>
            <w:tcW w:w="1542" w:type="dxa"/>
            <w:tcBorders>
              <w:left w:val="nil"/>
              <w:bottom w:val="single" w:sz="4" w:space="0" w:color="auto"/>
              <w:right w:val="nil"/>
            </w:tcBorders>
          </w:tcPr>
          <w:p w:rsidR="00C67E97" w:rsidRPr="004A5FE5" w:rsidRDefault="00C67E97" w:rsidP="007235C9">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highlight w:val="yellow"/>
              </w:rPr>
            </w:pPr>
          </w:p>
        </w:tc>
        <w:tc>
          <w:tcPr>
            <w:tcW w:w="1542" w:type="dxa"/>
            <w:tcBorders>
              <w:left w:val="nil"/>
              <w:bottom w:val="single" w:sz="4" w:space="0" w:color="auto"/>
              <w:right w:val="nil"/>
            </w:tcBorders>
          </w:tcPr>
          <w:p w:rsidR="00C67E97" w:rsidRPr="004A5FE5" w:rsidRDefault="00C67E97" w:rsidP="007235C9">
            <w:pPr>
              <w:pStyle w:val="TableTextLeftNo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rFonts w:cs="Calibri"/>
                <w:sz w:val="19"/>
                <w:szCs w:val="19"/>
                <w:highlight w:val="yellow"/>
              </w:rPr>
            </w:pPr>
          </w:p>
        </w:tc>
      </w:tr>
    </w:tbl>
    <w:bookmarkEnd w:id="10"/>
    <w:p w:rsidR="00C67E97" w:rsidRPr="00B2733D" w:rsidRDefault="00C67E97" w:rsidP="00C67E97">
      <w:pPr>
        <w:pStyle w:val="NoteHeading0"/>
      </w:pPr>
      <w:r w:rsidRPr="00B2733D">
        <w:t>Notes:</w:t>
      </w:r>
    </w:p>
    <w:p w:rsidR="00C67E97" w:rsidRDefault="00C67E97" w:rsidP="00A2331E">
      <w:pPr>
        <w:pStyle w:val="AINotes"/>
        <w:numPr>
          <w:ilvl w:val="0"/>
          <w:numId w:val="53"/>
        </w:numPr>
      </w:pPr>
      <w:r>
        <w:t>The 2012-13</w:t>
      </w:r>
      <w:r w:rsidRPr="00B2733D">
        <w:t xml:space="preserve"> </w:t>
      </w:r>
      <w:r>
        <w:t>e</w:t>
      </w:r>
      <w:r w:rsidRPr="00B2733D">
        <w:t xml:space="preserve">stimated </w:t>
      </w:r>
      <w:proofErr w:type="gramStart"/>
      <w:r>
        <w:t>o</w:t>
      </w:r>
      <w:r w:rsidRPr="00B2733D">
        <w:t>utcome</w:t>
      </w:r>
      <w:proofErr w:type="gramEnd"/>
      <w:r w:rsidRPr="00B2733D">
        <w:t xml:space="preserve"> and </w:t>
      </w:r>
      <w:r>
        <w:t>2013-14</w:t>
      </w:r>
      <w:r w:rsidRPr="00B2733D">
        <w:t xml:space="preserve"> target are based on percentage results. </w:t>
      </w:r>
      <w:r>
        <w:t xml:space="preserve"> </w:t>
      </w:r>
      <w:r w:rsidRPr="00B2733D">
        <w:t>The actual number result for this indicator will also be reported in the Annual Report.</w:t>
      </w:r>
    </w:p>
    <w:p w:rsidR="00C67E97" w:rsidRDefault="00C67E97" w:rsidP="00A2331E">
      <w:pPr>
        <w:pStyle w:val="AINotes"/>
        <w:numPr>
          <w:ilvl w:val="0"/>
          <w:numId w:val="53"/>
        </w:numPr>
      </w:pPr>
      <w:r>
        <w:t>Measure to be discontinued in 2013-14.</w:t>
      </w:r>
    </w:p>
    <w:p w:rsidR="00C67E97" w:rsidRPr="005D265B" w:rsidRDefault="00C67E97" w:rsidP="00A2331E">
      <w:pPr>
        <w:pStyle w:val="AINotes"/>
        <w:numPr>
          <w:ilvl w:val="0"/>
          <w:numId w:val="53"/>
        </w:numPr>
      </w:pPr>
      <w:r w:rsidRPr="005D265B">
        <w:rPr>
          <w:color w:val="000000"/>
        </w:rPr>
        <w:t>The P</w:t>
      </w:r>
      <w:r w:rsidR="004F7608">
        <w:rPr>
          <w:color w:val="000000"/>
        </w:rPr>
        <w:t xml:space="preserve">ublic </w:t>
      </w:r>
      <w:r w:rsidRPr="005D265B">
        <w:rPr>
          <w:color w:val="000000"/>
        </w:rPr>
        <w:t>A</w:t>
      </w:r>
      <w:r w:rsidR="004F7608">
        <w:rPr>
          <w:color w:val="000000"/>
        </w:rPr>
        <w:t>dvocate of the ACT</w:t>
      </w:r>
      <w:r w:rsidRPr="005D265B">
        <w:rPr>
          <w:color w:val="000000"/>
        </w:rPr>
        <w:t xml:space="preserve"> has taken a proactive role this financial year in offering community education sessions to a range of government and non government agencies, hence more sessions held.</w:t>
      </w:r>
    </w:p>
    <w:p w:rsidR="00C67E97" w:rsidRDefault="00C67E97" w:rsidP="00A2331E">
      <w:pPr>
        <w:pStyle w:val="AINotes"/>
        <w:numPr>
          <w:ilvl w:val="0"/>
          <w:numId w:val="53"/>
        </w:numPr>
      </w:pPr>
      <w:r>
        <w:t>The Public Advocate of the ACT</w:t>
      </w:r>
      <w:r w:rsidR="003328DB">
        <w:t xml:space="preserve"> and the Human Rights Commission </w:t>
      </w:r>
      <w:r>
        <w:t xml:space="preserve">will be measuring the number of sessions held in 2013-14 instead of attendees. It is extremely difficult to accurately record </w:t>
      </w:r>
      <w:r w:rsidR="00196367">
        <w:t xml:space="preserve">the </w:t>
      </w:r>
      <w:r>
        <w:t xml:space="preserve">number of participants when community awareness sessions are held in a large lecture theatre. </w:t>
      </w:r>
    </w:p>
    <w:p w:rsidR="00C67E97" w:rsidRDefault="00C67E97" w:rsidP="00C67E97">
      <w:pPr>
        <w:pStyle w:val="AINotes"/>
        <w:numPr>
          <w:ilvl w:val="0"/>
          <w:numId w:val="0"/>
        </w:numPr>
        <w:ind w:left="357"/>
      </w:pPr>
    </w:p>
    <w:p w:rsidR="0035282E" w:rsidRDefault="0035282E">
      <w:pPr>
        <w:rPr>
          <w:rFonts w:ascii="Arial" w:hAnsi="Arial"/>
          <w:b/>
          <w:bCs/>
          <w:szCs w:val="26"/>
          <w:lang w:eastAsia="en-AU"/>
        </w:rPr>
      </w:pPr>
      <w:r>
        <w:br w:type="page"/>
      </w:r>
    </w:p>
    <w:p w:rsidR="00C67E97" w:rsidRDefault="00C67E97" w:rsidP="00C67E97">
      <w:pPr>
        <w:pStyle w:val="Heading3TopofPage"/>
      </w:pPr>
      <w:r>
        <w:lastRenderedPageBreak/>
        <w:t>Output Classes</w:t>
      </w:r>
    </w:p>
    <w:tbl>
      <w:tblPr>
        <w:tblW w:w="9100" w:type="dxa"/>
        <w:tblLayout w:type="fixed"/>
        <w:tblLook w:val="0000"/>
      </w:tblPr>
      <w:tblGrid>
        <w:gridCol w:w="3579"/>
        <w:gridCol w:w="1381"/>
        <w:gridCol w:w="1380"/>
        <w:gridCol w:w="1380"/>
        <w:gridCol w:w="1380"/>
      </w:tblGrid>
      <w:tr w:rsidR="00C67E97" w:rsidTr="00604D0D">
        <w:tc>
          <w:tcPr>
            <w:tcW w:w="3528" w:type="dxa"/>
            <w:tcBorders>
              <w:top w:val="single" w:sz="4" w:space="0" w:color="auto"/>
              <w:left w:val="nil"/>
              <w:bottom w:val="nil"/>
              <w:right w:val="nil"/>
            </w:tcBorders>
          </w:tcPr>
          <w:p w:rsidR="00C67E97" w:rsidRDefault="00C67E97" w:rsidP="007235C9">
            <w:pPr>
              <w:pStyle w:val="Heading2"/>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0"/>
              <w:ind w:left="357"/>
              <w:jc w:val="right"/>
              <w:rPr>
                <w:b w:val="0"/>
                <w:bCs/>
                <w:i/>
                <w:iCs/>
              </w:rPr>
            </w:pPr>
          </w:p>
        </w:tc>
        <w:tc>
          <w:tcPr>
            <w:tcW w:w="1361" w:type="dxa"/>
            <w:gridSpan w:val="2"/>
            <w:tcBorders>
              <w:top w:val="single" w:sz="4" w:space="0" w:color="auto"/>
              <w:left w:val="nil"/>
              <w:bottom w:val="single" w:sz="4" w:space="0" w:color="auto"/>
              <w:right w:val="nil"/>
            </w:tcBorders>
          </w:tcPr>
          <w:p w:rsidR="00C67E97" w:rsidRDefault="00A40B66" w:rsidP="00A40B66">
            <w:pPr>
              <w:pStyle w:val="TableHeadingCent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pPr>
            <w:r>
              <w:t>Total Cost</w:t>
            </w:r>
            <w:r w:rsidRPr="002463CC">
              <w:rPr>
                <w:rFonts w:cs="Calibri"/>
                <w:vertAlign w:val="superscript"/>
              </w:rPr>
              <w:t>1</w:t>
            </w:r>
            <w:r>
              <w:t xml:space="preserve"> </w:t>
            </w:r>
          </w:p>
        </w:tc>
        <w:tc>
          <w:tcPr>
            <w:tcW w:w="1361" w:type="dxa"/>
            <w:gridSpan w:val="2"/>
            <w:tcBorders>
              <w:top w:val="single" w:sz="4" w:space="0" w:color="auto"/>
              <w:left w:val="nil"/>
              <w:bottom w:val="single" w:sz="4" w:space="0" w:color="auto"/>
              <w:right w:val="nil"/>
            </w:tcBorders>
          </w:tcPr>
          <w:p w:rsidR="00C67E97" w:rsidRDefault="00C67E97" w:rsidP="007235C9">
            <w:pPr>
              <w:pStyle w:val="TableHeadingCent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pPr>
            <w:r>
              <w:t>Government Payment for Outputs</w:t>
            </w:r>
          </w:p>
        </w:tc>
      </w:tr>
      <w:tr w:rsidR="00C67E97" w:rsidTr="001D27CC">
        <w:trPr>
          <w:trHeight w:val="679"/>
        </w:trPr>
        <w:tc>
          <w:tcPr>
            <w:tcW w:w="3528" w:type="dxa"/>
            <w:tcBorders>
              <w:top w:val="nil"/>
              <w:left w:val="nil"/>
              <w:bottom w:val="single" w:sz="4" w:space="0" w:color="auto"/>
              <w:right w:val="nil"/>
            </w:tcBorders>
          </w:tcPr>
          <w:p w:rsidR="003B16D7" w:rsidRDefault="003B16D7" w:rsidP="007235C9">
            <w:pPr>
              <w:pStyle w:val="SinglePar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p>
        </w:tc>
        <w:tc>
          <w:tcPr>
            <w:tcW w:w="1361" w:type="dxa"/>
            <w:tcBorders>
              <w:top w:val="single" w:sz="4" w:space="0" w:color="auto"/>
              <w:left w:val="nil"/>
              <w:bottom w:val="single" w:sz="4" w:space="0" w:color="auto"/>
              <w:right w:val="nil"/>
            </w:tcBorders>
          </w:tcPr>
          <w:p w:rsidR="00C67E97" w:rsidRPr="007D7E5E"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2012</w:t>
            </w:r>
            <w:r w:rsidRPr="007D7E5E">
              <w:noBreakHyphen/>
              <w:t>13</w:t>
            </w:r>
            <w:r w:rsidRPr="007D7E5E">
              <w:br/>
              <w:t>Est. Outcome</w:t>
            </w:r>
          </w:p>
          <w:p w:rsidR="003B16D7" w:rsidRPr="003B16D7" w:rsidRDefault="00C67E97" w:rsidP="001D27CC">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val="0"/>
              </w:rPr>
            </w:pPr>
            <w:r w:rsidRPr="007D7E5E">
              <w:t xml:space="preserve">$’000 </w:t>
            </w:r>
          </w:p>
        </w:tc>
        <w:tc>
          <w:tcPr>
            <w:tcW w:w="1361" w:type="dxa"/>
            <w:tcBorders>
              <w:top w:val="single" w:sz="4" w:space="0" w:color="auto"/>
              <w:left w:val="nil"/>
              <w:bottom w:val="single" w:sz="4" w:space="0" w:color="auto"/>
              <w:right w:val="nil"/>
            </w:tcBorders>
          </w:tcPr>
          <w:p w:rsidR="00C67E97" w:rsidRPr="007D7E5E"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w:t>
            </w:r>
            <w:r>
              <w:t>3</w:t>
            </w:r>
            <w:r w:rsidRPr="007D7E5E">
              <w:noBreakHyphen/>
              <w:t>1</w:t>
            </w:r>
            <w:r>
              <w:t>4</w:t>
            </w:r>
          </w:p>
          <w:p w:rsidR="00C67E97" w:rsidRPr="007D7E5E"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Budget</w:t>
            </w:r>
          </w:p>
          <w:p w:rsidR="003B16D7" w:rsidRPr="003B16D7" w:rsidRDefault="00C67E97" w:rsidP="001D27CC">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val="0"/>
              </w:rPr>
            </w:pPr>
            <w:r w:rsidRPr="007D7E5E">
              <w:t xml:space="preserve">$’000 </w:t>
            </w:r>
          </w:p>
        </w:tc>
        <w:tc>
          <w:tcPr>
            <w:tcW w:w="1361" w:type="dxa"/>
            <w:tcBorders>
              <w:top w:val="single" w:sz="4" w:space="0" w:color="auto"/>
              <w:left w:val="nil"/>
              <w:bottom w:val="single" w:sz="4" w:space="0" w:color="auto"/>
              <w:right w:val="nil"/>
            </w:tcBorders>
          </w:tcPr>
          <w:p w:rsidR="00C67E97" w:rsidRPr="007D7E5E"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2012</w:t>
            </w:r>
            <w:r w:rsidRPr="007D7E5E">
              <w:noBreakHyphen/>
              <w:t>13</w:t>
            </w:r>
            <w:r w:rsidRPr="007D7E5E">
              <w:br/>
              <w:t>Est. Outcome</w:t>
            </w:r>
          </w:p>
          <w:p w:rsidR="003B16D7" w:rsidRPr="003B16D7" w:rsidRDefault="00C67E97" w:rsidP="001D27CC">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val="0"/>
              </w:rPr>
            </w:pPr>
            <w:r w:rsidRPr="007D7E5E">
              <w:t>$’000</w:t>
            </w:r>
          </w:p>
        </w:tc>
        <w:tc>
          <w:tcPr>
            <w:tcW w:w="1361" w:type="dxa"/>
            <w:tcBorders>
              <w:top w:val="single" w:sz="4" w:space="0" w:color="auto"/>
              <w:left w:val="nil"/>
              <w:bottom w:val="single" w:sz="4" w:space="0" w:color="auto"/>
              <w:right w:val="nil"/>
            </w:tcBorders>
          </w:tcPr>
          <w:p w:rsidR="00C67E97" w:rsidRPr="007D7E5E"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w:t>
            </w:r>
            <w:r>
              <w:t>3</w:t>
            </w:r>
            <w:r w:rsidRPr="007D7E5E">
              <w:noBreakHyphen/>
              <w:t>1</w:t>
            </w:r>
            <w:r>
              <w:t>4</w:t>
            </w:r>
          </w:p>
          <w:p w:rsidR="00C67E97" w:rsidRPr="007D7E5E"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Budget</w:t>
            </w:r>
          </w:p>
          <w:p w:rsidR="00C67E97" w:rsidRPr="007D7E5E" w:rsidRDefault="00C67E97" w:rsidP="001D27CC">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$’000</w:t>
            </w:r>
          </w:p>
        </w:tc>
      </w:tr>
      <w:tr w:rsidR="001D27CC" w:rsidTr="00604D0D">
        <w:tc>
          <w:tcPr>
            <w:tcW w:w="3528" w:type="dxa"/>
            <w:tcBorders>
              <w:top w:val="single" w:sz="4" w:space="0" w:color="auto"/>
              <w:left w:val="nil"/>
              <w:bottom w:val="single" w:sz="4" w:space="0" w:color="auto"/>
              <w:right w:val="nil"/>
            </w:tcBorders>
            <w:vAlign w:val="center"/>
          </w:tcPr>
          <w:p w:rsidR="001D27CC" w:rsidRPr="001D27CC" w:rsidRDefault="001D27CC" w:rsidP="001D27CC">
            <w:pPr>
              <w:rPr>
                <w:b/>
                <w:sz w:val="20"/>
              </w:rPr>
            </w:pPr>
            <w:r w:rsidRPr="001D27CC">
              <w:rPr>
                <w:b/>
                <w:sz w:val="20"/>
              </w:rPr>
              <w:t>Output Class 1</w:t>
            </w:r>
            <w:r w:rsidR="00E12B67">
              <w:rPr>
                <w:b/>
                <w:sz w:val="20"/>
              </w:rPr>
              <w:t>:</w:t>
            </w:r>
          </w:p>
          <w:p w:rsidR="001D27CC" w:rsidRDefault="001D27CC" w:rsidP="001D27CC">
            <w:pPr>
              <w:rPr>
                <w:color w:val="000000"/>
              </w:rPr>
            </w:pPr>
            <w:r w:rsidRPr="001D27CC">
              <w:rPr>
                <w:b/>
                <w:sz w:val="20"/>
              </w:rPr>
              <w:t>Justice Services</w:t>
            </w:r>
          </w:p>
        </w:tc>
        <w:tc>
          <w:tcPr>
            <w:tcW w:w="1361" w:type="dxa"/>
            <w:tcBorders>
              <w:top w:val="single" w:sz="4" w:space="0" w:color="auto"/>
              <w:left w:val="nil"/>
              <w:bottom w:val="single" w:sz="4" w:space="0" w:color="auto"/>
              <w:right w:val="nil"/>
            </w:tcBorders>
            <w:shd w:val="clear" w:color="auto" w:fill="auto"/>
            <w:vAlign w:val="bottom"/>
          </w:tcPr>
          <w:p w:rsidR="001D27CC" w:rsidRPr="001D27CC" w:rsidRDefault="001D27CC"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rPr>
                <w:highlight w:val="yellow"/>
              </w:rPr>
            </w:pPr>
            <w:r w:rsidRPr="001D27CC">
              <w:t>96,626</w:t>
            </w:r>
          </w:p>
        </w:tc>
        <w:tc>
          <w:tcPr>
            <w:tcW w:w="1361" w:type="dxa"/>
            <w:tcBorders>
              <w:top w:val="single" w:sz="4" w:space="0" w:color="auto"/>
              <w:left w:val="nil"/>
              <w:bottom w:val="single" w:sz="4" w:space="0" w:color="auto"/>
              <w:right w:val="nil"/>
            </w:tcBorders>
            <w:shd w:val="clear" w:color="auto" w:fill="auto"/>
            <w:vAlign w:val="bottom"/>
          </w:tcPr>
          <w:p w:rsidR="001D27CC" w:rsidRPr="001D27CC" w:rsidRDefault="001D27CC"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rPr>
                <w:highlight w:val="yellow"/>
              </w:rPr>
            </w:pPr>
            <w:r w:rsidRPr="001D27CC">
              <w:t>96,811</w:t>
            </w:r>
          </w:p>
        </w:tc>
        <w:tc>
          <w:tcPr>
            <w:tcW w:w="1361" w:type="dxa"/>
            <w:tcBorders>
              <w:top w:val="single" w:sz="4" w:space="0" w:color="auto"/>
              <w:left w:val="nil"/>
              <w:bottom w:val="single" w:sz="4" w:space="0" w:color="auto"/>
              <w:right w:val="nil"/>
            </w:tcBorders>
            <w:shd w:val="clear" w:color="auto" w:fill="auto"/>
            <w:vAlign w:val="bottom"/>
          </w:tcPr>
          <w:p w:rsidR="001D27CC" w:rsidRPr="001D27CC" w:rsidRDefault="001D27CC"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rPr>
                <w:highlight w:val="yellow"/>
              </w:rPr>
            </w:pPr>
            <w:r w:rsidRPr="001D27CC">
              <w:t>85,683</w:t>
            </w:r>
          </w:p>
        </w:tc>
        <w:tc>
          <w:tcPr>
            <w:tcW w:w="1361" w:type="dxa"/>
            <w:tcBorders>
              <w:top w:val="single" w:sz="4" w:space="0" w:color="auto"/>
              <w:left w:val="nil"/>
              <w:bottom w:val="single" w:sz="4" w:space="0" w:color="auto"/>
              <w:right w:val="nil"/>
            </w:tcBorders>
            <w:shd w:val="clear" w:color="auto" w:fill="auto"/>
            <w:vAlign w:val="bottom"/>
          </w:tcPr>
          <w:p w:rsidR="001D27CC" w:rsidRDefault="001D27CC"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rPr>
                <w:highlight w:val="yellow"/>
              </w:rPr>
            </w:pPr>
            <w:r>
              <w:t>85,453</w:t>
            </w:r>
          </w:p>
        </w:tc>
      </w:tr>
      <w:tr w:rsidR="00C67E97" w:rsidRPr="001D27CC" w:rsidTr="00604D0D">
        <w:tc>
          <w:tcPr>
            <w:tcW w:w="3528" w:type="dxa"/>
            <w:tcBorders>
              <w:top w:val="single" w:sz="4" w:space="0" w:color="auto"/>
              <w:left w:val="nil"/>
              <w:bottom w:val="single" w:sz="4" w:space="0" w:color="auto"/>
              <w:right w:val="nil"/>
            </w:tcBorders>
            <w:vAlign w:val="center"/>
          </w:tcPr>
          <w:p w:rsidR="00C67E97" w:rsidRPr="001D27CC" w:rsidRDefault="00C67E97" w:rsidP="00E2361A">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ind w:left="0" w:firstLine="0"/>
            </w:pPr>
            <w:r w:rsidRPr="001D27CC">
              <w:rPr>
                <w:color w:val="000000"/>
              </w:rPr>
              <w:t xml:space="preserve">Output 1.1:  </w:t>
            </w:r>
            <w:r w:rsidRPr="001D27CC">
              <w:rPr>
                <w:rFonts w:cs="Calibri"/>
              </w:rPr>
              <w:t>Policy Advice and Justice Programs</w:t>
            </w:r>
          </w:p>
        </w:tc>
        <w:tc>
          <w:tcPr>
            <w:tcW w:w="1361" w:type="dxa"/>
            <w:tcBorders>
              <w:top w:val="single" w:sz="4" w:space="0" w:color="auto"/>
              <w:left w:val="nil"/>
              <w:bottom w:val="single" w:sz="4" w:space="0" w:color="auto"/>
              <w:right w:val="nil"/>
            </w:tcBorders>
            <w:shd w:val="clear" w:color="auto" w:fill="auto"/>
            <w:vAlign w:val="bottom"/>
          </w:tcPr>
          <w:p w:rsidR="00C67E97" w:rsidRPr="001D27CC" w:rsidRDefault="001D27CC"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pPr>
            <w:r w:rsidRPr="001D27CC">
              <w:t>10,415</w:t>
            </w:r>
          </w:p>
        </w:tc>
        <w:tc>
          <w:tcPr>
            <w:tcW w:w="1361" w:type="dxa"/>
            <w:tcBorders>
              <w:top w:val="single" w:sz="4" w:space="0" w:color="auto"/>
              <w:left w:val="nil"/>
              <w:bottom w:val="single" w:sz="4" w:space="0" w:color="auto"/>
              <w:right w:val="nil"/>
            </w:tcBorders>
            <w:shd w:val="clear" w:color="auto" w:fill="auto"/>
            <w:vAlign w:val="bottom"/>
          </w:tcPr>
          <w:p w:rsidR="00C67E97" w:rsidRPr="001D27CC" w:rsidRDefault="001D27CC" w:rsidP="001D27CC">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pPr>
            <w:r w:rsidRPr="001D27CC">
              <w:t>13,954</w:t>
            </w:r>
          </w:p>
        </w:tc>
        <w:tc>
          <w:tcPr>
            <w:tcW w:w="1361" w:type="dxa"/>
            <w:tcBorders>
              <w:top w:val="single" w:sz="4" w:space="0" w:color="auto"/>
              <w:left w:val="nil"/>
              <w:bottom w:val="single" w:sz="4" w:space="0" w:color="auto"/>
              <w:right w:val="nil"/>
            </w:tcBorders>
            <w:shd w:val="clear" w:color="auto" w:fill="auto"/>
            <w:vAlign w:val="bottom"/>
          </w:tcPr>
          <w:p w:rsidR="00C67E97" w:rsidRPr="001D27CC" w:rsidRDefault="001D27CC" w:rsidP="001D27CC">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pPr>
            <w:r w:rsidRPr="001D27CC">
              <w:t>8,935</w:t>
            </w:r>
          </w:p>
        </w:tc>
        <w:tc>
          <w:tcPr>
            <w:tcW w:w="1361" w:type="dxa"/>
            <w:tcBorders>
              <w:top w:val="single" w:sz="4" w:space="0" w:color="auto"/>
              <w:left w:val="nil"/>
              <w:bottom w:val="single" w:sz="4" w:space="0" w:color="auto"/>
              <w:right w:val="nil"/>
            </w:tcBorders>
            <w:shd w:val="clear" w:color="auto" w:fill="auto"/>
            <w:vAlign w:val="bottom"/>
          </w:tcPr>
          <w:p w:rsidR="00C67E97" w:rsidRPr="001D27CC" w:rsidRDefault="001D27CC" w:rsidP="001D27CC">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pPr>
            <w:r w:rsidRPr="001D27CC">
              <w:t>12,239</w:t>
            </w:r>
          </w:p>
        </w:tc>
      </w:tr>
    </w:tbl>
    <w:p w:rsidR="00A40B66" w:rsidRPr="0015518F" w:rsidRDefault="00A40B66" w:rsidP="00A40B66">
      <w:pPr>
        <w:pStyle w:val="NoteHeading0"/>
      </w:pPr>
      <w:r w:rsidRPr="001D27CC">
        <w:t>Note:</w:t>
      </w:r>
      <w:r w:rsidRPr="0015518F">
        <w:t xml:space="preserve">  </w:t>
      </w:r>
    </w:p>
    <w:p w:rsidR="00A40B66" w:rsidRPr="00A63B7F" w:rsidRDefault="00A40B66" w:rsidP="00A40B66">
      <w:pPr>
        <w:pStyle w:val="AINotes"/>
        <w:numPr>
          <w:ilvl w:val="0"/>
          <w:numId w:val="29"/>
        </w:numPr>
      </w:pPr>
      <w:r w:rsidRPr="00A63B7F">
        <w:t>Total cost includes depreciation and amortisation of $</w:t>
      </w:r>
      <w:r>
        <w:t xml:space="preserve">3.003 </w:t>
      </w:r>
      <w:r w:rsidRPr="00A63B7F">
        <w:t>million in 201</w:t>
      </w:r>
      <w:r>
        <w:t>2-13</w:t>
      </w:r>
      <w:r w:rsidRPr="00A63B7F">
        <w:t xml:space="preserve"> and $</w:t>
      </w:r>
      <w:r>
        <w:t xml:space="preserve">3.630 </w:t>
      </w:r>
      <w:r w:rsidRPr="00A63B7F">
        <w:t>million in 201</w:t>
      </w:r>
      <w:r>
        <w:t>3</w:t>
      </w:r>
      <w:r w:rsidRPr="00A63B7F">
        <w:t>-1</w:t>
      </w:r>
      <w:r>
        <w:t>4</w:t>
      </w:r>
      <w:r w:rsidRPr="00A63B7F">
        <w:t>.</w:t>
      </w:r>
    </w:p>
    <w:p w:rsidR="00C67E97" w:rsidRPr="00D325FA" w:rsidRDefault="00C67E97" w:rsidP="00435303">
      <w:pPr>
        <w:pStyle w:val="Heading4"/>
        <w:spacing w:before="120"/>
      </w:pPr>
      <w:r w:rsidRPr="00D325FA">
        <w:t>Output Description</w:t>
      </w:r>
    </w:p>
    <w:p w:rsidR="00FC4AB9" w:rsidRDefault="00C67E97" w:rsidP="00C67E97">
      <w:pPr>
        <w:pStyle w:val="BodyText"/>
      </w:pPr>
      <w:proofErr w:type="gramStart"/>
      <w:r w:rsidRPr="00D325FA">
        <w:t>High quality policy, legislation, ministerial support and advice to portfolio Ministers, Cabinet and other agencies on justice and community safety matters.</w:t>
      </w:r>
      <w:proofErr w:type="gramEnd"/>
      <w:r w:rsidRPr="00D325FA">
        <w:t xml:space="preserve">  Administer security coordination and emergency management policy, and innovative justice and crime prevention programs (including the Restorative Justice Program) across government and the community.</w:t>
      </w:r>
    </w:p>
    <w:tbl>
      <w:tblPr>
        <w:tblW w:w="9100" w:type="dxa"/>
        <w:tblLayout w:type="fixed"/>
        <w:tblLook w:val="0000"/>
      </w:tblPr>
      <w:tblGrid>
        <w:gridCol w:w="3579"/>
        <w:gridCol w:w="1381"/>
        <w:gridCol w:w="1380"/>
        <w:gridCol w:w="1380"/>
        <w:gridCol w:w="1380"/>
      </w:tblGrid>
      <w:tr w:rsidR="00C67E97" w:rsidTr="00FC4AB9">
        <w:tc>
          <w:tcPr>
            <w:tcW w:w="3579" w:type="dxa"/>
            <w:tcBorders>
              <w:top w:val="single" w:sz="4" w:space="0" w:color="auto"/>
              <w:left w:val="nil"/>
              <w:bottom w:val="nil"/>
              <w:right w:val="nil"/>
            </w:tcBorders>
          </w:tcPr>
          <w:p w:rsidR="00C67E97" w:rsidRDefault="00C67E97" w:rsidP="007235C9">
            <w:pPr>
              <w:pStyle w:val="Heading2"/>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0"/>
              <w:ind w:left="357"/>
              <w:jc w:val="right"/>
              <w:rPr>
                <w:b w:val="0"/>
                <w:bCs/>
                <w:i/>
                <w:iCs/>
              </w:rPr>
            </w:pPr>
          </w:p>
        </w:tc>
        <w:tc>
          <w:tcPr>
            <w:tcW w:w="2761" w:type="dxa"/>
            <w:gridSpan w:val="2"/>
            <w:tcBorders>
              <w:top w:val="single" w:sz="4" w:space="0" w:color="auto"/>
              <w:left w:val="nil"/>
              <w:bottom w:val="single" w:sz="4" w:space="0" w:color="auto"/>
              <w:right w:val="nil"/>
            </w:tcBorders>
          </w:tcPr>
          <w:p w:rsidR="00C67E97" w:rsidRDefault="00C67E97" w:rsidP="007235C9">
            <w:pPr>
              <w:pStyle w:val="TableHeadingCent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pPr>
            <w:r>
              <w:t>Total Cost</w:t>
            </w:r>
          </w:p>
        </w:tc>
        <w:tc>
          <w:tcPr>
            <w:tcW w:w="2760" w:type="dxa"/>
            <w:gridSpan w:val="2"/>
            <w:tcBorders>
              <w:top w:val="single" w:sz="4" w:space="0" w:color="auto"/>
              <w:left w:val="nil"/>
              <w:bottom w:val="single" w:sz="4" w:space="0" w:color="auto"/>
              <w:right w:val="nil"/>
            </w:tcBorders>
          </w:tcPr>
          <w:p w:rsidR="00C67E97" w:rsidRDefault="00C67E97" w:rsidP="007235C9">
            <w:pPr>
              <w:pStyle w:val="TableHeadingCent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pPr>
            <w:r>
              <w:t>Government Payment for Outputs</w:t>
            </w:r>
          </w:p>
        </w:tc>
      </w:tr>
      <w:tr w:rsidR="00C67E97" w:rsidTr="00FC4AB9">
        <w:tc>
          <w:tcPr>
            <w:tcW w:w="3579" w:type="dxa"/>
            <w:tcBorders>
              <w:top w:val="nil"/>
              <w:left w:val="nil"/>
              <w:bottom w:val="single" w:sz="4" w:space="0" w:color="auto"/>
              <w:right w:val="nil"/>
            </w:tcBorders>
          </w:tcPr>
          <w:p w:rsidR="00C67E97" w:rsidRDefault="00C67E97" w:rsidP="007235C9">
            <w:pPr>
              <w:pStyle w:val="SinglePar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p>
        </w:tc>
        <w:tc>
          <w:tcPr>
            <w:tcW w:w="1381" w:type="dxa"/>
            <w:tcBorders>
              <w:top w:val="single" w:sz="4" w:space="0" w:color="auto"/>
              <w:left w:val="nil"/>
              <w:bottom w:val="single" w:sz="4" w:space="0" w:color="auto"/>
              <w:right w:val="nil"/>
            </w:tcBorders>
          </w:tcPr>
          <w:p w:rsidR="00C67E97" w:rsidRPr="007D7E5E"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2012</w:t>
            </w:r>
            <w:r w:rsidRPr="007D7E5E">
              <w:noBreakHyphen/>
              <w:t>13</w:t>
            </w:r>
            <w:r w:rsidRPr="007D7E5E">
              <w:br/>
              <w:t>Est. Outcome</w:t>
            </w:r>
          </w:p>
          <w:p w:rsidR="00C67E97" w:rsidRPr="007D7E5E"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c>
          <w:tcPr>
            <w:tcW w:w="1380" w:type="dxa"/>
            <w:tcBorders>
              <w:top w:val="single" w:sz="4" w:space="0" w:color="auto"/>
              <w:left w:val="nil"/>
              <w:bottom w:val="single" w:sz="4" w:space="0" w:color="auto"/>
              <w:right w:val="nil"/>
            </w:tcBorders>
          </w:tcPr>
          <w:p w:rsidR="00C67E97" w:rsidRPr="007D7E5E"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w:t>
            </w:r>
            <w:r>
              <w:t>3</w:t>
            </w:r>
            <w:r w:rsidRPr="007D7E5E">
              <w:noBreakHyphen/>
              <w:t>1</w:t>
            </w:r>
            <w:r>
              <w:t>4</w:t>
            </w:r>
          </w:p>
          <w:p w:rsidR="00C67E97" w:rsidRPr="007D7E5E"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Budget</w:t>
            </w:r>
          </w:p>
          <w:p w:rsidR="00C67E97" w:rsidRPr="007D7E5E"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c>
          <w:tcPr>
            <w:tcW w:w="1380" w:type="dxa"/>
            <w:tcBorders>
              <w:top w:val="single" w:sz="4" w:space="0" w:color="auto"/>
              <w:left w:val="nil"/>
              <w:bottom w:val="single" w:sz="4" w:space="0" w:color="auto"/>
              <w:right w:val="nil"/>
            </w:tcBorders>
          </w:tcPr>
          <w:p w:rsidR="00C67E97" w:rsidRPr="007D7E5E"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2012</w:t>
            </w:r>
            <w:r w:rsidRPr="007D7E5E">
              <w:noBreakHyphen/>
              <w:t>13</w:t>
            </w:r>
            <w:r w:rsidRPr="007D7E5E">
              <w:br/>
              <w:t>Est. Outcome</w:t>
            </w:r>
          </w:p>
          <w:p w:rsidR="00C67E97" w:rsidRPr="007D7E5E"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c>
          <w:tcPr>
            <w:tcW w:w="1380" w:type="dxa"/>
            <w:tcBorders>
              <w:top w:val="single" w:sz="4" w:space="0" w:color="auto"/>
              <w:left w:val="nil"/>
              <w:bottom w:val="single" w:sz="4" w:space="0" w:color="auto"/>
              <w:right w:val="nil"/>
            </w:tcBorders>
          </w:tcPr>
          <w:p w:rsidR="00C67E97" w:rsidRPr="007D7E5E"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w:t>
            </w:r>
            <w:r>
              <w:t>3</w:t>
            </w:r>
            <w:r w:rsidRPr="007D7E5E">
              <w:noBreakHyphen/>
              <w:t>1</w:t>
            </w:r>
            <w:r>
              <w:t>4</w:t>
            </w:r>
          </w:p>
          <w:p w:rsidR="00C67E97" w:rsidRPr="007D7E5E"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Budget</w:t>
            </w:r>
          </w:p>
          <w:p w:rsidR="00C67E97" w:rsidRPr="007D7E5E"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r>
      <w:tr w:rsidR="00C67E97" w:rsidTr="00FC4AB9">
        <w:tc>
          <w:tcPr>
            <w:tcW w:w="3579" w:type="dxa"/>
            <w:tcBorders>
              <w:top w:val="single" w:sz="4" w:space="0" w:color="auto"/>
              <w:left w:val="nil"/>
              <w:bottom w:val="single" w:sz="4" w:space="0" w:color="auto"/>
              <w:right w:val="nil"/>
            </w:tcBorders>
            <w:vAlign w:val="center"/>
          </w:tcPr>
          <w:p w:rsidR="00C67E97" w:rsidRDefault="00C67E97" w:rsidP="001D27CC">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ind w:left="0" w:firstLine="0"/>
            </w:pPr>
            <w:r>
              <w:rPr>
                <w:color w:val="000000"/>
              </w:rPr>
              <w:t>Output 1.2:  Legal Services to Government</w:t>
            </w:r>
          </w:p>
        </w:tc>
        <w:tc>
          <w:tcPr>
            <w:tcW w:w="1381" w:type="dxa"/>
            <w:tcBorders>
              <w:top w:val="single" w:sz="4" w:space="0" w:color="auto"/>
              <w:left w:val="nil"/>
              <w:bottom w:val="single" w:sz="4" w:space="0" w:color="auto"/>
              <w:right w:val="nil"/>
            </w:tcBorders>
            <w:shd w:val="clear" w:color="auto" w:fill="auto"/>
            <w:vAlign w:val="bottom"/>
          </w:tcPr>
          <w:p w:rsidR="00C67E97" w:rsidRPr="001D27CC" w:rsidRDefault="001D27CC"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pPr>
            <w:r w:rsidRPr="001D27CC">
              <w:t>10,999</w:t>
            </w:r>
          </w:p>
        </w:tc>
        <w:tc>
          <w:tcPr>
            <w:tcW w:w="1380" w:type="dxa"/>
            <w:tcBorders>
              <w:top w:val="single" w:sz="4" w:space="0" w:color="auto"/>
              <w:left w:val="nil"/>
              <w:bottom w:val="single" w:sz="4" w:space="0" w:color="auto"/>
              <w:right w:val="nil"/>
            </w:tcBorders>
            <w:shd w:val="clear" w:color="auto" w:fill="auto"/>
            <w:vAlign w:val="bottom"/>
          </w:tcPr>
          <w:p w:rsidR="00C67E97" w:rsidRPr="001D27CC" w:rsidRDefault="001D27CC" w:rsidP="001D27CC">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pPr>
            <w:r w:rsidRPr="001D27CC">
              <w:t>10,366</w:t>
            </w:r>
          </w:p>
        </w:tc>
        <w:tc>
          <w:tcPr>
            <w:tcW w:w="1380" w:type="dxa"/>
            <w:tcBorders>
              <w:top w:val="single" w:sz="4" w:space="0" w:color="auto"/>
              <w:left w:val="nil"/>
              <w:bottom w:val="single" w:sz="4" w:space="0" w:color="auto"/>
              <w:right w:val="nil"/>
            </w:tcBorders>
            <w:shd w:val="clear" w:color="auto" w:fill="auto"/>
            <w:vAlign w:val="bottom"/>
          </w:tcPr>
          <w:p w:rsidR="00C67E97" w:rsidRPr="001D27CC" w:rsidRDefault="001D27CC" w:rsidP="001D27CC">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pPr>
            <w:r w:rsidRPr="001D27CC">
              <w:t>7,353</w:t>
            </w:r>
          </w:p>
        </w:tc>
        <w:tc>
          <w:tcPr>
            <w:tcW w:w="1380" w:type="dxa"/>
            <w:tcBorders>
              <w:top w:val="single" w:sz="4" w:space="0" w:color="auto"/>
              <w:left w:val="nil"/>
              <w:bottom w:val="single" w:sz="4" w:space="0" w:color="auto"/>
              <w:right w:val="nil"/>
            </w:tcBorders>
            <w:shd w:val="clear" w:color="auto" w:fill="auto"/>
            <w:vAlign w:val="bottom"/>
          </w:tcPr>
          <w:p w:rsidR="00C67E97" w:rsidRPr="001D27CC" w:rsidRDefault="001D27CC" w:rsidP="001D27CC">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pPr>
            <w:r w:rsidRPr="001D27CC">
              <w:t>6,925</w:t>
            </w:r>
          </w:p>
        </w:tc>
      </w:tr>
    </w:tbl>
    <w:p w:rsidR="00C67E97" w:rsidRPr="00D325FA" w:rsidRDefault="00C67E97" w:rsidP="00435303">
      <w:pPr>
        <w:pStyle w:val="Heading4"/>
        <w:spacing w:before="120"/>
      </w:pPr>
      <w:r w:rsidRPr="00D325FA">
        <w:t>Output Description</w:t>
      </w:r>
    </w:p>
    <w:p w:rsidR="00C67E97" w:rsidRPr="00D325FA" w:rsidRDefault="00C67E97" w:rsidP="00C67E97">
      <w:pPr>
        <w:pStyle w:val="BodyText"/>
        <w:spacing w:after="240"/>
      </w:pPr>
      <w:proofErr w:type="gramStart"/>
      <w:r w:rsidRPr="00D325FA">
        <w:t xml:space="preserve">High quality and timely legal advice and </w:t>
      </w:r>
      <w:r>
        <w:t xml:space="preserve">representation for the Attorney </w:t>
      </w:r>
      <w:r w:rsidRPr="00D325FA">
        <w:t>General and Government.</w:t>
      </w:r>
      <w:proofErr w:type="gramEnd"/>
    </w:p>
    <w:tbl>
      <w:tblPr>
        <w:tblW w:w="9100" w:type="dxa"/>
        <w:tblLayout w:type="fixed"/>
        <w:tblLook w:val="0000"/>
      </w:tblPr>
      <w:tblGrid>
        <w:gridCol w:w="3579"/>
        <w:gridCol w:w="1381"/>
        <w:gridCol w:w="1380"/>
        <w:gridCol w:w="1380"/>
        <w:gridCol w:w="1380"/>
      </w:tblGrid>
      <w:tr w:rsidR="00C67E97" w:rsidTr="00E80957">
        <w:tc>
          <w:tcPr>
            <w:tcW w:w="3528" w:type="dxa"/>
            <w:tcBorders>
              <w:top w:val="single" w:sz="4" w:space="0" w:color="auto"/>
              <w:left w:val="nil"/>
              <w:bottom w:val="nil"/>
              <w:right w:val="nil"/>
            </w:tcBorders>
          </w:tcPr>
          <w:p w:rsidR="00C67E97" w:rsidRDefault="00C67E97" w:rsidP="007235C9">
            <w:pPr>
              <w:pStyle w:val="Heading2"/>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0"/>
              <w:ind w:left="357"/>
              <w:jc w:val="right"/>
              <w:rPr>
                <w:b w:val="0"/>
                <w:bCs/>
                <w:i/>
                <w:iCs/>
              </w:rPr>
            </w:pPr>
          </w:p>
        </w:tc>
        <w:tc>
          <w:tcPr>
            <w:tcW w:w="1361" w:type="dxa"/>
            <w:gridSpan w:val="2"/>
            <w:tcBorders>
              <w:top w:val="single" w:sz="4" w:space="0" w:color="auto"/>
              <w:left w:val="nil"/>
              <w:bottom w:val="single" w:sz="4" w:space="0" w:color="auto"/>
              <w:right w:val="nil"/>
            </w:tcBorders>
          </w:tcPr>
          <w:p w:rsidR="00C67E97" w:rsidRDefault="00C67E97" w:rsidP="007235C9">
            <w:pPr>
              <w:pStyle w:val="TableHeadingCent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pPr>
            <w:r>
              <w:t>Total Cost</w:t>
            </w:r>
          </w:p>
        </w:tc>
        <w:tc>
          <w:tcPr>
            <w:tcW w:w="1361" w:type="dxa"/>
            <w:gridSpan w:val="2"/>
            <w:tcBorders>
              <w:top w:val="single" w:sz="4" w:space="0" w:color="auto"/>
              <w:left w:val="nil"/>
              <w:bottom w:val="single" w:sz="4" w:space="0" w:color="auto"/>
              <w:right w:val="nil"/>
            </w:tcBorders>
          </w:tcPr>
          <w:p w:rsidR="00C67E97" w:rsidRDefault="00C67E97" w:rsidP="007235C9">
            <w:pPr>
              <w:pStyle w:val="TableHeadingCent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pPr>
            <w:r>
              <w:t>Government Payment for Outputs</w:t>
            </w:r>
          </w:p>
        </w:tc>
      </w:tr>
      <w:tr w:rsidR="00C67E97" w:rsidTr="00E80957">
        <w:tc>
          <w:tcPr>
            <w:tcW w:w="3528" w:type="dxa"/>
            <w:tcBorders>
              <w:top w:val="nil"/>
              <w:left w:val="nil"/>
              <w:bottom w:val="single" w:sz="4" w:space="0" w:color="auto"/>
              <w:right w:val="nil"/>
            </w:tcBorders>
          </w:tcPr>
          <w:p w:rsidR="00C67E97" w:rsidRDefault="00C67E97" w:rsidP="00A867DE">
            <w:pPr>
              <w:pStyle w:val="SinglePar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p>
        </w:tc>
        <w:tc>
          <w:tcPr>
            <w:tcW w:w="1361" w:type="dxa"/>
            <w:tcBorders>
              <w:top w:val="single" w:sz="4" w:space="0" w:color="auto"/>
              <w:left w:val="nil"/>
              <w:bottom w:val="single" w:sz="4" w:space="0" w:color="auto"/>
              <w:right w:val="nil"/>
            </w:tcBorders>
          </w:tcPr>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2012</w:t>
            </w:r>
            <w:r w:rsidRPr="007D7E5E">
              <w:noBreakHyphen/>
              <w:t>13</w:t>
            </w:r>
            <w:r w:rsidRPr="007D7E5E">
              <w:br/>
              <w:t>Est. Outcome</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c>
          <w:tcPr>
            <w:tcW w:w="1361" w:type="dxa"/>
            <w:tcBorders>
              <w:top w:val="single" w:sz="4" w:space="0" w:color="auto"/>
              <w:left w:val="nil"/>
              <w:bottom w:val="single" w:sz="4" w:space="0" w:color="auto"/>
              <w:right w:val="nil"/>
            </w:tcBorders>
          </w:tcPr>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w:t>
            </w:r>
            <w:r>
              <w:t>3</w:t>
            </w:r>
            <w:r w:rsidRPr="007D7E5E">
              <w:noBreakHyphen/>
              <w:t>1</w:t>
            </w:r>
            <w:r>
              <w:t>4</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Budget</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c>
          <w:tcPr>
            <w:tcW w:w="1361" w:type="dxa"/>
            <w:tcBorders>
              <w:top w:val="single" w:sz="4" w:space="0" w:color="auto"/>
              <w:left w:val="nil"/>
              <w:bottom w:val="single" w:sz="4" w:space="0" w:color="auto"/>
              <w:right w:val="nil"/>
            </w:tcBorders>
          </w:tcPr>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2012</w:t>
            </w:r>
            <w:r w:rsidRPr="007D7E5E">
              <w:noBreakHyphen/>
              <w:t>13</w:t>
            </w:r>
            <w:r w:rsidRPr="007D7E5E">
              <w:br/>
              <w:t>Est. Outcome</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c>
          <w:tcPr>
            <w:tcW w:w="1361" w:type="dxa"/>
            <w:tcBorders>
              <w:top w:val="single" w:sz="4" w:space="0" w:color="auto"/>
              <w:left w:val="nil"/>
              <w:bottom w:val="single" w:sz="4" w:space="0" w:color="auto"/>
              <w:right w:val="nil"/>
            </w:tcBorders>
          </w:tcPr>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w:t>
            </w:r>
            <w:r>
              <w:t>3</w:t>
            </w:r>
            <w:r w:rsidRPr="007D7E5E">
              <w:noBreakHyphen/>
              <w:t>1</w:t>
            </w:r>
            <w:r>
              <w:t>4</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Budget</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r>
      <w:tr w:rsidR="00C67E97" w:rsidTr="00E80957">
        <w:tc>
          <w:tcPr>
            <w:tcW w:w="3528" w:type="dxa"/>
            <w:tcBorders>
              <w:top w:val="single" w:sz="4" w:space="0" w:color="auto"/>
              <w:left w:val="nil"/>
              <w:bottom w:val="single" w:sz="4" w:space="0" w:color="auto"/>
              <w:right w:val="nil"/>
            </w:tcBorders>
            <w:vAlign w:val="center"/>
          </w:tcPr>
          <w:p w:rsidR="00C67E97" w:rsidRDefault="00C67E97" w:rsidP="00A867DE">
            <w:pPr>
              <w:pStyle w:val="Heading7"/>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ind w:left="0" w:firstLine="0"/>
              <w:rPr>
                <w:color w:val="000000"/>
              </w:rPr>
            </w:pPr>
            <w:r>
              <w:rPr>
                <w:color w:val="000000"/>
              </w:rPr>
              <w:t>Output 1.3:  Legislative Drafting and Publishing Services</w:t>
            </w:r>
          </w:p>
        </w:tc>
        <w:tc>
          <w:tcPr>
            <w:tcW w:w="1361" w:type="dxa"/>
            <w:tcBorders>
              <w:top w:val="single" w:sz="4" w:space="0" w:color="auto"/>
              <w:left w:val="nil"/>
              <w:bottom w:val="single" w:sz="4" w:space="0" w:color="auto"/>
              <w:right w:val="nil"/>
            </w:tcBorders>
            <w:shd w:val="clear" w:color="auto" w:fill="auto"/>
            <w:vAlign w:val="bottom"/>
          </w:tcPr>
          <w:p w:rsidR="00C67E97" w:rsidRPr="000F47FA" w:rsidRDefault="001D27CC" w:rsidP="00A867DE">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pPr>
            <w:r>
              <w:t>4,167</w:t>
            </w:r>
          </w:p>
        </w:tc>
        <w:tc>
          <w:tcPr>
            <w:tcW w:w="1361" w:type="dxa"/>
            <w:tcBorders>
              <w:top w:val="single" w:sz="4" w:space="0" w:color="auto"/>
              <w:left w:val="nil"/>
              <w:bottom w:val="single" w:sz="4" w:space="0" w:color="auto"/>
              <w:right w:val="nil"/>
            </w:tcBorders>
            <w:shd w:val="clear" w:color="auto" w:fill="auto"/>
            <w:vAlign w:val="bottom"/>
          </w:tcPr>
          <w:p w:rsidR="00C67E97" w:rsidRPr="001D27CC" w:rsidRDefault="001D27CC" w:rsidP="00A867DE">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pPr>
            <w:r w:rsidRPr="001D27CC">
              <w:t>4,189</w:t>
            </w:r>
          </w:p>
        </w:tc>
        <w:tc>
          <w:tcPr>
            <w:tcW w:w="1361" w:type="dxa"/>
            <w:tcBorders>
              <w:top w:val="single" w:sz="4" w:space="0" w:color="auto"/>
              <w:left w:val="nil"/>
              <w:bottom w:val="single" w:sz="4" w:space="0" w:color="auto"/>
              <w:right w:val="nil"/>
            </w:tcBorders>
            <w:shd w:val="clear" w:color="auto" w:fill="auto"/>
            <w:vAlign w:val="bottom"/>
          </w:tcPr>
          <w:p w:rsidR="00C67E97" w:rsidRPr="001D27CC" w:rsidRDefault="001D27CC" w:rsidP="00A867DE">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pPr>
            <w:r w:rsidRPr="001D27CC">
              <w:t>3,984</w:t>
            </w:r>
          </w:p>
        </w:tc>
        <w:tc>
          <w:tcPr>
            <w:tcW w:w="1361" w:type="dxa"/>
            <w:tcBorders>
              <w:top w:val="single" w:sz="4" w:space="0" w:color="auto"/>
              <w:left w:val="nil"/>
              <w:bottom w:val="single" w:sz="4" w:space="0" w:color="auto"/>
              <w:right w:val="nil"/>
            </w:tcBorders>
            <w:shd w:val="clear" w:color="auto" w:fill="auto"/>
            <w:vAlign w:val="bottom"/>
          </w:tcPr>
          <w:p w:rsidR="00C67E97" w:rsidRPr="001D27CC" w:rsidRDefault="001D27CC" w:rsidP="00A867DE">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pPr>
            <w:r w:rsidRPr="001D27CC">
              <w:t>3,999</w:t>
            </w:r>
          </w:p>
        </w:tc>
      </w:tr>
    </w:tbl>
    <w:p w:rsidR="00C67E97" w:rsidRPr="00D325FA" w:rsidRDefault="00C67E97" w:rsidP="00435303">
      <w:pPr>
        <w:pStyle w:val="Heading4"/>
        <w:spacing w:before="120"/>
      </w:pPr>
      <w:r w:rsidRPr="00D325FA">
        <w:t>Output Description</w:t>
      </w:r>
    </w:p>
    <w:p w:rsidR="00C67E97" w:rsidRPr="00D325FA" w:rsidRDefault="00C67E97" w:rsidP="000955EE">
      <w:pPr>
        <w:pStyle w:val="BodyText"/>
        <w:spacing w:after="240"/>
      </w:pPr>
      <w:proofErr w:type="gramStart"/>
      <w:r w:rsidRPr="00D325FA">
        <w:t>Provision of high quality and timely legislative drafting and publishing services for ACT legislation and maintenance of the ACT legislation register.</w:t>
      </w:r>
      <w:proofErr w:type="gramEnd"/>
    </w:p>
    <w:tbl>
      <w:tblPr>
        <w:tblW w:w="9100" w:type="dxa"/>
        <w:tblLayout w:type="fixed"/>
        <w:tblLook w:val="0000"/>
      </w:tblPr>
      <w:tblGrid>
        <w:gridCol w:w="3579"/>
        <w:gridCol w:w="1381"/>
        <w:gridCol w:w="1380"/>
        <w:gridCol w:w="1380"/>
        <w:gridCol w:w="1380"/>
      </w:tblGrid>
      <w:tr w:rsidR="00C67E97" w:rsidTr="009D59D6">
        <w:tc>
          <w:tcPr>
            <w:tcW w:w="3579" w:type="dxa"/>
            <w:tcBorders>
              <w:top w:val="single" w:sz="4" w:space="0" w:color="auto"/>
              <w:left w:val="nil"/>
              <w:bottom w:val="nil"/>
              <w:right w:val="nil"/>
            </w:tcBorders>
          </w:tcPr>
          <w:p w:rsidR="00C67E97" w:rsidRDefault="00C67E97" w:rsidP="00A867DE">
            <w:pPr>
              <w:pStyle w:val="Heading2"/>
              <w:keepNext w:val="0"/>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0"/>
              <w:ind w:left="357"/>
              <w:jc w:val="right"/>
              <w:rPr>
                <w:b w:val="0"/>
                <w:bCs/>
                <w:i/>
                <w:iCs/>
              </w:rPr>
            </w:pPr>
          </w:p>
        </w:tc>
        <w:tc>
          <w:tcPr>
            <w:tcW w:w="2761" w:type="dxa"/>
            <w:gridSpan w:val="2"/>
            <w:tcBorders>
              <w:top w:val="single" w:sz="4" w:space="0" w:color="auto"/>
              <w:left w:val="nil"/>
              <w:bottom w:val="single" w:sz="4" w:space="0" w:color="auto"/>
              <w:right w:val="nil"/>
            </w:tcBorders>
          </w:tcPr>
          <w:p w:rsidR="00C67E97" w:rsidRDefault="00C67E97" w:rsidP="00A867DE">
            <w:pPr>
              <w:pStyle w:val="TableHeadingCentre"/>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pPr>
            <w:r>
              <w:t>Total Cost</w:t>
            </w:r>
          </w:p>
        </w:tc>
        <w:tc>
          <w:tcPr>
            <w:tcW w:w="2760" w:type="dxa"/>
            <w:gridSpan w:val="2"/>
            <w:tcBorders>
              <w:top w:val="single" w:sz="4" w:space="0" w:color="auto"/>
              <w:left w:val="nil"/>
              <w:bottom w:val="single" w:sz="4" w:space="0" w:color="auto"/>
              <w:right w:val="nil"/>
            </w:tcBorders>
          </w:tcPr>
          <w:p w:rsidR="00C67E97" w:rsidRDefault="00C67E97" w:rsidP="00A867DE">
            <w:pPr>
              <w:pStyle w:val="TableHeadingCentre"/>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pPr>
            <w:r>
              <w:t>Government Payment for Outputs</w:t>
            </w:r>
          </w:p>
        </w:tc>
      </w:tr>
      <w:tr w:rsidR="00C67E97" w:rsidTr="009D59D6">
        <w:tc>
          <w:tcPr>
            <w:tcW w:w="3579" w:type="dxa"/>
            <w:tcBorders>
              <w:top w:val="nil"/>
              <w:left w:val="nil"/>
              <w:bottom w:val="single" w:sz="4" w:space="0" w:color="auto"/>
              <w:right w:val="nil"/>
            </w:tcBorders>
          </w:tcPr>
          <w:p w:rsidR="00C67E97" w:rsidRDefault="00C67E97" w:rsidP="00A867DE">
            <w:pPr>
              <w:pStyle w:val="SinglePar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p>
        </w:tc>
        <w:tc>
          <w:tcPr>
            <w:tcW w:w="1381" w:type="dxa"/>
            <w:tcBorders>
              <w:top w:val="single" w:sz="4" w:space="0" w:color="auto"/>
              <w:left w:val="nil"/>
              <w:bottom w:val="single" w:sz="4" w:space="0" w:color="auto"/>
              <w:right w:val="nil"/>
            </w:tcBorders>
          </w:tcPr>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2012</w:t>
            </w:r>
            <w:r w:rsidRPr="007D7E5E">
              <w:noBreakHyphen/>
              <w:t>13</w:t>
            </w:r>
            <w:r w:rsidRPr="007D7E5E">
              <w:br/>
              <w:t>Est. Outcome</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c>
          <w:tcPr>
            <w:tcW w:w="1380" w:type="dxa"/>
            <w:tcBorders>
              <w:top w:val="single" w:sz="4" w:space="0" w:color="auto"/>
              <w:left w:val="nil"/>
              <w:bottom w:val="single" w:sz="4" w:space="0" w:color="auto"/>
              <w:right w:val="nil"/>
            </w:tcBorders>
          </w:tcPr>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w:t>
            </w:r>
            <w:r>
              <w:t>3</w:t>
            </w:r>
            <w:r w:rsidRPr="007D7E5E">
              <w:noBreakHyphen/>
              <w:t>1</w:t>
            </w:r>
            <w:r>
              <w:t>4</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Budget</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c>
          <w:tcPr>
            <w:tcW w:w="1380" w:type="dxa"/>
            <w:tcBorders>
              <w:top w:val="single" w:sz="4" w:space="0" w:color="auto"/>
              <w:left w:val="nil"/>
              <w:bottom w:val="single" w:sz="4" w:space="0" w:color="auto"/>
              <w:right w:val="nil"/>
            </w:tcBorders>
          </w:tcPr>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2012</w:t>
            </w:r>
            <w:r w:rsidRPr="007D7E5E">
              <w:noBreakHyphen/>
              <w:t>13</w:t>
            </w:r>
            <w:r w:rsidRPr="007D7E5E">
              <w:br/>
              <w:t>Est. Outcome</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c>
          <w:tcPr>
            <w:tcW w:w="1380" w:type="dxa"/>
            <w:tcBorders>
              <w:top w:val="single" w:sz="4" w:space="0" w:color="auto"/>
              <w:left w:val="nil"/>
              <w:bottom w:val="single" w:sz="4" w:space="0" w:color="auto"/>
              <w:right w:val="nil"/>
            </w:tcBorders>
          </w:tcPr>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w:t>
            </w:r>
            <w:r>
              <w:t>3</w:t>
            </w:r>
            <w:r w:rsidRPr="007D7E5E">
              <w:noBreakHyphen/>
              <w:t>1</w:t>
            </w:r>
            <w:r>
              <w:t>4</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Budget</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r>
      <w:tr w:rsidR="009D59D6" w:rsidTr="009D59D6">
        <w:tc>
          <w:tcPr>
            <w:tcW w:w="3579" w:type="dxa"/>
            <w:tcBorders>
              <w:top w:val="single" w:sz="4" w:space="0" w:color="auto"/>
              <w:left w:val="nil"/>
              <w:bottom w:val="single" w:sz="4" w:space="0" w:color="auto"/>
              <w:right w:val="nil"/>
            </w:tcBorders>
            <w:vAlign w:val="center"/>
          </w:tcPr>
          <w:p w:rsidR="009D59D6" w:rsidRDefault="009D59D6" w:rsidP="00A867DE">
            <w:pPr>
              <w:pStyle w:val="Heading7"/>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rPr>
                <w:color w:val="000000"/>
              </w:rPr>
            </w:pPr>
            <w:r>
              <w:rPr>
                <w:color w:val="000000"/>
              </w:rPr>
              <w:t xml:space="preserve">Output 1.4:  Public Prosecutions </w:t>
            </w:r>
          </w:p>
        </w:tc>
        <w:tc>
          <w:tcPr>
            <w:tcW w:w="1381" w:type="dxa"/>
            <w:tcBorders>
              <w:top w:val="single" w:sz="4" w:space="0" w:color="auto"/>
              <w:left w:val="nil"/>
              <w:bottom w:val="single" w:sz="4" w:space="0" w:color="auto"/>
              <w:right w:val="nil"/>
            </w:tcBorders>
            <w:shd w:val="clear" w:color="auto" w:fill="auto"/>
            <w:vAlign w:val="center"/>
          </w:tcPr>
          <w:p w:rsidR="009D59D6" w:rsidRPr="001D27CC" w:rsidRDefault="001D27CC" w:rsidP="00A867DE">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pPr>
            <w:r w:rsidRPr="001D27CC">
              <w:t>10,254</w:t>
            </w:r>
          </w:p>
        </w:tc>
        <w:tc>
          <w:tcPr>
            <w:tcW w:w="1380" w:type="dxa"/>
            <w:tcBorders>
              <w:top w:val="single" w:sz="4" w:space="0" w:color="auto"/>
              <w:left w:val="nil"/>
              <w:bottom w:val="single" w:sz="4" w:space="0" w:color="auto"/>
              <w:right w:val="nil"/>
            </w:tcBorders>
            <w:shd w:val="clear" w:color="auto" w:fill="auto"/>
            <w:vAlign w:val="center"/>
          </w:tcPr>
          <w:p w:rsidR="009D59D6" w:rsidRPr="001D27CC" w:rsidRDefault="001D27CC" w:rsidP="00A867DE">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pPr>
            <w:r w:rsidRPr="001D27CC">
              <w:t>10,132</w:t>
            </w:r>
          </w:p>
        </w:tc>
        <w:tc>
          <w:tcPr>
            <w:tcW w:w="1380" w:type="dxa"/>
            <w:tcBorders>
              <w:top w:val="single" w:sz="4" w:space="0" w:color="auto"/>
              <w:left w:val="nil"/>
              <w:bottom w:val="single" w:sz="4" w:space="0" w:color="auto"/>
              <w:right w:val="nil"/>
            </w:tcBorders>
            <w:shd w:val="clear" w:color="auto" w:fill="auto"/>
            <w:vAlign w:val="center"/>
          </w:tcPr>
          <w:p w:rsidR="009D59D6" w:rsidRPr="001D27CC" w:rsidRDefault="001D27CC" w:rsidP="00A867DE">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pPr>
            <w:r w:rsidRPr="001D27CC">
              <w:t>9,898</w:t>
            </w:r>
          </w:p>
        </w:tc>
        <w:tc>
          <w:tcPr>
            <w:tcW w:w="1380" w:type="dxa"/>
            <w:tcBorders>
              <w:top w:val="single" w:sz="4" w:space="0" w:color="auto"/>
              <w:left w:val="nil"/>
              <w:bottom w:val="single" w:sz="4" w:space="0" w:color="auto"/>
              <w:right w:val="nil"/>
            </w:tcBorders>
            <w:shd w:val="clear" w:color="auto" w:fill="auto"/>
            <w:vAlign w:val="center"/>
          </w:tcPr>
          <w:p w:rsidR="009D59D6" w:rsidRPr="001D27CC" w:rsidRDefault="001D27CC" w:rsidP="00A867DE">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pPr>
            <w:r w:rsidRPr="001D27CC">
              <w:t>9,788</w:t>
            </w:r>
          </w:p>
        </w:tc>
      </w:tr>
    </w:tbl>
    <w:p w:rsidR="00BA5F01" w:rsidRDefault="00BA5F01" w:rsidP="00BA5F01">
      <w:pPr>
        <w:pStyle w:val="Heading3TopofPage"/>
      </w:pPr>
      <w:proofErr w:type="gramStart"/>
      <w:r>
        <w:lastRenderedPageBreak/>
        <w:t>Output Classes cont.</w:t>
      </w:r>
      <w:proofErr w:type="gramEnd"/>
    </w:p>
    <w:p w:rsidR="00C67E97" w:rsidRPr="00D325FA" w:rsidRDefault="00C67E97" w:rsidP="00435303">
      <w:pPr>
        <w:pStyle w:val="Heading4"/>
        <w:spacing w:before="120"/>
      </w:pPr>
      <w:r w:rsidRPr="00D325FA">
        <w:t>Output Description</w:t>
      </w:r>
    </w:p>
    <w:p w:rsidR="00C67E97" w:rsidRPr="00D325FA" w:rsidRDefault="00C67E97" w:rsidP="000955EE">
      <w:pPr>
        <w:pStyle w:val="BodyText"/>
        <w:spacing w:after="240"/>
      </w:pPr>
      <w:proofErr w:type="gramStart"/>
      <w:r w:rsidRPr="00D325FA">
        <w:t>Prosecution of summary and indictable matters, at first instance and on appeal, provision of assistance to the Coroner, and provision of witness assistance services.</w:t>
      </w:r>
      <w:proofErr w:type="gramEnd"/>
    </w:p>
    <w:tbl>
      <w:tblPr>
        <w:tblW w:w="9100" w:type="dxa"/>
        <w:tblLayout w:type="fixed"/>
        <w:tblLook w:val="0000"/>
      </w:tblPr>
      <w:tblGrid>
        <w:gridCol w:w="3579"/>
        <w:gridCol w:w="1381"/>
        <w:gridCol w:w="1380"/>
        <w:gridCol w:w="1380"/>
        <w:gridCol w:w="1380"/>
      </w:tblGrid>
      <w:tr w:rsidR="00C67E97" w:rsidTr="009D59D6">
        <w:tc>
          <w:tcPr>
            <w:tcW w:w="3579" w:type="dxa"/>
            <w:tcBorders>
              <w:top w:val="single" w:sz="4" w:space="0" w:color="auto"/>
              <w:left w:val="nil"/>
              <w:bottom w:val="nil"/>
              <w:right w:val="nil"/>
            </w:tcBorders>
          </w:tcPr>
          <w:p w:rsidR="00C67E97" w:rsidRDefault="00C67E97" w:rsidP="00A867DE">
            <w:pPr>
              <w:pStyle w:val="Heading2"/>
              <w:keepNext w:val="0"/>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0"/>
              <w:ind w:left="357"/>
              <w:jc w:val="right"/>
              <w:rPr>
                <w:b w:val="0"/>
                <w:bCs/>
                <w:i/>
                <w:iCs/>
              </w:rPr>
            </w:pPr>
          </w:p>
        </w:tc>
        <w:tc>
          <w:tcPr>
            <w:tcW w:w="2761" w:type="dxa"/>
            <w:gridSpan w:val="2"/>
            <w:tcBorders>
              <w:top w:val="single" w:sz="4" w:space="0" w:color="auto"/>
              <w:left w:val="nil"/>
              <w:bottom w:val="single" w:sz="4" w:space="0" w:color="auto"/>
              <w:right w:val="nil"/>
            </w:tcBorders>
          </w:tcPr>
          <w:p w:rsidR="00C67E97" w:rsidRDefault="00C67E97" w:rsidP="00A867DE">
            <w:pPr>
              <w:pStyle w:val="TableHeadingCentre"/>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pPr>
            <w:r>
              <w:t>Total Cost</w:t>
            </w:r>
          </w:p>
        </w:tc>
        <w:tc>
          <w:tcPr>
            <w:tcW w:w="2760" w:type="dxa"/>
            <w:gridSpan w:val="2"/>
            <w:tcBorders>
              <w:top w:val="single" w:sz="4" w:space="0" w:color="auto"/>
              <w:left w:val="nil"/>
              <w:bottom w:val="single" w:sz="4" w:space="0" w:color="auto"/>
              <w:right w:val="nil"/>
            </w:tcBorders>
          </w:tcPr>
          <w:p w:rsidR="00C67E97" w:rsidRDefault="00C67E97" w:rsidP="00A867DE">
            <w:pPr>
              <w:pStyle w:val="TableHeadingCentre"/>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pPr>
            <w:r>
              <w:t>Government Payment for Outputs</w:t>
            </w:r>
          </w:p>
        </w:tc>
      </w:tr>
      <w:tr w:rsidR="00C67E97" w:rsidTr="009D59D6">
        <w:tc>
          <w:tcPr>
            <w:tcW w:w="3579" w:type="dxa"/>
            <w:tcBorders>
              <w:top w:val="nil"/>
              <w:left w:val="nil"/>
              <w:bottom w:val="single" w:sz="4" w:space="0" w:color="auto"/>
              <w:right w:val="nil"/>
            </w:tcBorders>
          </w:tcPr>
          <w:p w:rsidR="00C67E97" w:rsidRDefault="00C67E97" w:rsidP="00A867DE">
            <w:pPr>
              <w:pStyle w:val="SinglePar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p>
        </w:tc>
        <w:tc>
          <w:tcPr>
            <w:tcW w:w="1381" w:type="dxa"/>
            <w:tcBorders>
              <w:top w:val="single" w:sz="4" w:space="0" w:color="auto"/>
              <w:left w:val="nil"/>
              <w:bottom w:val="single" w:sz="4" w:space="0" w:color="auto"/>
              <w:right w:val="nil"/>
            </w:tcBorders>
          </w:tcPr>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2012</w:t>
            </w:r>
            <w:r w:rsidRPr="007D7E5E">
              <w:noBreakHyphen/>
              <w:t>13</w:t>
            </w:r>
            <w:r w:rsidRPr="007D7E5E">
              <w:br/>
              <w:t>Est. Outcome</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c>
          <w:tcPr>
            <w:tcW w:w="1380" w:type="dxa"/>
            <w:tcBorders>
              <w:top w:val="single" w:sz="4" w:space="0" w:color="auto"/>
              <w:left w:val="nil"/>
              <w:bottom w:val="single" w:sz="4" w:space="0" w:color="auto"/>
              <w:right w:val="nil"/>
            </w:tcBorders>
          </w:tcPr>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w:t>
            </w:r>
            <w:r>
              <w:t>3</w:t>
            </w:r>
            <w:r w:rsidRPr="007D7E5E">
              <w:noBreakHyphen/>
              <w:t>1</w:t>
            </w:r>
            <w:r>
              <w:t>4</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Budget</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c>
          <w:tcPr>
            <w:tcW w:w="1380" w:type="dxa"/>
            <w:tcBorders>
              <w:top w:val="single" w:sz="4" w:space="0" w:color="auto"/>
              <w:left w:val="nil"/>
              <w:bottom w:val="single" w:sz="4" w:space="0" w:color="auto"/>
              <w:right w:val="nil"/>
            </w:tcBorders>
          </w:tcPr>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2012</w:t>
            </w:r>
            <w:r w:rsidRPr="007D7E5E">
              <w:noBreakHyphen/>
              <w:t>13</w:t>
            </w:r>
            <w:r w:rsidRPr="007D7E5E">
              <w:br/>
              <w:t>Est. Outcome</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c>
          <w:tcPr>
            <w:tcW w:w="1380" w:type="dxa"/>
            <w:tcBorders>
              <w:top w:val="single" w:sz="4" w:space="0" w:color="auto"/>
              <w:left w:val="nil"/>
              <w:bottom w:val="single" w:sz="4" w:space="0" w:color="auto"/>
              <w:right w:val="nil"/>
            </w:tcBorders>
          </w:tcPr>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w:t>
            </w:r>
            <w:r>
              <w:t>3</w:t>
            </w:r>
            <w:r w:rsidRPr="007D7E5E">
              <w:noBreakHyphen/>
              <w:t>1</w:t>
            </w:r>
            <w:r>
              <w:t>4</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Budget</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r>
      <w:tr w:rsidR="009D59D6" w:rsidTr="009D59D6">
        <w:tc>
          <w:tcPr>
            <w:tcW w:w="3579" w:type="dxa"/>
            <w:tcBorders>
              <w:top w:val="single" w:sz="4" w:space="0" w:color="auto"/>
              <w:left w:val="nil"/>
              <w:bottom w:val="single" w:sz="4" w:space="0" w:color="auto"/>
              <w:right w:val="nil"/>
            </w:tcBorders>
            <w:vAlign w:val="center"/>
          </w:tcPr>
          <w:p w:rsidR="009D59D6" w:rsidRDefault="009D59D6" w:rsidP="00A867DE">
            <w:pPr>
              <w:pStyle w:val="Heading7"/>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rPr>
                <w:color w:val="000000"/>
              </w:rPr>
            </w:pPr>
            <w:r>
              <w:rPr>
                <w:color w:val="000000"/>
              </w:rPr>
              <w:t xml:space="preserve">Output 1.5:  Protection of Rights </w:t>
            </w:r>
          </w:p>
        </w:tc>
        <w:tc>
          <w:tcPr>
            <w:tcW w:w="1381" w:type="dxa"/>
            <w:tcBorders>
              <w:top w:val="single" w:sz="4" w:space="0" w:color="auto"/>
              <w:left w:val="nil"/>
              <w:bottom w:val="single" w:sz="4" w:space="0" w:color="auto"/>
              <w:right w:val="nil"/>
            </w:tcBorders>
            <w:shd w:val="clear" w:color="auto" w:fill="auto"/>
            <w:vAlign w:val="center"/>
          </w:tcPr>
          <w:p w:rsidR="009D59D6" w:rsidRPr="001D27CC" w:rsidRDefault="001D27CC" w:rsidP="00A867DE">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pPr>
            <w:r w:rsidRPr="001D27CC">
              <w:t>8,072</w:t>
            </w:r>
          </w:p>
        </w:tc>
        <w:tc>
          <w:tcPr>
            <w:tcW w:w="1380" w:type="dxa"/>
            <w:tcBorders>
              <w:top w:val="single" w:sz="4" w:space="0" w:color="auto"/>
              <w:left w:val="nil"/>
              <w:bottom w:val="single" w:sz="4" w:space="0" w:color="auto"/>
              <w:right w:val="nil"/>
            </w:tcBorders>
            <w:shd w:val="clear" w:color="auto" w:fill="auto"/>
            <w:vAlign w:val="center"/>
          </w:tcPr>
          <w:p w:rsidR="009D59D6" w:rsidRPr="001D27CC" w:rsidRDefault="001D27CC" w:rsidP="00A867DE">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pPr>
            <w:r w:rsidRPr="001D27CC">
              <w:t>8,557</w:t>
            </w:r>
          </w:p>
        </w:tc>
        <w:tc>
          <w:tcPr>
            <w:tcW w:w="1380" w:type="dxa"/>
            <w:tcBorders>
              <w:top w:val="single" w:sz="4" w:space="0" w:color="auto"/>
              <w:left w:val="nil"/>
              <w:bottom w:val="single" w:sz="4" w:space="0" w:color="auto"/>
              <w:right w:val="nil"/>
            </w:tcBorders>
            <w:shd w:val="clear" w:color="auto" w:fill="auto"/>
            <w:vAlign w:val="center"/>
          </w:tcPr>
          <w:p w:rsidR="009D59D6" w:rsidRPr="001D27CC" w:rsidRDefault="001D27CC" w:rsidP="00A867DE">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pPr>
            <w:r w:rsidRPr="001D27CC">
              <w:t>7,980</w:t>
            </w:r>
          </w:p>
        </w:tc>
        <w:tc>
          <w:tcPr>
            <w:tcW w:w="1380" w:type="dxa"/>
            <w:tcBorders>
              <w:top w:val="single" w:sz="4" w:space="0" w:color="auto"/>
              <w:left w:val="nil"/>
              <w:bottom w:val="single" w:sz="4" w:space="0" w:color="auto"/>
              <w:right w:val="nil"/>
            </w:tcBorders>
            <w:shd w:val="clear" w:color="auto" w:fill="auto"/>
            <w:vAlign w:val="center"/>
          </w:tcPr>
          <w:p w:rsidR="009D59D6" w:rsidRPr="001D27CC" w:rsidRDefault="001D27CC" w:rsidP="00A867DE">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pPr>
            <w:r w:rsidRPr="001D27CC">
              <w:t>8,294</w:t>
            </w:r>
          </w:p>
        </w:tc>
      </w:tr>
    </w:tbl>
    <w:p w:rsidR="00C67E97" w:rsidRPr="00281632" w:rsidRDefault="00C67E97" w:rsidP="00435303">
      <w:pPr>
        <w:pStyle w:val="Heading4"/>
        <w:spacing w:before="120"/>
      </w:pPr>
      <w:r w:rsidRPr="00281632">
        <w:t>Output Description</w:t>
      </w:r>
    </w:p>
    <w:p w:rsidR="00A867DE" w:rsidRDefault="00C67E97" w:rsidP="000955EE">
      <w:pPr>
        <w:pStyle w:val="BodyText"/>
        <w:keepNext w:val="0"/>
        <w:spacing w:after="240"/>
      </w:pPr>
      <w:proofErr w:type="gramStart"/>
      <w:r w:rsidRPr="00D325FA">
        <w:t>Provision of advocacy, complaints-handling, advice, community awareness raising and other services in connection with the promotion and protection of rights especially for vulnerable members of society, through services provided by the ACT Human Rights Commission, the Public Advocate of the ACT and Victim Support ACT.</w:t>
      </w:r>
      <w:proofErr w:type="gramEnd"/>
      <w:r w:rsidRPr="00D325FA">
        <w:t xml:space="preserve">  This output also includes services provided by the Privacy Commissioner.</w:t>
      </w:r>
    </w:p>
    <w:tbl>
      <w:tblPr>
        <w:tblW w:w="9100" w:type="dxa"/>
        <w:tblLayout w:type="fixed"/>
        <w:tblLook w:val="0000"/>
      </w:tblPr>
      <w:tblGrid>
        <w:gridCol w:w="3540"/>
        <w:gridCol w:w="1366"/>
        <w:gridCol w:w="1366"/>
        <w:gridCol w:w="1366"/>
        <w:gridCol w:w="1462"/>
      </w:tblGrid>
      <w:tr w:rsidR="00C67E97" w:rsidTr="00A867DE">
        <w:tc>
          <w:tcPr>
            <w:tcW w:w="3540" w:type="dxa"/>
            <w:tcBorders>
              <w:top w:val="single" w:sz="4" w:space="0" w:color="auto"/>
              <w:left w:val="nil"/>
              <w:bottom w:val="nil"/>
              <w:right w:val="nil"/>
            </w:tcBorders>
          </w:tcPr>
          <w:p w:rsidR="00C67E97" w:rsidRDefault="00C67E97" w:rsidP="00A867DE">
            <w:pPr>
              <w:pStyle w:val="Heading2"/>
              <w:keepNext w:val="0"/>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0"/>
              <w:ind w:left="357"/>
              <w:jc w:val="right"/>
              <w:rPr>
                <w:b w:val="0"/>
                <w:bCs/>
                <w:i/>
                <w:iCs/>
              </w:rPr>
            </w:pPr>
          </w:p>
        </w:tc>
        <w:tc>
          <w:tcPr>
            <w:tcW w:w="2732" w:type="dxa"/>
            <w:gridSpan w:val="2"/>
            <w:tcBorders>
              <w:top w:val="single" w:sz="4" w:space="0" w:color="auto"/>
              <w:left w:val="nil"/>
              <w:bottom w:val="single" w:sz="4" w:space="0" w:color="auto"/>
              <w:right w:val="nil"/>
            </w:tcBorders>
          </w:tcPr>
          <w:p w:rsidR="00C67E97" w:rsidRDefault="00C67E97" w:rsidP="00A867DE">
            <w:pPr>
              <w:pStyle w:val="TableHeadingCentre"/>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pPr>
            <w:r>
              <w:t>Total Cost</w:t>
            </w:r>
          </w:p>
        </w:tc>
        <w:tc>
          <w:tcPr>
            <w:tcW w:w="2828" w:type="dxa"/>
            <w:gridSpan w:val="2"/>
            <w:tcBorders>
              <w:top w:val="single" w:sz="4" w:space="0" w:color="auto"/>
              <w:left w:val="nil"/>
              <w:bottom w:val="single" w:sz="4" w:space="0" w:color="auto"/>
              <w:right w:val="nil"/>
            </w:tcBorders>
          </w:tcPr>
          <w:p w:rsidR="00C67E97" w:rsidRDefault="00C67E97" w:rsidP="00A867DE">
            <w:pPr>
              <w:pStyle w:val="TableHeadingCentre"/>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pPr>
            <w:r>
              <w:t>Government Payment for Outputs</w:t>
            </w:r>
          </w:p>
        </w:tc>
      </w:tr>
      <w:tr w:rsidR="00C67E97" w:rsidTr="00A867DE">
        <w:tc>
          <w:tcPr>
            <w:tcW w:w="3540" w:type="dxa"/>
            <w:tcBorders>
              <w:top w:val="nil"/>
              <w:left w:val="nil"/>
              <w:bottom w:val="single" w:sz="4" w:space="0" w:color="auto"/>
              <w:right w:val="nil"/>
            </w:tcBorders>
          </w:tcPr>
          <w:p w:rsidR="00C67E97" w:rsidRDefault="00C67E97" w:rsidP="00A867DE">
            <w:pPr>
              <w:pStyle w:val="SinglePar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p>
        </w:tc>
        <w:tc>
          <w:tcPr>
            <w:tcW w:w="1366" w:type="dxa"/>
            <w:tcBorders>
              <w:top w:val="single" w:sz="4" w:space="0" w:color="auto"/>
              <w:left w:val="nil"/>
              <w:bottom w:val="single" w:sz="4" w:space="0" w:color="auto"/>
              <w:right w:val="nil"/>
            </w:tcBorders>
          </w:tcPr>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2012</w:t>
            </w:r>
            <w:r w:rsidRPr="007D7E5E">
              <w:noBreakHyphen/>
              <w:t>13</w:t>
            </w:r>
            <w:r w:rsidRPr="007D7E5E">
              <w:br/>
              <w:t>Est. Outcome</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c>
          <w:tcPr>
            <w:tcW w:w="1366" w:type="dxa"/>
            <w:tcBorders>
              <w:top w:val="single" w:sz="4" w:space="0" w:color="auto"/>
              <w:left w:val="nil"/>
              <w:bottom w:val="single" w:sz="4" w:space="0" w:color="auto"/>
              <w:right w:val="nil"/>
            </w:tcBorders>
          </w:tcPr>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w:t>
            </w:r>
            <w:r>
              <w:t>3</w:t>
            </w:r>
            <w:r w:rsidRPr="007D7E5E">
              <w:noBreakHyphen/>
              <w:t>1</w:t>
            </w:r>
            <w:r>
              <w:t>4</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Budget</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c>
          <w:tcPr>
            <w:tcW w:w="1366" w:type="dxa"/>
            <w:tcBorders>
              <w:top w:val="single" w:sz="4" w:space="0" w:color="auto"/>
              <w:left w:val="nil"/>
              <w:bottom w:val="single" w:sz="4" w:space="0" w:color="auto"/>
              <w:right w:val="nil"/>
            </w:tcBorders>
          </w:tcPr>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2012</w:t>
            </w:r>
            <w:r w:rsidRPr="007D7E5E">
              <w:noBreakHyphen/>
              <w:t>13</w:t>
            </w:r>
            <w:r w:rsidRPr="007D7E5E">
              <w:br/>
              <w:t>Est. Outcome</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c>
          <w:tcPr>
            <w:tcW w:w="1462" w:type="dxa"/>
            <w:tcBorders>
              <w:top w:val="single" w:sz="4" w:space="0" w:color="auto"/>
              <w:left w:val="nil"/>
              <w:bottom w:val="single" w:sz="4" w:space="0" w:color="auto"/>
              <w:right w:val="nil"/>
            </w:tcBorders>
          </w:tcPr>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w:t>
            </w:r>
            <w:r>
              <w:t>3</w:t>
            </w:r>
            <w:r w:rsidRPr="007D7E5E">
              <w:noBreakHyphen/>
              <w:t>1</w:t>
            </w:r>
            <w:r>
              <w:t>4</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Budget</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r>
      <w:tr w:rsidR="00C67E97" w:rsidTr="00A867DE">
        <w:tc>
          <w:tcPr>
            <w:tcW w:w="3540" w:type="dxa"/>
            <w:tcBorders>
              <w:top w:val="single" w:sz="4" w:space="0" w:color="auto"/>
              <w:left w:val="nil"/>
              <w:bottom w:val="single" w:sz="4" w:space="0" w:color="auto"/>
              <w:right w:val="nil"/>
            </w:tcBorders>
            <w:vAlign w:val="center"/>
          </w:tcPr>
          <w:p w:rsidR="00C67E97" w:rsidRDefault="00C67E97" w:rsidP="00A867DE">
            <w:pPr>
              <w:pStyle w:val="Heading7"/>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rPr>
                <w:color w:val="000000"/>
              </w:rPr>
            </w:pPr>
            <w:r>
              <w:rPr>
                <w:color w:val="000000"/>
              </w:rPr>
              <w:t xml:space="preserve">Output 1.6:  Electoral Services </w:t>
            </w:r>
          </w:p>
        </w:tc>
        <w:tc>
          <w:tcPr>
            <w:tcW w:w="1366" w:type="dxa"/>
            <w:tcBorders>
              <w:top w:val="single" w:sz="4" w:space="0" w:color="auto"/>
              <w:left w:val="nil"/>
              <w:bottom w:val="single" w:sz="4" w:space="0" w:color="auto"/>
              <w:right w:val="nil"/>
            </w:tcBorders>
            <w:shd w:val="clear" w:color="auto" w:fill="auto"/>
            <w:vAlign w:val="center"/>
          </w:tcPr>
          <w:p w:rsidR="00C67E97" w:rsidRPr="000F47FA" w:rsidRDefault="00A60F00" w:rsidP="00A867DE">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pPr>
            <w:r>
              <w:t>4,917</w:t>
            </w:r>
          </w:p>
        </w:tc>
        <w:tc>
          <w:tcPr>
            <w:tcW w:w="1366" w:type="dxa"/>
            <w:tcBorders>
              <w:top w:val="single" w:sz="4" w:space="0" w:color="auto"/>
              <w:left w:val="nil"/>
              <w:bottom w:val="single" w:sz="4" w:space="0" w:color="auto"/>
              <w:right w:val="nil"/>
            </w:tcBorders>
            <w:shd w:val="clear" w:color="auto" w:fill="auto"/>
            <w:vAlign w:val="center"/>
          </w:tcPr>
          <w:p w:rsidR="00C67E97" w:rsidRPr="00A60F00" w:rsidRDefault="00A60F00" w:rsidP="00A867DE">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pPr>
            <w:r w:rsidRPr="00A60F00">
              <w:t>2,971</w:t>
            </w:r>
          </w:p>
        </w:tc>
        <w:tc>
          <w:tcPr>
            <w:tcW w:w="1366" w:type="dxa"/>
            <w:tcBorders>
              <w:top w:val="single" w:sz="4" w:space="0" w:color="auto"/>
              <w:left w:val="nil"/>
              <w:bottom w:val="single" w:sz="4" w:space="0" w:color="auto"/>
              <w:right w:val="nil"/>
            </w:tcBorders>
            <w:shd w:val="clear" w:color="auto" w:fill="auto"/>
            <w:vAlign w:val="center"/>
          </w:tcPr>
          <w:p w:rsidR="00C67E97" w:rsidRPr="00A60F00" w:rsidRDefault="00A60F00" w:rsidP="00A867DE">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pPr>
            <w:r w:rsidRPr="00A60F00">
              <w:t>4,592</w:t>
            </w:r>
          </w:p>
        </w:tc>
        <w:tc>
          <w:tcPr>
            <w:tcW w:w="1462" w:type="dxa"/>
            <w:tcBorders>
              <w:top w:val="single" w:sz="4" w:space="0" w:color="auto"/>
              <w:left w:val="nil"/>
              <w:bottom w:val="single" w:sz="4" w:space="0" w:color="auto"/>
              <w:right w:val="nil"/>
            </w:tcBorders>
            <w:shd w:val="clear" w:color="auto" w:fill="auto"/>
            <w:vAlign w:val="center"/>
          </w:tcPr>
          <w:p w:rsidR="00C67E97" w:rsidRPr="00A60F00" w:rsidRDefault="00A60F00" w:rsidP="00A867DE">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pPr>
            <w:r w:rsidRPr="00A60F00">
              <w:t>2,639</w:t>
            </w:r>
          </w:p>
        </w:tc>
      </w:tr>
    </w:tbl>
    <w:p w:rsidR="00C67E97" w:rsidRPr="00D325FA" w:rsidRDefault="00C67E97" w:rsidP="00435303">
      <w:pPr>
        <w:pStyle w:val="Heading4"/>
        <w:spacing w:before="120"/>
      </w:pPr>
      <w:r w:rsidRPr="00D325FA">
        <w:t>Output Description</w:t>
      </w:r>
    </w:p>
    <w:p w:rsidR="00C67E97" w:rsidRDefault="00C67E97" w:rsidP="002642B8">
      <w:pPr>
        <w:pStyle w:val="BodyText"/>
        <w:spacing w:after="240"/>
      </w:pPr>
      <w:r w:rsidRPr="00004EA2">
        <w:t>Conduct of elections and referenda and the maintenance of the ACT electoral roll.</w:t>
      </w:r>
    </w:p>
    <w:tbl>
      <w:tblPr>
        <w:tblW w:w="9100" w:type="dxa"/>
        <w:tblLayout w:type="fixed"/>
        <w:tblLook w:val="0000"/>
      </w:tblPr>
      <w:tblGrid>
        <w:gridCol w:w="3579"/>
        <w:gridCol w:w="1381"/>
        <w:gridCol w:w="1380"/>
        <w:gridCol w:w="1380"/>
        <w:gridCol w:w="1380"/>
      </w:tblGrid>
      <w:tr w:rsidR="00C67E97" w:rsidTr="00F07EC9">
        <w:tc>
          <w:tcPr>
            <w:tcW w:w="3579" w:type="dxa"/>
            <w:tcBorders>
              <w:top w:val="single" w:sz="4" w:space="0" w:color="auto"/>
              <w:left w:val="nil"/>
              <w:bottom w:val="nil"/>
              <w:right w:val="nil"/>
            </w:tcBorders>
          </w:tcPr>
          <w:p w:rsidR="00C67E97" w:rsidRDefault="00C67E97" w:rsidP="00A867DE">
            <w:pPr>
              <w:pStyle w:val="Heading2"/>
              <w:keepNext w:val="0"/>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0"/>
              <w:ind w:left="357"/>
              <w:jc w:val="right"/>
              <w:rPr>
                <w:b w:val="0"/>
                <w:bCs/>
                <w:i/>
                <w:iCs/>
              </w:rPr>
            </w:pPr>
          </w:p>
        </w:tc>
        <w:tc>
          <w:tcPr>
            <w:tcW w:w="2761" w:type="dxa"/>
            <w:gridSpan w:val="2"/>
            <w:tcBorders>
              <w:top w:val="single" w:sz="4" w:space="0" w:color="auto"/>
              <w:left w:val="nil"/>
              <w:bottom w:val="single" w:sz="4" w:space="0" w:color="auto"/>
              <w:right w:val="nil"/>
            </w:tcBorders>
          </w:tcPr>
          <w:p w:rsidR="00C67E97" w:rsidRDefault="00C67E97" w:rsidP="00A867DE">
            <w:pPr>
              <w:pStyle w:val="TableHeadingCentre"/>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pPr>
            <w:r>
              <w:t>Total Cost</w:t>
            </w:r>
          </w:p>
        </w:tc>
        <w:tc>
          <w:tcPr>
            <w:tcW w:w="2760" w:type="dxa"/>
            <w:gridSpan w:val="2"/>
            <w:tcBorders>
              <w:top w:val="single" w:sz="4" w:space="0" w:color="auto"/>
              <w:left w:val="nil"/>
              <w:bottom w:val="single" w:sz="4" w:space="0" w:color="auto"/>
              <w:right w:val="nil"/>
            </w:tcBorders>
          </w:tcPr>
          <w:p w:rsidR="00C67E97" w:rsidRDefault="00C67E97" w:rsidP="00A867DE">
            <w:pPr>
              <w:pStyle w:val="TableHeadingCentre"/>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pPr>
            <w:r>
              <w:t>Government Payment for Outputs</w:t>
            </w:r>
          </w:p>
        </w:tc>
      </w:tr>
      <w:tr w:rsidR="00C67E97" w:rsidTr="00F07EC9">
        <w:tc>
          <w:tcPr>
            <w:tcW w:w="3579" w:type="dxa"/>
            <w:tcBorders>
              <w:top w:val="nil"/>
              <w:left w:val="nil"/>
              <w:bottom w:val="single" w:sz="4" w:space="0" w:color="auto"/>
              <w:right w:val="nil"/>
            </w:tcBorders>
          </w:tcPr>
          <w:p w:rsidR="00C67E97" w:rsidRDefault="00C67E97" w:rsidP="00A867DE">
            <w:pPr>
              <w:pStyle w:val="SinglePar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p>
        </w:tc>
        <w:tc>
          <w:tcPr>
            <w:tcW w:w="1381" w:type="dxa"/>
            <w:tcBorders>
              <w:top w:val="single" w:sz="4" w:space="0" w:color="auto"/>
              <w:left w:val="nil"/>
              <w:bottom w:val="single" w:sz="4" w:space="0" w:color="auto"/>
              <w:right w:val="nil"/>
            </w:tcBorders>
          </w:tcPr>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2012</w:t>
            </w:r>
            <w:r w:rsidRPr="007D7E5E">
              <w:noBreakHyphen/>
              <w:t>13</w:t>
            </w:r>
            <w:r w:rsidRPr="007D7E5E">
              <w:br/>
              <w:t>Est. Outcome</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c>
          <w:tcPr>
            <w:tcW w:w="1380" w:type="dxa"/>
            <w:tcBorders>
              <w:top w:val="single" w:sz="4" w:space="0" w:color="auto"/>
              <w:left w:val="nil"/>
              <w:bottom w:val="single" w:sz="4" w:space="0" w:color="auto"/>
              <w:right w:val="nil"/>
            </w:tcBorders>
          </w:tcPr>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w:t>
            </w:r>
            <w:r>
              <w:t>3</w:t>
            </w:r>
            <w:r w:rsidRPr="007D7E5E">
              <w:noBreakHyphen/>
              <w:t>1</w:t>
            </w:r>
            <w:r>
              <w:t>4</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Budget</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c>
          <w:tcPr>
            <w:tcW w:w="1380" w:type="dxa"/>
            <w:tcBorders>
              <w:top w:val="single" w:sz="4" w:space="0" w:color="auto"/>
              <w:left w:val="nil"/>
              <w:bottom w:val="single" w:sz="4" w:space="0" w:color="auto"/>
              <w:right w:val="nil"/>
            </w:tcBorders>
          </w:tcPr>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2012</w:t>
            </w:r>
            <w:r w:rsidRPr="007D7E5E">
              <w:noBreakHyphen/>
              <w:t>13</w:t>
            </w:r>
            <w:r w:rsidRPr="007D7E5E">
              <w:br/>
              <w:t>Est. Outcome</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c>
          <w:tcPr>
            <w:tcW w:w="1380" w:type="dxa"/>
            <w:tcBorders>
              <w:top w:val="single" w:sz="4" w:space="0" w:color="auto"/>
              <w:left w:val="nil"/>
              <w:bottom w:val="single" w:sz="4" w:space="0" w:color="auto"/>
              <w:right w:val="nil"/>
            </w:tcBorders>
          </w:tcPr>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w:t>
            </w:r>
            <w:r>
              <w:t>3</w:t>
            </w:r>
            <w:r w:rsidRPr="007D7E5E">
              <w:noBreakHyphen/>
              <w:t>1</w:t>
            </w:r>
            <w:r>
              <w:t>4</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Budget</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r>
      <w:tr w:rsidR="00C67E97" w:rsidTr="00FD2A84">
        <w:tc>
          <w:tcPr>
            <w:tcW w:w="3579" w:type="dxa"/>
            <w:tcBorders>
              <w:top w:val="single" w:sz="4" w:space="0" w:color="auto"/>
              <w:left w:val="nil"/>
              <w:bottom w:val="single" w:sz="4" w:space="0" w:color="auto"/>
              <w:right w:val="nil"/>
            </w:tcBorders>
            <w:vAlign w:val="center"/>
          </w:tcPr>
          <w:p w:rsidR="00C67E97" w:rsidRDefault="00C67E97" w:rsidP="00712ED2">
            <w:pPr>
              <w:pStyle w:val="Heading7"/>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ind w:left="0" w:firstLine="0"/>
              <w:rPr>
                <w:color w:val="000000"/>
              </w:rPr>
            </w:pPr>
            <w:r>
              <w:rPr>
                <w:color w:val="000000"/>
              </w:rPr>
              <w:t xml:space="preserve">Output 1.7:  Regulatory </w:t>
            </w:r>
            <w:r w:rsidR="008033C5">
              <w:rPr>
                <w:color w:val="000000"/>
              </w:rPr>
              <w:t>and Transport Services</w:t>
            </w:r>
            <w:r w:rsidR="00D1510C" w:rsidRPr="000477F8">
              <w:rPr>
                <w:color w:val="000000"/>
                <w:vertAlign w:val="superscript"/>
              </w:rPr>
              <w:t>1</w:t>
            </w:r>
          </w:p>
        </w:tc>
        <w:tc>
          <w:tcPr>
            <w:tcW w:w="1381" w:type="dxa"/>
            <w:tcBorders>
              <w:top w:val="single" w:sz="4" w:space="0" w:color="auto"/>
              <w:left w:val="nil"/>
              <w:bottom w:val="single" w:sz="4" w:space="0" w:color="auto"/>
              <w:right w:val="nil"/>
            </w:tcBorders>
            <w:shd w:val="clear" w:color="auto" w:fill="auto"/>
            <w:vAlign w:val="bottom"/>
          </w:tcPr>
          <w:p w:rsidR="00C67E97" w:rsidRPr="000F47FA" w:rsidRDefault="00A60F00" w:rsidP="00FD2A84">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pPr>
            <w:r>
              <w:t>26,790</w:t>
            </w:r>
          </w:p>
        </w:tc>
        <w:tc>
          <w:tcPr>
            <w:tcW w:w="1380" w:type="dxa"/>
            <w:tcBorders>
              <w:top w:val="single" w:sz="4" w:space="0" w:color="auto"/>
              <w:left w:val="nil"/>
              <w:bottom w:val="single" w:sz="4" w:space="0" w:color="auto"/>
              <w:right w:val="nil"/>
            </w:tcBorders>
            <w:shd w:val="clear" w:color="auto" w:fill="auto"/>
            <w:vAlign w:val="bottom"/>
          </w:tcPr>
          <w:p w:rsidR="00C67E97" w:rsidRPr="00624D3E" w:rsidRDefault="00A60F00" w:rsidP="00FD2A84">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pPr>
            <w:r>
              <w:t>46,642</w:t>
            </w:r>
          </w:p>
        </w:tc>
        <w:tc>
          <w:tcPr>
            <w:tcW w:w="1380" w:type="dxa"/>
            <w:tcBorders>
              <w:top w:val="single" w:sz="4" w:space="0" w:color="auto"/>
              <w:left w:val="nil"/>
              <w:bottom w:val="single" w:sz="4" w:space="0" w:color="auto"/>
              <w:right w:val="nil"/>
            </w:tcBorders>
            <w:shd w:val="clear" w:color="auto" w:fill="auto"/>
            <w:vAlign w:val="bottom"/>
          </w:tcPr>
          <w:p w:rsidR="00C67E97" w:rsidRPr="000F47FA" w:rsidRDefault="00A60F00" w:rsidP="00FD2A84">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pPr>
            <w:r>
              <w:t>22,348</w:t>
            </w:r>
          </w:p>
        </w:tc>
        <w:tc>
          <w:tcPr>
            <w:tcW w:w="1380" w:type="dxa"/>
            <w:tcBorders>
              <w:top w:val="single" w:sz="4" w:space="0" w:color="auto"/>
              <w:left w:val="nil"/>
              <w:bottom w:val="single" w:sz="4" w:space="0" w:color="auto"/>
              <w:right w:val="nil"/>
            </w:tcBorders>
            <w:shd w:val="clear" w:color="auto" w:fill="auto"/>
            <w:vAlign w:val="bottom"/>
          </w:tcPr>
          <w:p w:rsidR="00C67E97" w:rsidRPr="00624D3E" w:rsidRDefault="00A60F00" w:rsidP="00FD2A84">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pPr>
            <w:r>
              <w:t>41,569</w:t>
            </w:r>
          </w:p>
        </w:tc>
      </w:tr>
    </w:tbl>
    <w:p w:rsidR="00F07EC9" w:rsidRDefault="00F07EC9" w:rsidP="00A867DE">
      <w:pPr>
        <w:pStyle w:val="NoteHeading0"/>
      </w:pPr>
      <w:r>
        <w:t>Note:</w:t>
      </w:r>
    </w:p>
    <w:p w:rsidR="00F07EC9" w:rsidRDefault="00F07EC9" w:rsidP="00A2331E">
      <w:pPr>
        <w:pStyle w:val="AINotes"/>
        <w:numPr>
          <w:ilvl w:val="0"/>
          <w:numId w:val="47"/>
        </w:numPr>
      </w:pPr>
      <w:r>
        <w:t>This output has been renamed from Output 1.7: Regulatory Services and now includes Transport Regulation activities.</w:t>
      </w:r>
    </w:p>
    <w:p w:rsidR="00C67E97" w:rsidRPr="00D325FA" w:rsidRDefault="00C67E97" w:rsidP="00435303">
      <w:pPr>
        <w:pStyle w:val="Heading4"/>
        <w:spacing w:before="120"/>
      </w:pPr>
      <w:r w:rsidRPr="00D325FA">
        <w:t>Output Description</w:t>
      </w:r>
    </w:p>
    <w:p w:rsidR="00435303" w:rsidRDefault="00C67E97" w:rsidP="002642B8">
      <w:pPr>
        <w:pStyle w:val="BodyText"/>
        <w:spacing w:after="240"/>
      </w:pPr>
      <w:r w:rsidRPr="00D325FA">
        <w:t>Provision of registration and licensing services for individuals, the community, business and industry</w:t>
      </w:r>
      <w:r>
        <w:t>;</w:t>
      </w:r>
      <w:r w:rsidRPr="00D325FA">
        <w:t xml:space="preserve"> the enforcement of a broad range of legislation across areas of consumer protection</w:t>
      </w:r>
      <w:r>
        <w:t xml:space="preserve"> and</w:t>
      </w:r>
      <w:r w:rsidRPr="00D325FA">
        <w:t xml:space="preserve"> occupational health and safety</w:t>
      </w:r>
      <w:r>
        <w:t>;</w:t>
      </w:r>
      <w:r w:rsidRPr="00D325FA">
        <w:t xml:space="preserve"> the regulation of parking</w:t>
      </w:r>
      <w:r>
        <w:t xml:space="preserve"> and </w:t>
      </w:r>
      <w:r w:rsidRPr="00D325FA">
        <w:t>public passenger transport, heavy vehicles, driver competency and vehicle registration</w:t>
      </w:r>
      <w:r w:rsidR="008B7375">
        <w:t>;</w:t>
      </w:r>
      <w:r w:rsidRPr="00D325FA">
        <w:t xml:space="preserve"> and promotion of road user safety.</w:t>
      </w:r>
    </w:p>
    <w:p w:rsidR="00435303" w:rsidRDefault="00435303">
      <w:r>
        <w:br w:type="page"/>
      </w:r>
    </w:p>
    <w:p w:rsidR="00435303" w:rsidRDefault="00435303" w:rsidP="00435303">
      <w:pPr>
        <w:pStyle w:val="Heading3TopofPage"/>
      </w:pPr>
      <w:proofErr w:type="gramStart"/>
      <w:r>
        <w:lastRenderedPageBreak/>
        <w:t>Output Classes cont.</w:t>
      </w:r>
      <w:proofErr w:type="gramEnd"/>
    </w:p>
    <w:tbl>
      <w:tblPr>
        <w:tblW w:w="9100" w:type="dxa"/>
        <w:tblLayout w:type="fixed"/>
        <w:tblLook w:val="0000"/>
      </w:tblPr>
      <w:tblGrid>
        <w:gridCol w:w="3579"/>
        <w:gridCol w:w="1381"/>
        <w:gridCol w:w="1380"/>
        <w:gridCol w:w="1380"/>
        <w:gridCol w:w="1380"/>
      </w:tblGrid>
      <w:tr w:rsidR="00C67E97" w:rsidTr="00823717">
        <w:tc>
          <w:tcPr>
            <w:tcW w:w="3579" w:type="dxa"/>
            <w:tcBorders>
              <w:top w:val="single" w:sz="4" w:space="0" w:color="auto"/>
              <w:left w:val="nil"/>
              <w:bottom w:val="nil"/>
              <w:right w:val="nil"/>
            </w:tcBorders>
          </w:tcPr>
          <w:p w:rsidR="00C67E97" w:rsidRDefault="00C67E97" w:rsidP="00A867DE">
            <w:pPr>
              <w:pStyle w:val="Heading2"/>
              <w:keepNext w:val="0"/>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0"/>
              <w:ind w:left="357"/>
              <w:jc w:val="right"/>
              <w:rPr>
                <w:b w:val="0"/>
                <w:bCs/>
                <w:i/>
                <w:iCs/>
              </w:rPr>
            </w:pPr>
          </w:p>
        </w:tc>
        <w:tc>
          <w:tcPr>
            <w:tcW w:w="2761" w:type="dxa"/>
            <w:gridSpan w:val="2"/>
            <w:tcBorders>
              <w:top w:val="single" w:sz="4" w:space="0" w:color="auto"/>
              <w:left w:val="nil"/>
              <w:bottom w:val="single" w:sz="4" w:space="0" w:color="auto"/>
              <w:right w:val="nil"/>
            </w:tcBorders>
          </w:tcPr>
          <w:p w:rsidR="00C67E97" w:rsidRDefault="00C67E97" w:rsidP="00A867DE">
            <w:pPr>
              <w:pStyle w:val="TableHeadingCentre"/>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pPr>
            <w:r>
              <w:t>Total Cost</w:t>
            </w:r>
          </w:p>
        </w:tc>
        <w:tc>
          <w:tcPr>
            <w:tcW w:w="2760" w:type="dxa"/>
            <w:gridSpan w:val="2"/>
            <w:tcBorders>
              <w:top w:val="single" w:sz="4" w:space="0" w:color="auto"/>
              <w:left w:val="nil"/>
              <w:bottom w:val="single" w:sz="4" w:space="0" w:color="auto"/>
              <w:right w:val="nil"/>
            </w:tcBorders>
          </w:tcPr>
          <w:p w:rsidR="00C67E97" w:rsidRDefault="00C67E97" w:rsidP="00A867DE">
            <w:pPr>
              <w:pStyle w:val="TableHeadingCentre"/>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pPr>
            <w:r>
              <w:t>Government Payment for Outputs</w:t>
            </w:r>
          </w:p>
        </w:tc>
      </w:tr>
      <w:tr w:rsidR="00C67E97" w:rsidTr="00823717">
        <w:tc>
          <w:tcPr>
            <w:tcW w:w="3579" w:type="dxa"/>
            <w:tcBorders>
              <w:top w:val="nil"/>
              <w:left w:val="nil"/>
              <w:bottom w:val="single" w:sz="4" w:space="0" w:color="auto"/>
              <w:right w:val="nil"/>
            </w:tcBorders>
          </w:tcPr>
          <w:p w:rsidR="00C67E97" w:rsidRDefault="00C67E97" w:rsidP="00A867DE">
            <w:pPr>
              <w:pStyle w:val="SinglePar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p>
        </w:tc>
        <w:tc>
          <w:tcPr>
            <w:tcW w:w="1381" w:type="dxa"/>
            <w:tcBorders>
              <w:top w:val="single" w:sz="4" w:space="0" w:color="auto"/>
              <w:left w:val="nil"/>
              <w:bottom w:val="single" w:sz="4" w:space="0" w:color="auto"/>
              <w:right w:val="nil"/>
            </w:tcBorders>
          </w:tcPr>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2012</w:t>
            </w:r>
            <w:r w:rsidRPr="007D7E5E">
              <w:noBreakHyphen/>
              <w:t>13</w:t>
            </w:r>
            <w:r w:rsidRPr="007D7E5E">
              <w:br/>
              <w:t>Est. Outcome</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c>
          <w:tcPr>
            <w:tcW w:w="1380" w:type="dxa"/>
            <w:tcBorders>
              <w:top w:val="single" w:sz="4" w:space="0" w:color="auto"/>
              <w:left w:val="nil"/>
              <w:bottom w:val="single" w:sz="4" w:space="0" w:color="auto"/>
              <w:right w:val="nil"/>
            </w:tcBorders>
          </w:tcPr>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w:t>
            </w:r>
            <w:r>
              <w:t>3</w:t>
            </w:r>
            <w:r w:rsidRPr="007D7E5E">
              <w:noBreakHyphen/>
              <w:t>1</w:t>
            </w:r>
            <w:r>
              <w:t>4</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Budget</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c>
          <w:tcPr>
            <w:tcW w:w="1380" w:type="dxa"/>
            <w:tcBorders>
              <w:top w:val="single" w:sz="4" w:space="0" w:color="auto"/>
              <w:left w:val="nil"/>
              <w:bottom w:val="single" w:sz="4" w:space="0" w:color="auto"/>
              <w:right w:val="nil"/>
            </w:tcBorders>
          </w:tcPr>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2012</w:t>
            </w:r>
            <w:r w:rsidRPr="007D7E5E">
              <w:noBreakHyphen/>
              <w:t>13</w:t>
            </w:r>
            <w:r w:rsidRPr="007D7E5E">
              <w:br/>
              <w:t>Est. Outcome</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c>
          <w:tcPr>
            <w:tcW w:w="1380" w:type="dxa"/>
            <w:tcBorders>
              <w:top w:val="single" w:sz="4" w:space="0" w:color="auto"/>
              <w:left w:val="nil"/>
              <w:bottom w:val="single" w:sz="4" w:space="0" w:color="auto"/>
              <w:right w:val="nil"/>
            </w:tcBorders>
          </w:tcPr>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w:t>
            </w:r>
            <w:r>
              <w:t>3</w:t>
            </w:r>
            <w:r w:rsidRPr="007D7E5E">
              <w:noBreakHyphen/>
              <w:t>1</w:t>
            </w:r>
            <w:r>
              <w:t>4</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Budget</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r>
      <w:tr w:rsidR="00C67E97" w:rsidTr="00823717">
        <w:tc>
          <w:tcPr>
            <w:tcW w:w="3579" w:type="dxa"/>
            <w:tcBorders>
              <w:top w:val="single" w:sz="4" w:space="0" w:color="auto"/>
              <w:left w:val="nil"/>
              <w:bottom w:val="single" w:sz="4" w:space="0" w:color="auto"/>
              <w:right w:val="nil"/>
            </w:tcBorders>
            <w:vAlign w:val="center"/>
          </w:tcPr>
          <w:p w:rsidR="00C67E97" w:rsidRDefault="00C67E97" w:rsidP="00A867DE">
            <w:pPr>
              <w:pStyle w:val="Heading7"/>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rPr>
                <w:color w:val="000000"/>
              </w:rPr>
            </w:pPr>
            <w:r>
              <w:rPr>
                <w:color w:val="000000"/>
              </w:rPr>
              <w:t>Output 1.8:  Transport Regulation</w:t>
            </w:r>
            <w:r w:rsidR="008B7375" w:rsidRPr="008B7375">
              <w:rPr>
                <w:color w:val="000000"/>
                <w:vertAlign w:val="superscript"/>
              </w:rPr>
              <w:t>1</w:t>
            </w:r>
            <w:r>
              <w:rPr>
                <w:color w:val="000000"/>
              </w:rPr>
              <w:t xml:space="preserve"> </w:t>
            </w:r>
          </w:p>
        </w:tc>
        <w:tc>
          <w:tcPr>
            <w:tcW w:w="1381" w:type="dxa"/>
            <w:tcBorders>
              <w:top w:val="single" w:sz="4" w:space="0" w:color="auto"/>
              <w:left w:val="nil"/>
              <w:bottom w:val="single" w:sz="4" w:space="0" w:color="auto"/>
              <w:right w:val="nil"/>
            </w:tcBorders>
            <w:shd w:val="clear" w:color="auto" w:fill="auto"/>
            <w:vAlign w:val="center"/>
          </w:tcPr>
          <w:p w:rsidR="00C67E97" w:rsidRPr="004A60D9" w:rsidRDefault="00902D64" w:rsidP="00A867DE">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pPr>
            <w:r>
              <w:t>21,012</w:t>
            </w:r>
          </w:p>
        </w:tc>
        <w:tc>
          <w:tcPr>
            <w:tcW w:w="1380" w:type="dxa"/>
            <w:tcBorders>
              <w:top w:val="single" w:sz="4" w:space="0" w:color="auto"/>
              <w:left w:val="nil"/>
              <w:bottom w:val="single" w:sz="4" w:space="0" w:color="auto"/>
              <w:right w:val="nil"/>
            </w:tcBorders>
            <w:shd w:val="clear" w:color="auto" w:fill="auto"/>
            <w:vAlign w:val="center"/>
          </w:tcPr>
          <w:p w:rsidR="00C67E97" w:rsidRPr="004A60D9" w:rsidRDefault="00712ED2" w:rsidP="00A867DE">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pPr>
            <w:r>
              <w:t>n/a</w:t>
            </w:r>
          </w:p>
        </w:tc>
        <w:tc>
          <w:tcPr>
            <w:tcW w:w="1380" w:type="dxa"/>
            <w:tcBorders>
              <w:top w:val="single" w:sz="4" w:space="0" w:color="auto"/>
              <w:left w:val="nil"/>
              <w:bottom w:val="single" w:sz="4" w:space="0" w:color="auto"/>
              <w:right w:val="nil"/>
            </w:tcBorders>
            <w:shd w:val="clear" w:color="auto" w:fill="auto"/>
            <w:vAlign w:val="center"/>
          </w:tcPr>
          <w:p w:rsidR="00C67E97" w:rsidRPr="004A60D9" w:rsidRDefault="00902D64" w:rsidP="00A867DE">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pPr>
            <w:r>
              <w:t>20,593</w:t>
            </w:r>
          </w:p>
        </w:tc>
        <w:tc>
          <w:tcPr>
            <w:tcW w:w="1380" w:type="dxa"/>
            <w:tcBorders>
              <w:top w:val="single" w:sz="4" w:space="0" w:color="auto"/>
              <w:left w:val="nil"/>
              <w:bottom w:val="single" w:sz="4" w:space="0" w:color="auto"/>
              <w:right w:val="nil"/>
            </w:tcBorders>
            <w:shd w:val="clear" w:color="auto" w:fill="auto"/>
            <w:vAlign w:val="center"/>
          </w:tcPr>
          <w:p w:rsidR="00C67E97" w:rsidRPr="004A60D9" w:rsidRDefault="00712ED2" w:rsidP="00A867DE">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pPr>
            <w:r>
              <w:t>n/a</w:t>
            </w:r>
          </w:p>
        </w:tc>
      </w:tr>
    </w:tbl>
    <w:p w:rsidR="000477F8" w:rsidRDefault="000477F8" w:rsidP="00A867DE">
      <w:pPr>
        <w:pStyle w:val="NoteHeading0"/>
      </w:pPr>
      <w:r>
        <w:t>Note:</w:t>
      </w:r>
    </w:p>
    <w:p w:rsidR="000477F8" w:rsidRDefault="000477F8" w:rsidP="00A2331E">
      <w:pPr>
        <w:pStyle w:val="AINotes"/>
        <w:numPr>
          <w:ilvl w:val="0"/>
          <w:numId w:val="48"/>
        </w:numPr>
      </w:pPr>
      <w:r>
        <w:t xml:space="preserve">Discontinued output.  This activity </w:t>
      </w:r>
      <w:r w:rsidR="00196367">
        <w:t xml:space="preserve">is </w:t>
      </w:r>
      <w:r>
        <w:t>now incorporated in Output 1.7 Regulatory and Transport Se</w:t>
      </w:r>
      <w:r w:rsidR="00A62253">
        <w:t>rvices.</w:t>
      </w:r>
    </w:p>
    <w:p w:rsidR="00C67E97" w:rsidRPr="00D325FA" w:rsidRDefault="00C67E97" w:rsidP="00435303">
      <w:pPr>
        <w:pStyle w:val="Heading4"/>
        <w:spacing w:before="120"/>
      </w:pPr>
      <w:r w:rsidRPr="00D325FA">
        <w:t>Output Description</w:t>
      </w:r>
    </w:p>
    <w:p w:rsidR="00A867DE" w:rsidRDefault="00C67E97" w:rsidP="002642B8">
      <w:pPr>
        <w:pStyle w:val="BodyText"/>
        <w:spacing w:after="240"/>
      </w:pPr>
      <w:proofErr w:type="gramStart"/>
      <w:r w:rsidRPr="00D325FA">
        <w:t>Regulation of public passenger transport, heavy vehicles, driver competency and vehicle registration</w:t>
      </w:r>
      <w:r w:rsidR="00712ED2">
        <w:t>,</w:t>
      </w:r>
      <w:r w:rsidRPr="00D325FA">
        <w:t xml:space="preserve"> and promotion of road user safety.</w:t>
      </w:r>
      <w:proofErr w:type="gramEnd"/>
    </w:p>
    <w:tbl>
      <w:tblPr>
        <w:tblW w:w="9100" w:type="dxa"/>
        <w:tblLayout w:type="fixed"/>
        <w:tblLook w:val="0000"/>
      </w:tblPr>
      <w:tblGrid>
        <w:gridCol w:w="3579"/>
        <w:gridCol w:w="1381"/>
        <w:gridCol w:w="1380"/>
        <w:gridCol w:w="1380"/>
        <w:gridCol w:w="1380"/>
      </w:tblGrid>
      <w:tr w:rsidR="00C67E97" w:rsidTr="00A867DE">
        <w:tc>
          <w:tcPr>
            <w:tcW w:w="3579" w:type="dxa"/>
            <w:tcBorders>
              <w:top w:val="single" w:sz="4" w:space="0" w:color="auto"/>
              <w:left w:val="nil"/>
              <w:bottom w:val="nil"/>
              <w:right w:val="nil"/>
            </w:tcBorders>
          </w:tcPr>
          <w:p w:rsidR="00C67E97" w:rsidRDefault="00C67E97" w:rsidP="00A867DE">
            <w:pPr>
              <w:pStyle w:val="Heading2"/>
              <w:keepNext w:val="0"/>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0"/>
              <w:ind w:left="357"/>
              <w:jc w:val="right"/>
              <w:rPr>
                <w:b w:val="0"/>
                <w:bCs/>
                <w:i/>
                <w:iCs/>
              </w:rPr>
            </w:pPr>
          </w:p>
        </w:tc>
        <w:tc>
          <w:tcPr>
            <w:tcW w:w="2761" w:type="dxa"/>
            <w:gridSpan w:val="2"/>
            <w:tcBorders>
              <w:top w:val="single" w:sz="4" w:space="0" w:color="auto"/>
              <w:left w:val="nil"/>
              <w:bottom w:val="single" w:sz="4" w:space="0" w:color="auto"/>
              <w:right w:val="nil"/>
            </w:tcBorders>
          </w:tcPr>
          <w:p w:rsidR="00C67E97" w:rsidRDefault="00C67E97" w:rsidP="00A867DE">
            <w:pPr>
              <w:pStyle w:val="TableHeadingCentre"/>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pPr>
            <w:r>
              <w:t>Total Cost</w:t>
            </w:r>
            <w:r w:rsidRPr="002463CC">
              <w:rPr>
                <w:rFonts w:cs="Calibri"/>
                <w:vertAlign w:val="superscript"/>
              </w:rPr>
              <w:t>1</w:t>
            </w:r>
          </w:p>
        </w:tc>
        <w:tc>
          <w:tcPr>
            <w:tcW w:w="2760" w:type="dxa"/>
            <w:gridSpan w:val="2"/>
            <w:tcBorders>
              <w:top w:val="single" w:sz="4" w:space="0" w:color="auto"/>
              <w:left w:val="nil"/>
              <w:bottom w:val="single" w:sz="4" w:space="0" w:color="auto"/>
              <w:right w:val="nil"/>
            </w:tcBorders>
          </w:tcPr>
          <w:p w:rsidR="00C67E97" w:rsidRDefault="00C67E97" w:rsidP="00A867DE">
            <w:pPr>
              <w:pStyle w:val="TableHeadingCentre"/>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pPr>
            <w:r>
              <w:t>Government Payment for Outputs</w:t>
            </w:r>
          </w:p>
        </w:tc>
      </w:tr>
      <w:tr w:rsidR="00C67E97" w:rsidTr="00A867DE">
        <w:tc>
          <w:tcPr>
            <w:tcW w:w="3579" w:type="dxa"/>
            <w:tcBorders>
              <w:top w:val="nil"/>
              <w:left w:val="nil"/>
              <w:bottom w:val="single" w:sz="4" w:space="0" w:color="auto"/>
              <w:right w:val="nil"/>
            </w:tcBorders>
          </w:tcPr>
          <w:p w:rsidR="00C67E97" w:rsidRDefault="00C67E97" w:rsidP="00A867DE">
            <w:pPr>
              <w:pStyle w:val="SinglePar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p>
        </w:tc>
        <w:tc>
          <w:tcPr>
            <w:tcW w:w="1381" w:type="dxa"/>
            <w:tcBorders>
              <w:top w:val="single" w:sz="4" w:space="0" w:color="auto"/>
              <w:left w:val="nil"/>
              <w:bottom w:val="single" w:sz="4" w:space="0" w:color="auto"/>
              <w:right w:val="nil"/>
            </w:tcBorders>
          </w:tcPr>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2012</w:t>
            </w:r>
            <w:r w:rsidRPr="007D7E5E">
              <w:noBreakHyphen/>
              <w:t>13</w:t>
            </w:r>
            <w:r w:rsidRPr="007D7E5E">
              <w:br/>
              <w:t>Est. Outcome</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c>
          <w:tcPr>
            <w:tcW w:w="1380" w:type="dxa"/>
            <w:tcBorders>
              <w:top w:val="single" w:sz="4" w:space="0" w:color="auto"/>
              <w:left w:val="nil"/>
              <w:bottom w:val="single" w:sz="4" w:space="0" w:color="auto"/>
              <w:right w:val="nil"/>
            </w:tcBorders>
          </w:tcPr>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w:t>
            </w:r>
            <w:r>
              <w:t>3</w:t>
            </w:r>
            <w:r w:rsidRPr="007D7E5E">
              <w:noBreakHyphen/>
              <w:t>1</w:t>
            </w:r>
            <w:r>
              <w:t>4</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Budget</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c>
          <w:tcPr>
            <w:tcW w:w="1380" w:type="dxa"/>
            <w:tcBorders>
              <w:top w:val="single" w:sz="4" w:space="0" w:color="auto"/>
              <w:left w:val="nil"/>
              <w:bottom w:val="single" w:sz="4" w:space="0" w:color="auto"/>
              <w:right w:val="nil"/>
            </w:tcBorders>
          </w:tcPr>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2012</w:t>
            </w:r>
            <w:r w:rsidRPr="007D7E5E">
              <w:noBreakHyphen/>
              <w:t>13</w:t>
            </w:r>
            <w:r w:rsidRPr="007D7E5E">
              <w:br/>
              <w:t>Est. Outcome</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c>
          <w:tcPr>
            <w:tcW w:w="1380" w:type="dxa"/>
            <w:tcBorders>
              <w:top w:val="single" w:sz="4" w:space="0" w:color="auto"/>
              <w:left w:val="nil"/>
              <w:bottom w:val="single" w:sz="4" w:space="0" w:color="auto"/>
              <w:right w:val="nil"/>
            </w:tcBorders>
          </w:tcPr>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w:t>
            </w:r>
            <w:r>
              <w:t>3</w:t>
            </w:r>
            <w:r w:rsidRPr="007D7E5E">
              <w:noBreakHyphen/>
              <w:t>1</w:t>
            </w:r>
            <w:r>
              <w:t>4</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Budget</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r>
      <w:tr w:rsidR="00C67E97" w:rsidTr="00A867DE">
        <w:tc>
          <w:tcPr>
            <w:tcW w:w="3579" w:type="dxa"/>
            <w:tcBorders>
              <w:top w:val="single" w:sz="4" w:space="0" w:color="auto"/>
              <w:left w:val="nil"/>
              <w:bottom w:val="single" w:sz="4" w:space="0" w:color="auto"/>
              <w:right w:val="nil"/>
            </w:tcBorders>
          </w:tcPr>
          <w:p w:rsidR="00E12B67" w:rsidRDefault="00C67E97" w:rsidP="00E12B67">
            <w:pPr>
              <w:pStyle w:val="Heading7"/>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t>Output Class 2</w:t>
            </w:r>
            <w:r w:rsidR="00E12B67">
              <w:rPr>
                <w:color w:val="000000"/>
              </w:rPr>
              <w:t>:</w:t>
            </w:r>
          </w:p>
          <w:p w:rsidR="00C67E97" w:rsidRDefault="00C67E97" w:rsidP="00E12B67">
            <w:pPr>
              <w:pStyle w:val="Heading7"/>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t>Corrective Services</w:t>
            </w:r>
          </w:p>
        </w:tc>
        <w:tc>
          <w:tcPr>
            <w:tcW w:w="1381" w:type="dxa"/>
            <w:tcBorders>
              <w:top w:val="single" w:sz="4" w:space="0" w:color="auto"/>
              <w:left w:val="nil"/>
              <w:bottom w:val="single" w:sz="4" w:space="0" w:color="auto"/>
              <w:right w:val="nil"/>
            </w:tcBorders>
            <w:shd w:val="clear" w:color="auto" w:fill="auto"/>
            <w:vAlign w:val="bottom"/>
          </w:tcPr>
          <w:p w:rsidR="00C67E97" w:rsidRPr="004D320F" w:rsidRDefault="00A40B66" w:rsidP="00A867DE">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50,952</w:t>
            </w:r>
          </w:p>
        </w:tc>
        <w:tc>
          <w:tcPr>
            <w:tcW w:w="1380" w:type="dxa"/>
            <w:tcBorders>
              <w:top w:val="single" w:sz="4" w:space="0" w:color="auto"/>
              <w:left w:val="nil"/>
              <w:bottom w:val="single" w:sz="4" w:space="0" w:color="auto"/>
              <w:right w:val="nil"/>
            </w:tcBorders>
            <w:shd w:val="clear" w:color="auto" w:fill="auto"/>
            <w:vAlign w:val="bottom"/>
          </w:tcPr>
          <w:p w:rsidR="00C67E97" w:rsidRPr="004D320F" w:rsidRDefault="00A40B66" w:rsidP="00A867DE">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53,627</w:t>
            </w:r>
          </w:p>
        </w:tc>
        <w:tc>
          <w:tcPr>
            <w:tcW w:w="1380" w:type="dxa"/>
            <w:tcBorders>
              <w:top w:val="single" w:sz="4" w:space="0" w:color="auto"/>
              <w:left w:val="nil"/>
              <w:bottom w:val="single" w:sz="4" w:space="0" w:color="auto"/>
              <w:right w:val="nil"/>
            </w:tcBorders>
            <w:shd w:val="clear" w:color="auto" w:fill="auto"/>
            <w:vAlign w:val="bottom"/>
          </w:tcPr>
          <w:p w:rsidR="00C67E97" w:rsidRPr="004D320F" w:rsidRDefault="00A40B66" w:rsidP="00A867DE">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44,680</w:t>
            </w:r>
          </w:p>
        </w:tc>
        <w:tc>
          <w:tcPr>
            <w:tcW w:w="1380" w:type="dxa"/>
            <w:tcBorders>
              <w:top w:val="single" w:sz="4" w:space="0" w:color="auto"/>
              <w:left w:val="nil"/>
              <w:bottom w:val="single" w:sz="4" w:space="0" w:color="auto"/>
              <w:right w:val="nil"/>
            </w:tcBorders>
            <w:shd w:val="clear" w:color="auto" w:fill="auto"/>
            <w:vAlign w:val="bottom"/>
          </w:tcPr>
          <w:p w:rsidR="00C67E97" w:rsidRPr="004D320F" w:rsidRDefault="00A40B66" w:rsidP="00A867DE">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47,571</w:t>
            </w:r>
          </w:p>
        </w:tc>
      </w:tr>
      <w:tr w:rsidR="00C67E97" w:rsidTr="00A867DE">
        <w:tc>
          <w:tcPr>
            <w:tcW w:w="3579" w:type="dxa"/>
            <w:tcBorders>
              <w:top w:val="single" w:sz="4" w:space="0" w:color="auto"/>
              <w:left w:val="nil"/>
              <w:bottom w:val="single" w:sz="4" w:space="0" w:color="auto"/>
              <w:right w:val="nil"/>
            </w:tcBorders>
          </w:tcPr>
          <w:p w:rsidR="00C67E97" w:rsidRDefault="00C67E97" w:rsidP="00A867DE">
            <w:pPr>
              <w:pStyle w:val="Heading7"/>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t>Output 2.1:  Corrective Services</w:t>
            </w:r>
          </w:p>
        </w:tc>
        <w:tc>
          <w:tcPr>
            <w:tcW w:w="1381" w:type="dxa"/>
            <w:tcBorders>
              <w:top w:val="single" w:sz="4" w:space="0" w:color="auto"/>
              <w:left w:val="nil"/>
              <w:bottom w:val="single" w:sz="4" w:space="0" w:color="auto"/>
              <w:right w:val="nil"/>
            </w:tcBorders>
            <w:shd w:val="clear" w:color="auto" w:fill="auto"/>
            <w:vAlign w:val="bottom"/>
          </w:tcPr>
          <w:p w:rsidR="00C67E97" w:rsidRPr="004D320F" w:rsidRDefault="003B4AD4" w:rsidP="00A867DE">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50,952</w:t>
            </w:r>
          </w:p>
        </w:tc>
        <w:tc>
          <w:tcPr>
            <w:tcW w:w="1380" w:type="dxa"/>
            <w:tcBorders>
              <w:top w:val="single" w:sz="4" w:space="0" w:color="auto"/>
              <w:left w:val="nil"/>
              <w:bottom w:val="single" w:sz="4" w:space="0" w:color="auto"/>
              <w:right w:val="nil"/>
            </w:tcBorders>
            <w:shd w:val="clear" w:color="auto" w:fill="auto"/>
            <w:vAlign w:val="bottom"/>
          </w:tcPr>
          <w:p w:rsidR="00C67E97" w:rsidRPr="004D320F" w:rsidRDefault="003B4AD4" w:rsidP="00A867DE">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53,627</w:t>
            </w:r>
          </w:p>
        </w:tc>
        <w:tc>
          <w:tcPr>
            <w:tcW w:w="1380" w:type="dxa"/>
            <w:tcBorders>
              <w:top w:val="single" w:sz="4" w:space="0" w:color="auto"/>
              <w:left w:val="nil"/>
              <w:bottom w:val="single" w:sz="4" w:space="0" w:color="auto"/>
              <w:right w:val="nil"/>
            </w:tcBorders>
            <w:shd w:val="clear" w:color="auto" w:fill="auto"/>
            <w:vAlign w:val="bottom"/>
          </w:tcPr>
          <w:p w:rsidR="00C67E97" w:rsidRPr="004D320F" w:rsidRDefault="003B4AD4" w:rsidP="00A867DE">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44,680</w:t>
            </w:r>
          </w:p>
        </w:tc>
        <w:tc>
          <w:tcPr>
            <w:tcW w:w="1380" w:type="dxa"/>
            <w:tcBorders>
              <w:top w:val="single" w:sz="4" w:space="0" w:color="auto"/>
              <w:left w:val="nil"/>
              <w:bottom w:val="single" w:sz="4" w:space="0" w:color="auto"/>
              <w:right w:val="nil"/>
            </w:tcBorders>
            <w:shd w:val="clear" w:color="auto" w:fill="auto"/>
            <w:vAlign w:val="bottom"/>
          </w:tcPr>
          <w:p w:rsidR="00C67E97" w:rsidRPr="004D320F" w:rsidRDefault="003B4AD4" w:rsidP="00A867DE">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47,571</w:t>
            </w:r>
          </w:p>
        </w:tc>
      </w:tr>
    </w:tbl>
    <w:p w:rsidR="00C67E97" w:rsidRPr="0015518F" w:rsidRDefault="00C67E97" w:rsidP="00A867DE">
      <w:pPr>
        <w:pStyle w:val="NoteHeading0"/>
      </w:pPr>
      <w:r w:rsidRPr="0015518F">
        <w:t xml:space="preserve">Note:  </w:t>
      </w:r>
    </w:p>
    <w:p w:rsidR="004137BF" w:rsidRDefault="00C67E97" w:rsidP="00A2331E">
      <w:pPr>
        <w:pStyle w:val="AINotes"/>
        <w:numPr>
          <w:ilvl w:val="0"/>
          <w:numId w:val="56"/>
        </w:numPr>
      </w:pPr>
      <w:r w:rsidRPr="00A63B7F">
        <w:t>Total cost includes depreciation and amortisation of $</w:t>
      </w:r>
      <w:r w:rsidR="003B4AD4">
        <w:t xml:space="preserve">5.618 </w:t>
      </w:r>
      <w:r w:rsidRPr="00A63B7F">
        <w:t>million in 201</w:t>
      </w:r>
      <w:r>
        <w:t>2-13</w:t>
      </w:r>
      <w:r w:rsidRPr="00A63B7F">
        <w:t xml:space="preserve"> and $</w:t>
      </w:r>
      <w:r w:rsidR="003B4AD4">
        <w:t xml:space="preserve">5.797 </w:t>
      </w:r>
      <w:r w:rsidRPr="00A63B7F">
        <w:t>million in 201</w:t>
      </w:r>
      <w:r>
        <w:t>3</w:t>
      </w:r>
      <w:r w:rsidRPr="00A63B7F">
        <w:t>-1</w:t>
      </w:r>
      <w:r>
        <w:t>4</w:t>
      </w:r>
      <w:r w:rsidRPr="00A63B7F">
        <w:t>.</w:t>
      </w:r>
    </w:p>
    <w:p w:rsidR="00C67E97" w:rsidRPr="00D325FA" w:rsidRDefault="00C67E97" w:rsidP="00435303">
      <w:pPr>
        <w:pStyle w:val="Heading4"/>
        <w:spacing w:before="120"/>
      </w:pPr>
      <w:r w:rsidRPr="00D325FA">
        <w:t>Output Description</w:t>
      </w:r>
    </w:p>
    <w:p w:rsidR="00C67E97" w:rsidRPr="00A63B7F" w:rsidRDefault="00C67E97" w:rsidP="002642B8">
      <w:pPr>
        <w:pStyle w:val="BodyText"/>
        <w:spacing w:after="240"/>
      </w:pPr>
      <w:r w:rsidRPr="00A63B7F">
        <w:t>Provision of safe and secure custody for detainees with a strong focus on the delivery of rehabilitative, educational and vocational programs, effectively managing un-sentenced offenders and community based corrections programs, and providing advice and services to the ACT justice system.</w:t>
      </w:r>
    </w:p>
    <w:tbl>
      <w:tblPr>
        <w:tblW w:w="9100" w:type="dxa"/>
        <w:tblLayout w:type="fixed"/>
        <w:tblLook w:val="0000"/>
      </w:tblPr>
      <w:tblGrid>
        <w:gridCol w:w="3579"/>
        <w:gridCol w:w="1381"/>
        <w:gridCol w:w="1380"/>
        <w:gridCol w:w="1380"/>
        <w:gridCol w:w="1380"/>
      </w:tblGrid>
      <w:tr w:rsidR="00C67E97" w:rsidTr="00E16499">
        <w:tc>
          <w:tcPr>
            <w:tcW w:w="3528" w:type="dxa"/>
            <w:tcBorders>
              <w:top w:val="single" w:sz="4" w:space="0" w:color="auto"/>
              <w:left w:val="nil"/>
              <w:bottom w:val="nil"/>
              <w:right w:val="nil"/>
            </w:tcBorders>
          </w:tcPr>
          <w:p w:rsidR="00C67E97" w:rsidRDefault="00C67E97" w:rsidP="007235C9">
            <w:pPr>
              <w:pStyle w:val="Heading2"/>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0"/>
              <w:ind w:left="357"/>
              <w:jc w:val="right"/>
              <w:rPr>
                <w:b w:val="0"/>
                <w:bCs/>
                <w:i/>
                <w:iCs/>
              </w:rPr>
            </w:pPr>
          </w:p>
        </w:tc>
        <w:tc>
          <w:tcPr>
            <w:tcW w:w="1361" w:type="dxa"/>
            <w:gridSpan w:val="2"/>
            <w:tcBorders>
              <w:top w:val="single" w:sz="4" w:space="0" w:color="auto"/>
              <w:left w:val="nil"/>
              <w:bottom w:val="single" w:sz="4" w:space="0" w:color="auto"/>
              <w:right w:val="nil"/>
            </w:tcBorders>
          </w:tcPr>
          <w:p w:rsidR="00C67E97" w:rsidRDefault="00C67E97" w:rsidP="007235C9">
            <w:pPr>
              <w:pStyle w:val="TableHeadingCent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pPr>
            <w:r>
              <w:t>Total Cost</w:t>
            </w:r>
            <w:r w:rsidRPr="002463CC">
              <w:rPr>
                <w:rFonts w:cs="Calibri"/>
                <w:vertAlign w:val="superscript"/>
              </w:rPr>
              <w:t>1</w:t>
            </w:r>
          </w:p>
        </w:tc>
        <w:tc>
          <w:tcPr>
            <w:tcW w:w="1361" w:type="dxa"/>
            <w:gridSpan w:val="2"/>
            <w:tcBorders>
              <w:top w:val="single" w:sz="4" w:space="0" w:color="auto"/>
              <w:left w:val="nil"/>
              <w:bottom w:val="single" w:sz="4" w:space="0" w:color="auto"/>
              <w:right w:val="nil"/>
            </w:tcBorders>
          </w:tcPr>
          <w:p w:rsidR="00C67E97" w:rsidRDefault="00C67E97" w:rsidP="007235C9">
            <w:pPr>
              <w:pStyle w:val="TableHeadingCent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pPr>
            <w:r>
              <w:t>Government Payment for Outputs</w:t>
            </w:r>
          </w:p>
        </w:tc>
      </w:tr>
      <w:tr w:rsidR="00C67E97" w:rsidTr="00E16499">
        <w:tc>
          <w:tcPr>
            <w:tcW w:w="3528" w:type="dxa"/>
            <w:tcBorders>
              <w:top w:val="nil"/>
              <w:left w:val="nil"/>
              <w:bottom w:val="single" w:sz="4" w:space="0" w:color="auto"/>
              <w:right w:val="nil"/>
            </w:tcBorders>
          </w:tcPr>
          <w:p w:rsidR="00C67E97" w:rsidRDefault="00C67E97" w:rsidP="007235C9">
            <w:pPr>
              <w:pStyle w:val="SinglePar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p>
        </w:tc>
        <w:tc>
          <w:tcPr>
            <w:tcW w:w="1361" w:type="dxa"/>
            <w:tcBorders>
              <w:top w:val="single" w:sz="4" w:space="0" w:color="auto"/>
              <w:left w:val="nil"/>
              <w:bottom w:val="single" w:sz="4" w:space="0" w:color="auto"/>
              <w:right w:val="nil"/>
            </w:tcBorders>
          </w:tcPr>
          <w:p w:rsidR="00C67E97" w:rsidRPr="007D7E5E"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2012</w:t>
            </w:r>
            <w:r w:rsidRPr="007D7E5E">
              <w:noBreakHyphen/>
              <w:t>13</w:t>
            </w:r>
            <w:r w:rsidRPr="007D7E5E">
              <w:br/>
              <w:t>Est. Outcome</w:t>
            </w:r>
          </w:p>
          <w:p w:rsidR="00C67E97" w:rsidRPr="007D7E5E"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c>
          <w:tcPr>
            <w:tcW w:w="1361" w:type="dxa"/>
            <w:tcBorders>
              <w:top w:val="single" w:sz="4" w:space="0" w:color="auto"/>
              <w:left w:val="nil"/>
              <w:bottom w:val="single" w:sz="4" w:space="0" w:color="auto"/>
              <w:right w:val="nil"/>
            </w:tcBorders>
          </w:tcPr>
          <w:p w:rsidR="00C67E97" w:rsidRPr="007D7E5E"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w:t>
            </w:r>
            <w:r>
              <w:t>3</w:t>
            </w:r>
            <w:r w:rsidRPr="007D7E5E">
              <w:noBreakHyphen/>
              <w:t>1</w:t>
            </w:r>
            <w:r>
              <w:t>4</w:t>
            </w:r>
          </w:p>
          <w:p w:rsidR="00C67E97" w:rsidRPr="007D7E5E"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Budget</w:t>
            </w:r>
          </w:p>
          <w:p w:rsidR="00C67E97" w:rsidRPr="007D7E5E"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c>
          <w:tcPr>
            <w:tcW w:w="1361" w:type="dxa"/>
            <w:tcBorders>
              <w:top w:val="single" w:sz="4" w:space="0" w:color="auto"/>
              <w:left w:val="nil"/>
              <w:bottom w:val="single" w:sz="4" w:space="0" w:color="auto"/>
              <w:right w:val="nil"/>
            </w:tcBorders>
          </w:tcPr>
          <w:p w:rsidR="00C67E97" w:rsidRPr="007D7E5E"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2012</w:t>
            </w:r>
            <w:r w:rsidRPr="007D7E5E">
              <w:noBreakHyphen/>
              <w:t>13</w:t>
            </w:r>
            <w:r w:rsidRPr="007D7E5E">
              <w:br/>
              <w:t>Est. Outcome</w:t>
            </w:r>
          </w:p>
          <w:p w:rsidR="00C67E97" w:rsidRPr="007D7E5E"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c>
          <w:tcPr>
            <w:tcW w:w="1361" w:type="dxa"/>
            <w:tcBorders>
              <w:top w:val="single" w:sz="4" w:space="0" w:color="auto"/>
              <w:left w:val="nil"/>
              <w:bottom w:val="single" w:sz="4" w:space="0" w:color="auto"/>
              <w:right w:val="nil"/>
            </w:tcBorders>
          </w:tcPr>
          <w:p w:rsidR="00C67E97" w:rsidRPr="007D7E5E"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w:t>
            </w:r>
            <w:r>
              <w:t>3</w:t>
            </w:r>
            <w:r w:rsidRPr="007D7E5E">
              <w:noBreakHyphen/>
              <w:t>1</w:t>
            </w:r>
            <w:r>
              <w:t>4</w:t>
            </w:r>
          </w:p>
          <w:p w:rsidR="00C67E97" w:rsidRPr="007D7E5E"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Budget</w:t>
            </w:r>
          </w:p>
          <w:p w:rsidR="00C67E97" w:rsidRPr="007D7E5E"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r>
      <w:tr w:rsidR="00C67E97" w:rsidTr="00E16499">
        <w:tc>
          <w:tcPr>
            <w:tcW w:w="3528" w:type="dxa"/>
            <w:tcBorders>
              <w:top w:val="single" w:sz="4" w:space="0" w:color="auto"/>
              <w:left w:val="nil"/>
              <w:bottom w:val="single" w:sz="4" w:space="0" w:color="auto"/>
              <w:right w:val="nil"/>
            </w:tcBorders>
          </w:tcPr>
          <w:p w:rsidR="00C67E97"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t>Output Class 3</w:t>
            </w:r>
            <w:r w:rsidR="0015723F">
              <w:rPr>
                <w:color w:val="000000"/>
              </w:rPr>
              <w:t>:</w:t>
            </w:r>
          </w:p>
          <w:p w:rsidR="00C67E97"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t>Courts and Tribunal</w:t>
            </w:r>
          </w:p>
        </w:tc>
        <w:tc>
          <w:tcPr>
            <w:tcW w:w="1361" w:type="dxa"/>
            <w:tcBorders>
              <w:top w:val="single" w:sz="4" w:space="0" w:color="auto"/>
              <w:left w:val="nil"/>
              <w:bottom w:val="single" w:sz="4" w:space="0" w:color="auto"/>
              <w:right w:val="nil"/>
            </w:tcBorders>
            <w:shd w:val="clear" w:color="auto" w:fill="auto"/>
            <w:vAlign w:val="bottom"/>
          </w:tcPr>
          <w:p w:rsidR="00C67E97" w:rsidRPr="004D320F" w:rsidRDefault="003B4AD4"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36,334</w:t>
            </w:r>
          </w:p>
        </w:tc>
        <w:tc>
          <w:tcPr>
            <w:tcW w:w="1361" w:type="dxa"/>
            <w:tcBorders>
              <w:top w:val="single" w:sz="4" w:space="0" w:color="auto"/>
              <w:left w:val="nil"/>
              <w:bottom w:val="single" w:sz="4" w:space="0" w:color="auto"/>
              <w:right w:val="nil"/>
            </w:tcBorders>
            <w:shd w:val="clear" w:color="auto" w:fill="auto"/>
            <w:vAlign w:val="bottom"/>
          </w:tcPr>
          <w:p w:rsidR="00C67E97" w:rsidRPr="004D320F" w:rsidRDefault="003B4AD4"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38,079</w:t>
            </w:r>
          </w:p>
        </w:tc>
        <w:tc>
          <w:tcPr>
            <w:tcW w:w="1361" w:type="dxa"/>
            <w:tcBorders>
              <w:top w:val="single" w:sz="4" w:space="0" w:color="auto"/>
              <w:left w:val="nil"/>
              <w:bottom w:val="single" w:sz="4" w:space="0" w:color="auto"/>
              <w:right w:val="nil"/>
            </w:tcBorders>
            <w:shd w:val="clear" w:color="auto" w:fill="auto"/>
            <w:vAlign w:val="bottom"/>
          </w:tcPr>
          <w:p w:rsidR="00C67E97" w:rsidRPr="004D320F" w:rsidRDefault="003B4AD4"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29,070</w:t>
            </w:r>
          </w:p>
        </w:tc>
        <w:tc>
          <w:tcPr>
            <w:tcW w:w="1361" w:type="dxa"/>
            <w:tcBorders>
              <w:top w:val="single" w:sz="4" w:space="0" w:color="auto"/>
              <w:left w:val="nil"/>
              <w:bottom w:val="single" w:sz="4" w:space="0" w:color="auto"/>
              <w:right w:val="nil"/>
            </w:tcBorders>
            <w:shd w:val="clear" w:color="auto" w:fill="auto"/>
            <w:vAlign w:val="bottom"/>
          </w:tcPr>
          <w:p w:rsidR="00C67E97" w:rsidRPr="004D320F" w:rsidRDefault="003B4AD4"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27,529</w:t>
            </w:r>
          </w:p>
        </w:tc>
      </w:tr>
      <w:tr w:rsidR="00C67E97" w:rsidTr="00E16499">
        <w:tc>
          <w:tcPr>
            <w:tcW w:w="3528" w:type="dxa"/>
            <w:tcBorders>
              <w:top w:val="single" w:sz="4" w:space="0" w:color="auto"/>
              <w:left w:val="nil"/>
              <w:bottom w:val="single" w:sz="4" w:space="0" w:color="auto"/>
              <w:right w:val="nil"/>
            </w:tcBorders>
          </w:tcPr>
          <w:p w:rsidR="00C67E97"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t>Output 3.1:  Courts and Tribunal</w:t>
            </w:r>
          </w:p>
        </w:tc>
        <w:tc>
          <w:tcPr>
            <w:tcW w:w="1361" w:type="dxa"/>
            <w:tcBorders>
              <w:top w:val="single" w:sz="4" w:space="0" w:color="auto"/>
              <w:left w:val="nil"/>
              <w:bottom w:val="single" w:sz="4" w:space="0" w:color="auto"/>
              <w:right w:val="nil"/>
            </w:tcBorders>
            <w:shd w:val="clear" w:color="auto" w:fill="auto"/>
            <w:vAlign w:val="bottom"/>
          </w:tcPr>
          <w:p w:rsidR="00C67E97" w:rsidRPr="004D320F" w:rsidRDefault="003B4AD4"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36,334</w:t>
            </w:r>
          </w:p>
        </w:tc>
        <w:tc>
          <w:tcPr>
            <w:tcW w:w="1361" w:type="dxa"/>
            <w:tcBorders>
              <w:top w:val="single" w:sz="4" w:space="0" w:color="auto"/>
              <w:left w:val="nil"/>
              <w:bottom w:val="single" w:sz="4" w:space="0" w:color="auto"/>
              <w:right w:val="nil"/>
            </w:tcBorders>
            <w:shd w:val="clear" w:color="auto" w:fill="auto"/>
            <w:vAlign w:val="bottom"/>
          </w:tcPr>
          <w:p w:rsidR="00C67E97" w:rsidRPr="004D320F" w:rsidRDefault="003B4AD4"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38,079</w:t>
            </w:r>
          </w:p>
        </w:tc>
        <w:tc>
          <w:tcPr>
            <w:tcW w:w="1361" w:type="dxa"/>
            <w:tcBorders>
              <w:top w:val="single" w:sz="4" w:space="0" w:color="auto"/>
              <w:left w:val="nil"/>
              <w:bottom w:val="single" w:sz="4" w:space="0" w:color="auto"/>
              <w:right w:val="nil"/>
            </w:tcBorders>
            <w:shd w:val="clear" w:color="auto" w:fill="auto"/>
            <w:vAlign w:val="bottom"/>
          </w:tcPr>
          <w:p w:rsidR="00C67E97" w:rsidRPr="004D320F" w:rsidRDefault="003B4AD4"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29,070</w:t>
            </w:r>
          </w:p>
        </w:tc>
        <w:tc>
          <w:tcPr>
            <w:tcW w:w="1361" w:type="dxa"/>
            <w:tcBorders>
              <w:top w:val="single" w:sz="4" w:space="0" w:color="auto"/>
              <w:left w:val="nil"/>
              <w:bottom w:val="single" w:sz="4" w:space="0" w:color="auto"/>
              <w:right w:val="nil"/>
            </w:tcBorders>
            <w:shd w:val="clear" w:color="auto" w:fill="auto"/>
            <w:vAlign w:val="bottom"/>
          </w:tcPr>
          <w:p w:rsidR="00C67E97" w:rsidRPr="004D320F" w:rsidRDefault="003B4AD4"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27,529</w:t>
            </w:r>
          </w:p>
        </w:tc>
      </w:tr>
    </w:tbl>
    <w:p w:rsidR="00C67E97" w:rsidRPr="0015518F" w:rsidRDefault="00C67E97" w:rsidP="00C67E97">
      <w:pPr>
        <w:spacing w:before="120"/>
        <w:rPr>
          <w:b/>
          <w:bCs/>
          <w:sz w:val="16"/>
          <w:szCs w:val="16"/>
        </w:rPr>
      </w:pPr>
      <w:r w:rsidRPr="0015518F">
        <w:rPr>
          <w:b/>
          <w:bCs/>
          <w:sz w:val="16"/>
          <w:szCs w:val="16"/>
        </w:rPr>
        <w:t xml:space="preserve">Note:  </w:t>
      </w:r>
    </w:p>
    <w:p w:rsidR="00C67E97" w:rsidRPr="00A63B7F" w:rsidRDefault="00C67E97" w:rsidP="00C67E97">
      <w:pPr>
        <w:pStyle w:val="AINotes"/>
        <w:numPr>
          <w:ilvl w:val="0"/>
          <w:numId w:val="30"/>
        </w:numPr>
      </w:pPr>
      <w:r w:rsidRPr="00A63B7F">
        <w:t>Total cost includes depreciation and amortisation of $</w:t>
      </w:r>
      <w:r w:rsidR="003B4AD4">
        <w:t xml:space="preserve">3.364 </w:t>
      </w:r>
      <w:r w:rsidRPr="00A63B7F">
        <w:t>million in 201</w:t>
      </w:r>
      <w:r>
        <w:t>2</w:t>
      </w:r>
      <w:r w:rsidRPr="00A63B7F">
        <w:t>-1</w:t>
      </w:r>
      <w:r>
        <w:t>3</w:t>
      </w:r>
      <w:r w:rsidRPr="00A63B7F">
        <w:t xml:space="preserve"> and $</w:t>
      </w:r>
      <w:r w:rsidR="003B4AD4">
        <w:t xml:space="preserve">3.494 </w:t>
      </w:r>
      <w:r w:rsidRPr="00A63B7F">
        <w:t>million in 201</w:t>
      </w:r>
      <w:r>
        <w:t>3</w:t>
      </w:r>
      <w:r w:rsidRPr="00A63B7F">
        <w:t>-1</w:t>
      </w:r>
      <w:r>
        <w:t>4</w:t>
      </w:r>
      <w:r w:rsidRPr="00A63B7F">
        <w:t>.</w:t>
      </w:r>
    </w:p>
    <w:p w:rsidR="00C67E97" w:rsidRPr="00A63B7F" w:rsidRDefault="00C67E97" w:rsidP="00435303">
      <w:pPr>
        <w:pStyle w:val="Heading4"/>
        <w:spacing w:before="120"/>
      </w:pPr>
      <w:r w:rsidRPr="00A63B7F">
        <w:t>Output Description</w:t>
      </w:r>
    </w:p>
    <w:p w:rsidR="00435303" w:rsidRDefault="00C67E97" w:rsidP="002642B8">
      <w:pPr>
        <w:pStyle w:val="BodyText"/>
        <w:spacing w:after="240"/>
      </w:pPr>
      <w:proofErr w:type="gramStart"/>
      <w:r w:rsidRPr="00A63B7F">
        <w:t>High quality support to judicial officers and tribunal members in the courts and the tribunal and high quality services to the public using the courts and the tribunal.</w:t>
      </w:r>
      <w:proofErr w:type="gramEnd"/>
    </w:p>
    <w:p w:rsidR="00435303" w:rsidRDefault="00435303">
      <w:r>
        <w:br w:type="page"/>
      </w:r>
    </w:p>
    <w:p w:rsidR="00435303" w:rsidRDefault="00435303" w:rsidP="00435303">
      <w:pPr>
        <w:pStyle w:val="Heading3TopofPage"/>
      </w:pPr>
      <w:proofErr w:type="gramStart"/>
      <w:r>
        <w:lastRenderedPageBreak/>
        <w:t>Output Classes cont.</w:t>
      </w:r>
      <w:proofErr w:type="gramEnd"/>
    </w:p>
    <w:tbl>
      <w:tblPr>
        <w:tblW w:w="9100" w:type="dxa"/>
        <w:tblLayout w:type="fixed"/>
        <w:tblLook w:val="0000"/>
      </w:tblPr>
      <w:tblGrid>
        <w:gridCol w:w="3579"/>
        <w:gridCol w:w="1381"/>
        <w:gridCol w:w="1380"/>
        <w:gridCol w:w="1380"/>
        <w:gridCol w:w="1380"/>
      </w:tblGrid>
      <w:tr w:rsidR="00C67E97" w:rsidTr="00823717">
        <w:tc>
          <w:tcPr>
            <w:tcW w:w="3579" w:type="dxa"/>
            <w:tcBorders>
              <w:top w:val="single" w:sz="4" w:space="0" w:color="auto"/>
              <w:left w:val="nil"/>
              <w:bottom w:val="nil"/>
              <w:right w:val="nil"/>
            </w:tcBorders>
          </w:tcPr>
          <w:p w:rsidR="00C67E97" w:rsidRDefault="00C67E97" w:rsidP="00A867DE">
            <w:pPr>
              <w:pStyle w:val="Heading2"/>
              <w:keepNext w:val="0"/>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0"/>
              <w:ind w:left="357"/>
              <w:jc w:val="right"/>
              <w:rPr>
                <w:b w:val="0"/>
                <w:bCs/>
                <w:i/>
                <w:iCs/>
              </w:rPr>
            </w:pPr>
          </w:p>
        </w:tc>
        <w:tc>
          <w:tcPr>
            <w:tcW w:w="2761" w:type="dxa"/>
            <w:gridSpan w:val="2"/>
            <w:tcBorders>
              <w:top w:val="single" w:sz="4" w:space="0" w:color="auto"/>
              <w:left w:val="nil"/>
              <w:bottom w:val="single" w:sz="4" w:space="0" w:color="auto"/>
              <w:right w:val="nil"/>
            </w:tcBorders>
          </w:tcPr>
          <w:p w:rsidR="00C67E97" w:rsidRDefault="00C67E97" w:rsidP="00A867DE">
            <w:pPr>
              <w:pStyle w:val="TableHeadingCentre"/>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pPr>
            <w:r>
              <w:t>Total Cost</w:t>
            </w:r>
            <w:r w:rsidRPr="002463CC">
              <w:rPr>
                <w:rFonts w:cs="Calibri"/>
                <w:vertAlign w:val="superscript"/>
              </w:rPr>
              <w:t>1</w:t>
            </w:r>
          </w:p>
        </w:tc>
        <w:tc>
          <w:tcPr>
            <w:tcW w:w="2760" w:type="dxa"/>
            <w:gridSpan w:val="2"/>
            <w:tcBorders>
              <w:top w:val="single" w:sz="4" w:space="0" w:color="auto"/>
              <w:left w:val="nil"/>
              <w:bottom w:val="single" w:sz="4" w:space="0" w:color="auto"/>
              <w:right w:val="nil"/>
            </w:tcBorders>
          </w:tcPr>
          <w:p w:rsidR="00C67E97" w:rsidRDefault="00C67E97" w:rsidP="00A867DE">
            <w:pPr>
              <w:pStyle w:val="TableHeadingCentre"/>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pPr>
            <w:r>
              <w:t>Government Payment for Outputs</w:t>
            </w:r>
          </w:p>
        </w:tc>
      </w:tr>
      <w:tr w:rsidR="00C67E97" w:rsidTr="00823717">
        <w:tc>
          <w:tcPr>
            <w:tcW w:w="3579" w:type="dxa"/>
            <w:tcBorders>
              <w:top w:val="nil"/>
              <w:left w:val="nil"/>
              <w:bottom w:val="single" w:sz="4" w:space="0" w:color="auto"/>
              <w:right w:val="nil"/>
            </w:tcBorders>
          </w:tcPr>
          <w:p w:rsidR="00C67E97" w:rsidRDefault="00C67E97" w:rsidP="00A867DE">
            <w:pPr>
              <w:pStyle w:val="SinglePar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p>
        </w:tc>
        <w:tc>
          <w:tcPr>
            <w:tcW w:w="1381" w:type="dxa"/>
            <w:tcBorders>
              <w:top w:val="single" w:sz="4" w:space="0" w:color="auto"/>
              <w:left w:val="nil"/>
              <w:bottom w:val="single" w:sz="4" w:space="0" w:color="auto"/>
              <w:right w:val="nil"/>
            </w:tcBorders>
          </w:tcPr>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2012</w:t>
            </w:r>
            <w:r w:rsidRPr="007D7E5E">
              <w:noBreakHyphen/>
              <w:t>13</w:t>
            </w:r>
            <w:r w:rsidRPr="007D7E5E">
              <w:br/>
              <w:t>Est. Outcome</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c>
          <w:tcPr>
            <w:tcW w:w="1380" w:type="dxa"/>
            <w:tcBorders>
              <w:top w:val="single" w:sz="4" w:space="0" w:color="auto"/>
              <w:left w:val="nil"/>
              <w:bottom w:val="single" w:sz="4" w:space="0" w:color="auto"/>
              <w:right w:val="nil"/>
            </w:tcBorders>
          </w:tcPr>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w:t>
            </w:r>
            <w:r>
              <w:t>3</w:t>
            </w:r>
            <w:r w:rsidRPr="007D7E5E">
              <w:noBreakHyphen/>
              <w:t>1</w:t>
            </w:r>
            <w:r>
              <w:t>4</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Budget</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c>
          <w:tcPr>
            <w:tcW w:w="1380" w:type="dxa"/>
            <w:tcBorders>
              <w:top w:val="single" w:sz="4" w:space="0" w:color="auto"/>
              <w:left w:val="nil"/>
              <w:bottom w:val="single" w:sz="4" w:space="0" w:color="auto"/>
              <w:right w:val="nil"/>
            </w:tcBorders>
          </w:tcPr>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2012</w:t>
            </w:r>
            <w:r w:rsidRPr="007D7E5E">
              <w:noBreakHyphen/>
              <w:t>13</w:t>
            </w:r>
            <w:r w:rsidRPr="007D7E5E">
              <w:br/>
              <w:t>Est. Outcome</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c>
          <w:tcPr>
            <w:tcW w:w="1380" w:type="dxa"/>
            <w:tcBorders>
              <w:top w:val="single" w:sz="4" w:space="0" w:color="auto"/>
              <w:left w:val="nil"/>
              <w:bottom w:val="single" w:sz="4" w:space="0" w:color="auto"/>
              <w:right w:val="nil"/>
            </w:tcBorders>
          </w:tcPr>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w:t>
            </w:r>
            <w:r>
              <w:t>3</w:t>
            </w:r>
            <w:r w:rsidRPr="007D7E5E">
              <w:noBreakHyphen/>
              <w:t>1</w:t>
            </w:r>
            <w:r>
              <w:t>4</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Budget</w:t>
            </w:r>
          </w:p>
          <w:p w:rsidR="00C67E97" w:rsidRPr="007D7E5E" w:rsidRDefault="00C67E97" w:rsidP="00A867D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r>
      <w:tr w:rsidR="00C67E97" w:rsidTr="00823717">
        <w:tc>
          <w:tcPr>
            <w:tcW w:w="3579" w:type="dxa"/>
            <w:tcBorders>
              <w:top w:val="single" w:sz="4" w:space="0" w:color="auto"/>
              <w:left w:val="nil"/>
              <w:bottom w:val="single" w:sz="4" w:space="0" w:color="auto"/>
              <w:right w:val="nil"/>
            </w:tcBorders>
          </w:tcPr>
          <w:p w:rsidR="00C67E97" w:rsidRDefault="00C67E97" w:rsidP="00A867DE">
            <w:pPr>
              <w:pStyle w:val="Heading7"/>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t>Output Class 4</w:t>
            </w:r>
            <w:r w:rsidR="0015723F">
              <w:rPr>
                <w:color w:val="000000"/>
              </w:rPr>
              <w:t>:</w:t>
            </w:r>
          </w:p>
          <w:p w:rsidR="00C67E97" w:rsidRDefault="00C67E97" w:rsidP="00A867DE">
            <w:pPr>
              <w:pStyle w:val="Heading7"/>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t>Emergency Services</w:t>
            </w:r>
          </w:p>
        </w:tc>
        <w:tc>
          <w:tcPr>
            <w:tcW w:w="1381" w:type="dxa"/>
            <w:tcBorders>
              <w:top w:val="single" w:sz="4" w:space="0" w:color="auto"/>
              <w:left w:val="nil"/>
              <w:bottom w:val="single" w:sz="4" w:space="0" w:color="auto"/>
              <w:right w:val="nil"/>
            </w:tcBorders>
            <w:shd w:val="clear" w:color="auto" w:fill="auto"/>
            <w:vAlign w:val="bottom"/>
          </w:tcPr>
          <w:p w:rsidR="00C67E97" w:rsidRPr="003E3CD2" w:rsidRDefault="00976446" w:rsidP="00A867DE">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pPr>
            <w:r>
              <w:t>116,328</w:t>
            </w:r>
          </w:p>
        </w:tc>
        <w:tc>
          <w:tcPr>
            <w:tcW w:w="1380" w:type="dxa"/>
            <w:tcBorders>
              <w:top w:val="single" w:sz="4" w:space="0" w:color="auto"/>
              <w:left w:val="nil"/>
              <w:bottom w:val="single" w:sz="4" w:space="0" w:color="auto"/>
              <w:right w:val="nil"/>
            </w:tcBorders>
            <w:shd w:val="clear" w:color="auto" w:fill="auto"/>
            <w:vAlign w:val="bottom"/>
          </w:tcPr>
          <w:p w:rsidR="00C67E97" w:rsidRPr="003E3CD2" w:rsidRDefault="00976446" w:rsidP="00A867DE">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pPr>
            <w:r>
              <w:t>122,723</w:t>
            </w:r>
          </w:p>
        </w:tc>
        <w:tc>
          <w:tcPr>
            <w:tcW w:w="1380" w:type="dxa"/>
            <w:tcBorders>
              <w:top w:val="single" w:sz="4" w:space="0" w:color="auto"/>
              <w:left w:val="nil"/>
              <w:bottom w:val="single" w:sz="4" w:space="0" w:color="auto"/>
              <w:right w:val="nil"/>
            </w:tcBorders>
            <w:shd w:val="clear" w:color="auto" w:fill="auto"/>
            <w:vAlign w:val="bottom"/>
          </w:tcPr>
          <w:p w:rsidR="00C67E97" w:rsidRPr="003E3CD2" w:rsidRDefault="00976446" w:rsidP="00A867DE">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pPr>
            <w:r>
              <w:t>99,006</w:t>
            </w:r>
          </w:p>
        </w:tc>
        <w:tc>
          <w:tcPr>
            <w:tcW w:w="1380" w:type="dxa"/>
            <w:tcBorders>
              <w:top w:val="single" w:sz="4" w:space="0" w:color="auto"/>
              <w:left w:val="nil"/>
              <w:bottom w:val="single" w:sz="4" w:space="0" w:color="auto"/>
              <w:right w:val="nil"/>
            </w:tcBorders>
            <w:shd w:val="clear" w:color="auto" w:fill="auto"/>
            <w:vAlign w:val="bottom"/>
          </w:tcPr>
          <w:p w:rsidR="00C67E97" w:rsidRPr="003E3CD2" w:rsidRDefault="00976446" w:rsidP="00A867DE">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rPr>
                <w:szCs w:val="20"/>
              </w:rPr>
            </w:pPr>
            <w:r>
              <w:rPr>
                <w:szCs w:val="20"/>
              </w:rPr>
              <w:t>104,348</w:t>
            </w:r>
          </w:p>
        </w:tc>
      </w:tr>
      <w:tr w:rsidR="00C67E97" w:rsidTr="00823717">
        <w:tc>
          <w:tcPr>
            <w:tcW w:w="3579" w:type="dxa"/>
            <w:tcBorders>
              <w:top w:val="single" w:sz="4" w:space="0" w:color="auto"/>
              <w:left w:val="nil"/>
              <w:bottom w:val="single" w:sz="4" w:space="0" w:color="auto"/>
              <w:right w:val="nil"/>
            </w:tcBorders>
          </w:tcPr>
          <w:p w:rsidR="00C67E97" w:rsidRDefault="00C67E97" w:rsidP="00A867DE">
            <w:pPr>
              <w:pStyle w:val="Heading7"/>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t>Output 4.1:  Emergency Services</w:t>
            </w:r>
          </w:p>
        </w:tc>
        <w:tc>
          <w:tcPr>
            <w:tcW w:w="1381" w:type="dxa"/>
            <w:tcBorders>
              <w:top w:val="single" w:sz="4" w:space="0" w:color="auto"/>
              <w:left w:val="nil"/>
              <w:bottom w:val="single" w:sz="4" w:space="0" w:color="auto"/>
              <w:right w:val="nil"/>
            </w:tcBorders>
            <w:shd w:val="clear" w:color="auto" w:fill="auto"/>
            <w:vAlign w:val="bottom"/>
          </w:tcPr>
          <w:p w:rsidR="00C67E97" w:rsidRPr="003E3CD2" w:rsidRDefault="00976446" w:rsidP="00A867DE">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pPr>
            <w:r>
              <w:t>116,328</w:t>
            </w:r>
          </w:p>
        </w:tc>
        <w:tc>
          <w:tcPr>
            <w:tcW w:w="1380" w:type="dxa"/>
            <w:tcBorders>
              <w:top w:val="single" w:sz="4" w:space="0" w:color="auto"/>
              <w:left w:val="nil"/>
              <w:bottom w:val="single" w:sz="4" w:space="0" w:color="auto"/>
              <w:right w:val="nil"/>
            </w:tcBorders>
            <w:shd w:val="clear" w:color="auto" w:fill="auto"/>
            <w:vAlign w:val="bottom"/>
          </w:tcPr>
          <w:p w:rsidR="00C67E97" w:rsidRPr="003E3CD2" w:rsidRDefault="00976446" w:rsidP="00A867DE">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pPr>
            <w:r>
              <w:t>122,723</w:t>
            </w:r>
          </w:p>
        </w:tc>
        <w:tc>
          <w:tcPr>
            <w:tcW w:w="1380" w:type="dxa"/>
            <w:tcBorders>
              <w:top w:val="single" w:sz="4" w:space="0" w:color="auto"/>
              <w:left w:val="nil"/>
              <w:bottom w:val="single" w:sz="4" w:space="0" w:color="auto"/>
              <w:right w:val="nil"/>
            </w:tcBorders>
            <w:shd w:val="clear" w:color="auto" w:fill="auto"/>
            <w:vAlign w:val="bottom"/>
          </w:tcPr>
          <w:p w:rsidR="00C67E97" w:rsidRPr="003E3CD2" w:rsidRDefault="00976446" w:rsidP="00A867DE">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pPr>
            <w:r>
              <w:t>99,006</w:t>
            </w:r>
          </w:p>
        </w:tc>
        <w:tc>
          <w:tcPr>
            <w:tcW w:w="1380" w:type="dxa"/>
            <w:tcBorders>
              <w:top w:val="single" w:sz="4" w:space="0" w:color="auto"/>
              <w:left w:val="nil"/>
              <w:bottom w:val="single" w:sz="4" w:space="0" w:color="auto"/>
              <w:right w:val="nil"/>
            </w:tcBorders>
            <w:shd w:val="clear" w:color="auto" w:fill="auto"/>
            <w:vAlign w:val="bottom"/>
          </w:tcPr>
          <w:p w:rsidR="00C67E97" w:rsidRPr="003E3CD2" w:rsidRDefault="00976446" w:rsidP="00A867DE">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rPr>
                <w:szCs w:val="20"/>
              </w:rPr>
            </w:pPr>
            <w:r>
              <w:rPr>
                <w:szCs w:val="20"/>
              </w:rPr>
              <w:t>104,348</w:t>
            </w:r>
          </w:p>
        </w:tc>
      </w:tr>
    </w:tbl>
    <w:p w:rsidR="00C67E97" w:rsidRPr="0015518F" w:rsidRDefault="00C67E97" w:rsidP="00A867DE">
      <w:pPr>
        <w:spacing w:before="120"/>
        <w:rPr>
          <w:b/>
          <w:bCs/>
          <w:sz w:val="16"/>
          <w:szCs w:val="16"/>
        </w:rPr>
      </w:pPr>
      <w:r w:rsidRPr="0015518F">
        <w:rPr>
          <w:b/>
          <w:bCs/>
          <w:sz w:val="16"/>
          <w:szCs w:val="16"/>
        </w:rPr>
        <w:t xml:space="preserve">Note:  </w:t>
      </w:r>
    </w:p>
    <w:p w:rsidR="00C67E97" w:rsidRPr="00A63B7F" w:rsidRDefault="00C67E97" w:rsidP="00A867DE">
      <w:pPr>
        <w:pStyle w:val="AINotes"/>
        <w:numPr>
          <w:ilvl w:val="0"/>
          <w:numId w:val="31"/>
        </w:numPr>
      </w:pPr>
      <w:r w:rsidRPr="00A63B7F">
        <w:t>Total cost includes depreciation and amortisation of $</w:t>
      </w:r>
      <w:r w:rsidR="00976446">
        <w:t xml:space="preserve">8.490 </w:t>
      </w:r>
      <w:r w:rsidRPr="00A63B7F">
        <w:t>million in 201</w:t>
      </w:r>
      <w:r>
        <w:t>2</w:t>
      </w:r>
      <w:r w:rsidRPr="00A63B7F">
        <w:t>-1</w:t>
      </w:r>
      <w:r>
        <w:t>3</w:t>
      </w:r>
      <w:r w:rsidRPr="00A63B7F">
        <w:t xml:space="preserve"> and $</w:t>
      </w:r>
      <w:r w:rsidR="00976446">
        <w:t xml:space="preserve">12.194 </w:t>
      </w:r>
      <w:r w:rsidRPr="00A63B7F">
        <w:t>million in 201</w:t>
      </w:r>
      <w:r>
        <w:t>3</w:t>
      </w:r>
      <w:r w:rsidRPr="00A63B7F">
        <w:t>-1</w:t>
      </w:r>
      <w:r>
        <w:t>4</w:t>
      </w:r>
      <w:r w:rsidRPr="00A63B7F">
        <w:t>.</w:t>
      </w:r>
    </w:p>
    <w:p w:rsidR="00C67E97" w:rsidRDefault="00C67E97" w:rsidP="00435303">
      <w:pPr>
        <w:pStyle w:val="Heading4"/>
        <w:spacing w:before="120"/>
      </w:pPr>
      <w:r w:rsidRPr="00A63B7F">
        <w:t>Output Description</w:t>
      </w:r>
    </w:p>
    <w:p w:rsidR="00C67E97" w:rsidRPr="00A63B7F" w:rsidRDefault="00C67E97" w:rsidP="00A867DE">
      <w:pPr>
        <w:pStyle w:val="BodyTextIndent"/>
        <w:keepNext w:val="0"/>
      </w:pPr>
      <w:r>
        <w:t>Prevention and Mitigation:</w:t>
      </w:r>
      <w:r w:rsidRPr="00A63B7F">
        <w:t xml:space="preserve"> Measures taken in advance of an emergency aimed at decreasing or eliminating its impact on the community and the environment.</w:t>
      </w:r>
    </w:p>
    <w:p w:rsidR="00A867DE" w:rsidRDefault="00C67E97" w:rsidP="00A867DE">
      <w:pPr>
        <w:pStyle w:val="BodyTextIndent"/>
        <w:keepNext w:val="0"/>
      </w:pPr>
      <w:r w:rsidRPr="00A63B7F">
        <w:t>Preparedness</w:t>
      </w:r>
      <w:r>
        <w:t xml:space="preserve">: </w:t>
      </w:r>
      <w:r w:rsidRPr="00A63B7F">
        <w:t>Measures to ensure that, should an emergency occur, communities, resources and services are capable of responding to and coping with the effects.</w:t>
      </w:r>
    </w:p>
    <w:p w:rsidR="00C67E97" w:rsidRPr="00D325FA" w:rsidRDefault="00C67E97" w:rsidP="00A867DE">
      <w:pPr>
        <w:pStyle w:val="BodyTextIndent"/>
        <w:keepNext w:val="0"/>
      </w:pPr>
      <w:r w:rsidRPr="00A63B7F">
        <w:t>Respons</w:t>
      </w:r>
      <w:r>
        <w:t xml:space="preserve">e: </w:t>
      </w:r>
      <w:r w:rsidRPr="00D325FA">
        <w:t xml:space="preserve">Strategies and services to </w:t>
      </w:r>
      <w:proofErr w:type="gramStart"/>
      <w:r w:rsidRPr="00D325FA">
        <w:t>control,</w:t>
      </w:r>
      <w:proofErr w:type="gramEnd"/>
      <w:r w:rsidRPr="00D325FA">
        <w:t xml:space="preserve"> limit or modify an emergency to reduce its consequences.</w:t>
      </w:r>
    </w:p>
    <w:p w:rsidR="005F50DE" w:rsidRDefault="00C67E97" w:rsidP="00A867DE">
      <w:pPr>
        <w:pStyle w:val="BodyTextIndent"/>
        <w:keepNext w:val="0"/>
      </w:pPr>
      <w:r w:rsidRPr="00A63B7F">
        <w:t>Recovery</w:t>
      </w:r>
      <w:r>
        <w:t xml:space="preserve">: </w:t>
      </w:r>
      <w:r w:rsidRPr="00A63B7F">
        <w:t>Strategies and services to return the ACT Emergency Services Agency to a state of preparedness after emergency situations and to assist with community recovery.</w:t>
      </w:r>
    </w:p>
    <w:tbl>
      <w:tblPr>
        <w:tblW w:w="9100" w:type="dxa"/>
        <w:tblLayout w:type="fixed"/>
        <w:tblLook w:val="0000"/>
      </w:tblPr>
      <w:tblGrid>
        <w:gridCol w:w="3579"/>
        <w:gridCol w:w="1381"/>
        <w:gridCol w:w="1380"/>
        <w:gridCol w:w="1380"/>
        <w:gridCol w:w="1380"/>
      </w:tblGrid>
      <w:tr w:rsidR="00C67E97" w:rsidTr="005F50DE">
        <w:tc>
          <w:tcPr>
            <w:tcW w:w="3579" w:type="dxa"/>
            <w:tcBorders>
              <w:top w:val="single" w:sz="4" w:space="0" w:color="auto"/>
              <w:left w:val="nil"/>
              <w:bottom w:val="nil"/>
              <w:right w:val="nil"/>
            </w:tcBorders>
          </w:tcPr>
          <w:p w:rsidR="00C67E97" w:rsidRDefault="00C67E97" w:rsidP="007235C9">
            <w:pPr>
              <w:pStyle w:val="Heading2"/>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0"/>
              <w:ind w:left="357"/>
              <w:jc w:val="right"/>
              <w:rPr>
                <w:b w:val="0"/>
                <w:bCs/>
                <w:i/>
                <w:iCs/>
              </w:rPr>
            </w:pPr>
          </w:p>
        </w:tc>
        <w:tc>
          <w:tcPr>
            <w:tcW w:w="2761" w:type="dxa"/>
            <w:gridSpan w:val="2"/>
            <w:tcBorders>
              <w:top w:val="single" w:sz="4" w:space="0" w:color="auto"/>
              <w:left w:val="nil"/>
              <w:bottom w:val="single" w:sz="4" w:space="0" w:color="auto"/>
              <w:right w:val="nil"/>
            </w:tcBorders>
          </w:tcPr>
          <w:p w:rsidR="00C67E97" w:rsidRDefault="00C67E97" w:rsidP="007235C9">
            <w:pPr>
              <w:pStyle w:val="TableHeadingCent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pPr>
            <w:r>
              <w:t>Total Cost</w:t>
            </w:r>
            <w:r w:rsidRPr="00823717">
              <w:rPr>
                <w:rFonts w:asciiTheme="minorHAnsi" w:hAnsiTheme="minorHAnsi"/>
                <w:vertAlign w:val="superscript"/>
              </w:rPr>
              <w:t>1</w:t>
            </w:r>
          </w:p>
        </w:tc>
        <w:tc>
          <w:tcPr>
            <w:tcW w:w="2760" w:type="dxa"/>
            <w:gridSpan w:val="2"/>
            <w:tcBorders>
              <w:top w:val="single" w:sz="4" w:space="0" w:color="auto"/>
              <w:left w:val="nil"/>
              <w:bottom w:val="single" w:sz="4" w:space="0" w:color="auto"/>
              <w:right w:val="nil"/>
            </w:tcBorders>
          </w:tcPr>
          <w:p w:rsidR="00C67E97" w:rsidRDefault="00C67E97" w:rsidP="007235C9">
            <w:pPr>
              <w:pStyle w:val="TableHeadingCent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pPr>
            <w:r>
              <w:t>Payment for Expenses on Behalf of Territory</w:t>
            </w:r>
          </w:p>
        </w:tc>
      </w:tr>
      <w:tr w:rsidR="00C67E97" w:rsidTr="005F50DE">
        <w:tc>
          <w:tcPr>
            <w:tcW w:w="3579" w:type="dxa"/>
            <w:tcBorders>
              <w:top w:val="nil"/>
              <w:left w:val="nil"/>
              <w:bottom w:val="single" w:sz="4" w:space="0" w:color="auto"/>
              <w:right w:val="nil"/>
            </w:tcBorders>
          </w:tcPr>
          <w:p w:rsidR="00C67E97" w:rsidRDefault="00C67E97" w:rsidP="007235C9">
            <w:pPr>
              <w:pStyle w:val="SinglePar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p>
        </w:tc>
        <w:tc>
          <w:tcPr>
            <w:tcW w:w="1381" w:type="dxa"/>
            <w:tcBorders>
              <w:top w:val="single" w:sz="4" w:space="0" w:color="auto"/>
              <w:left w:val="nil"/>
              <w:bottom w:val="single" w:sz="4" w:space="0" w:color="auto"/>
              <w:right w:val="nil"/>
            </w:tcBorders>
          </w:tcPr>
          <w:p w:rsidR="00C67E97" w:rsidRPr="007D7E5E"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2012</w:t>
            </w:r>
            <w:r w:rsidRPr="007D7E5E">
              <w:noBreakHyphen/>
              <w:t>13</w:t>
            </w:r>
            <w:r w:rsidRPr="007D7E5E">
              <w:br/>
              <w:t>Est. Outcome</w:t>
            </w:r>
          </w:p>
          <w:p w:rsidR="00C67E97" w:rsidRPr="007D7E5E"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c>
          <w:tcPr>
            <w:tcW w:w="1380" w:type="dxa"/>
            <w:tcBorders>
              <w:top w:val="single" w:sz="4" w:space="0" w:color="auto"/>
              <w:left w:val="nil"/>
              <w:bottom w:val="single" w:sz="4" w:space="0" w:color="auto"/>
              <w:right w:val="nil"/>
            </w:tcBorders>
          </w:tcPr>
          <w:p w:rsidR="00C67E97" w:rsidRPr="007D7E5E"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w:t>
            </w:r>
            <w:r>
              <w:t>3</w:t>
            </w:r>
            <w:r w:rsidRPr="007D7E5E">
              <w:noBreakHyphen/>
              <w:t>1</w:t>
            </w:r>
            <w:r>
              <w:t>4</w:t>
            </w:r>
          </w:p>
          <w:p w:rsidR="00C67E97" w:rsidRPr="007D7E5E"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Budget</w:t>
            </w:r>
          </w:p>
          <w:p w:rsidR="00C67E97" w:rsidRPr="007D7E5E"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c>
          <w:tcPr>
            <w:tcW w:w="1380" w:type="dxa"/>
            <w:tcBorders>
              <w:top w:val="single" w:sz="4" w:space="0" w:color="auto"/>
              <w:left w:val="nil"/>
              <w:bottom w:val="single" w:sz="4" w:space="0" w:color="auto"/>
              <w:right w:val="nil"/>
            </w:tcBorders>
          </w:tcPr>
          <w:p w:rsidR="00C67E97" w:rsidRPr="007D7E5E"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2012</w:t>
            </w:r>
            <w:r w:rsidRPr="007D7E5E">
              <w:noBreakHyphen/>
              <w:t>13</w:t>
            </w:r>
            <w:r w:rsidRPr="007D7E5E">
              <w:br/>
              <w:t>Est. Outcome</w:t>
            </w:r>
          </w:p>
          <w:p w:rsidR="00C67E97" w:rsidRPr="007D7E5E"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c>
          <w:tcPr>
            <w:tcW w:w="1380" w:type="dxa"/>
            <w:tcBorders>
              <w:top w:val="single" w:sz="4" w:space="0" w:color="auto"/>
              <w:left w:val="nil"/>
              <w:bottom w:val="single" w:sz="4" w:space="0" w:color="auto"/>
              <w:right w:val="nil"/>
            </w:tcBorders>
          </w:tcPr>
          <w:p w:rsidR="00C67E97" w:rsidRPr="007D7E5E"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201</w:t>
            </w:r>
            <w:r>
              <w:t>3</w:t>
            </w:r>
            <w:r w:rsidRPr="007D7E5E">
              <w:noBreakHyphen/>
              <w:t>1</w:t>
            </w:r>
            <w:r>
              <w:t>4</w:t>
            </w:r>
          </w:p>
          <w:p w:rsidR="00C67E97" w:rsidRPr="007D7E5E"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Budget</w:t>
            </w:r>
          </w:p>
          <w:p w:rsidR="00C67E97" w:rsidRPr="007D7E5E"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7D7E5E">
              <w:t xml:space="preserve">$’000 </w:t>
            </w:r>
          </w:p>
        </w:tc>
      </w:tr>
      <w:tr w:rsidR="00C67E97" w:rsidRPr="001A7285" w:rsidTr="005F50DE">
        <w:tc>
          <w:tcPr>
            <w:tcW w:w="3579" w:type="dxa"/>
            <w:tcBorders>
              <w:top w:val="single" w:sz="4" w:space="0" w:color="auto"/>
              <w:left w:val="nil"/>
              <w:bottom w:val="single" w:sz="4" w:space="0" w:color="auto"/>
              <w:right w:val="nil"/>
            </w:tcBorders>
            <w:vAlign w:val="center"/>
          </w:tcPr>
          <w:p w:rsidR="00C67E97"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t>EBT 1</w:t>
            </w:r>
            <w:r w:rsidR="0015723F">
              <w:rPr>
                <w:color w:val="000000"/>
              </w:rPr>
              <w:t>:</w:t>
            </w:r>
          </w:p>
          <w:p w:rsidR="00C67E97"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t>ACT Policing</w:t>
            </w:r>
          </w:p>
        </w:tc>
        <w:tc>
          <w:tcPr>
            <w:tcW w:w="1381" w:type="dxa"/>
            <w:tcBorders>
              <w:top w:val="single" w:sz="4" w:space="0" w:color="auto"/>
              <w:left w:val="nil"/>
              <w:bottom w:val="single" w:sz="4" w:space="0" w:color="auto"/>
              <w:right w:val="nil"/>
            </w:tcBorders>
            <w:shd w:val="clear" w:color="auto" w:fill="auto"/>
            <w:vAlign w:val="center"/>
          </w:tcPr>
          <w:p w:rsidR="00C67E97" w:rsidRPr="00384CC9" w:rsidRDefault="0082371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148,215</w:t>
            </w:r>
          </w:p>
        </w:tc>
        <w:tc>
          <w:tcPr>
            <w:tcW w:w="1380" w:type="dxa"/>
            <w:tcBorders>
              <w:top w:val="single" w:sz="4" w:space="0" w:color="auto"/>
              <w:left w:val="nil"/>
              <w:bottom w:val="single" w:sz="4" w:space="0" w:color="auto"/>
              <w:right w:val="nil"/>
            </w:tcBorders>
            <w:shd w:val="clear" w:color="auto" w:fill="auto"/>
            <w:vAlign w:val="center"/>
          </w:tcPr>
          <w:p w:rsidR="00C67E97" w:rsidRPr="00384CC9" w:rsidRDefault="0082371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t>152,276</w:t>
            </w:r>
          </w:p>
        </w:tc>
        <w:tc>
          <w:tcPr>
            <w:tcW w:w="1380" w:type="dxa"/>
            <w:tcBorders>
              <w:top w:val="single" w:sz="4" w:space="0" w:color="auto"/>
              <w:left w:val="nil"/>
              <w:bottom w:val="single" w:sz="4" w:space="0" w:color="auto"/>
              <w:right w:val="nil"/>
            </w:tcBorders>
            <w:shd w:val="clear" w:color="auto" w:fill="auto"/>
            <w:vAlign w:val="center"/>
          </w:tcPr>
          <w:p w:rsidR="00C67E97" w:rsidRPr="00384CC9" w:rsidRDefault="0082371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145,968</w:t>
            </w:r>
          </w:p>
        </w:tc>
        <w:tc>
          <w:tcPr>
            <w:tcW w:w="1380" w:type="dxa"/>
            <w:tcBorders>
              <w:top w:val="single" w:sz="4" w:space="0" w:color="auto"/>
              <w:left w:val="nil"/>
              <w:bottom w:val="single" w:sz="4" w:space="0" w:color="auto"/>
              <w:right w:val="nil"/>
            </w:tcBorders>
            <w:shd w:val="clear" w:color="auto" w:fill="auto"/>
            <w:vAlign w:val="center"/>
          </w:tcPr>
          <w:p w:rsidR="00C67E97" w:rsidRPr="00384CC9" w:rsidRDefault="0082371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t>149,966</w:t>
            </w:r>
          </w:p>
        </w:tc>
      </w:tr>
      <w:tr w:rsidR="00C67E97" w:rsidRPr="001A7285" w:rsidTr="005F50DE">
        <w:tc>
          <w:tcPr>
            <w:tcW w:w="3579" w:type="dxa"/>
            <w:tcBorders>
              <w:top w:val="single" w:sz="4" w:space="0" w:color="auto"/>
              <w:left w:val="nil"/>
              <w:bottom w:val="single" w:sz="4" w:space="0" w:color="auto"/>
              <w:right w:val="nil"/>
            </w:tcBorders>
            <w:vAlign w:val="center"/>
          </w:tcPr>
          <w:p w:rsidR="00C67E97"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t>Output EBT 1:  ACT Policing</w:t>
            </w:r>
          </w:p>
        </w:tc>
        <w:tc>
          <w:tcPr>
            <w:tcW w:w="1381" w:type="dxa"/>
            <w:tcBorders>
              <w:top w:val="single" w:sz="4" w:space="0" w:color="auto"/>
              <w:left w:val="nil"/>
              <w:bottom w:val="single" w:sz="4" w:space="0" w:color="auto"/>
              <w:right w:val="nil"/>
            </w:tcBorders>
            <w:shd w:val="clear" w:color="auto" w:fill="auto"/>
            <w:vAlign w:val="center"/>
          </w:tcPr>
          <w:p w:rsidR="00C67E97" w:rsidRPr="00384CC9" w:rsidRDefault="0082371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148,215</w:t>
            </w:r>
          </w:p>
        </w:tc>
        <w:tc>
          <w:tcPr>
            <w:tcW w:w="1380" w:type="dxa"/>
            <w:tcBorders>
              <w:top w:val="single" w:sz="4" w:space="0" w:color="auto"/>
              <w:left w:val="nil"/>
              <w:bottom w:val="single" w:sz="4" w:space="0" w:color="auto"/>
              <w:right w:val="nil"/>
            </w:tcBorders>
            <w:shd w:val="clear" w:color="auto" w:fill="auto"/>
            <w:vAlign w:val="center"/>
          </w:tcPr>
          <w:p w:rsidR="00C67E97" w:rsidRPr="00384CC9" w:rsidRDefault="0082371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t>152,276</w:t>
            </w:r>
          </w:p>
        </w:tc>
        <w:tc>
          <w:tcPr>
            <w:tcW w:w="1380" w:type="dxa"/>
            <w:tcBorders>
              <w:top w:val="single" w:sz="4" w:space="0" w:color="auto"/>
              <w:left w:val="nil"/>
              <w:bottom w:val="single" w:sz="4" w:space="0" w:color="auto"/>
              <w:right w:val="nil"/>
            </w:tcBorders>
            <w:shd w:val="clear" w:color="auto" w:fill="auto"/>
            <w:vAlign w:val="center"/>
          </w:tcPr>
          <w:p w:rsidR="00C67E97" w:rsidRPr="00384CC9" w:rsidRDefault="0082371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145,968</w:t>
            </w:r>
          </w:p>
        </w:tc>
        <w:tc>
          <w:tcPr>
            <w:tcW w:w="1380" w:type="dxa"/>
            <w:tcBorders>
              <w:top w:val="single" w:sz="4" w:space="0" w:color="auto"/>
              <w:left w:val="nil"/>
              <w:bottom w:val="single" w:sz="4" w:space="0" w:color="auto"/>
              <w:right w:val="nil"/>
            </w:tcBorders>
            <w:shd w:val="clear" w:color="auto" w:fill="auto"/>
            <w:vAlign w:val="center"/>
          </w:tcPr>
          <w:p w:rsidR="00C67E97" w:rsidRPr="00384CC9" w:rsidRDefault="0082371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t>149,966</w:t>
            </w:r>
          </w:p>
        </w:tc>
      </w:tr>
    </w:tbl>
    <w:p w:rsidR="00C67E97" w:rsidRPr="0015518F" w:rsidRDefault="00C67E97" w:rsidP="00C67E97">
      <w:pPr>
        <w:spacing w:before="120"/>
        <w:rPr>
          <w:b/>
          <w:bCs/>
          <w:sz w:val="16"/>
          <w:szCs w:val="16"/>
        </w:rPr>
      </w:pPr>
      <w:r w:rsidRPr="0015518F">
        <w:rPr>
          <w:b/>
          <w:bCs/>
          <w:sz w:val="16"/>
          <w:szCs w:val="16"/>
        </w:rPr>
        <w:t xml:space="preserve">Note:  </w:t>
      </w:r>
    </w:p>
    <w:p w:rsidR="00C67E97" w:rsidRPr="00A63B7F" w:rsidRDefault="00C67E97" w:rsidP="00C67E97">
      <w:pPr>
        <w:pStyle w:val="AINotes"/>
        <w:numPr>
          <w:ilvl w:val="0"/>
          <w:numId w:val="32"/>
        </w:numPr>
      </w:pPr>
      <w:r w:rsidRPr="00A63B7F">
        <w:t xml:space="preserve">Total cost includes depreciation and amortisation of </w:t>
      </w:r>
      <w:r w:rsidR="00F80152">
        <w:t xml:space="preserve">$2.247 </w:t>
      </w:r>
      <w:r w:rsidRPr="00A63B7F">
        <w:t>million in 201</w:t>
      </w:r>
      <w:r>
        <w:t>2</w:t>
      </w:r>
      <w:r w:rsidRPr="00A63B7F">
        <w:t>-1</w:t>
      </w:r>
      <w:r>
        <w:t>3</w:t>
      </w:r>
      <w:r w:rsidRPr="00A63B7F">
        <w:t xml:space="preserve"> and $</w:t>
      </w:r>
      <w:r w:rsidR="00F80152">
        <w:t xml:space="preserve">2.310 </w:t>
      </w:r>
      <w:r>
        <w:t>million in 2013</w:t>
      </w:r>
      <w:r w:rsidRPr="00A63B7F">
        <w:t>-1</w:t>
      </w:r>
      <w:r>
        <w:t>4</w:t>
      </w:r>
      <w:r w:rsidRPr="00A63B7F">
        <w:t>.</w:t>
      </w:r>
    </w:p>
    <w:p w:rsidR="00C67E97" w:rsidRPr="00A63B7F" w:rsidRDefault="00C67E97" w:rsidP="00435303">
      <w:pPr>
        <w:pStyle w:val="Heading4"/>
        <w:spacing w:before="120"/>
      </w:pPr>
      <w:r w:rsidRPr="00A63B7F">
        <w:t>Output Description</w:t>
      </w:r>
    </w:p>
    <w:p w:rsidR="00C67E97" w:rsidRPr="00A63B7F" w:rsidRDefault="00C67E97" w:rsidP="00C67E97">
      <w:pPr>
        <w:pStyle w:val="BodyText"/>
      </w:pPr>
      <w:r w:rsidRPr="00A63B7F">
        <w:t>Payment to ACT Policing (the ACT branch of the Australian Federal Police) for the provision of police services to the ACT community.  These services include the protection of persons and property, crime prevention and detection, maintaining peace and good order and the enforcement of ACT laws.</w:t>
      </w:r>
    </w:p>
    <w:p w:rsidR="00F44D04" w:rsidRDefault="00C67E97" w:rsidP="00C67E97">
      <w:pPr>
        <w:pStyle w:val="Heading3"/>
        <w:spacing w:before="0"/>
        <w:rPr>
          <w:color w:val="000000"/>
        </w:rPr>
      </w:pPr>
      <w:r>
        <w:rPr>
          <w:color w:val="000000"/>
        </w:rPr>
        <w:br w:type="page"/>
      </w:r>
    </w:p>
    <w:p w:rsidR="00C67E97" w:rsidRPr="00D325FA" w:rsidRDefault="00C67E97" w:rsidP="00C67E97">
      <w:pPr>
        <w:pStyle w:val="Heading3"/>
        <w:spacing w:before="0"/>
      </w:pPr>
      <w:r w:rsidRPr="00D325FA">
        <w:lastRenderedPageBreak/>
        <w:t>Accountability Indicators</w:t>
      </w:r>
    </w:p>
    <w:tbl>
      <w:tblPr>
        <w:tblW w:w="9356" w:type="dxa"/>
        <w:tblLayout w:type="fixed"/>
        <w:tblLook w:val="0000"/>
      </w:tblPr>
      <w:tblGrid>
        <w:gridCol w:w="5066"/>
        <w:gridCol w:w="1430"/>
        <w:gridCol w:w="1430"/>
        <w:gridCol w:w="1430"/>
      </w:tblGrid>
      <w:tr w:rsidR="00C67E97" w:rsidRPr="005D2BC3" w:rsidTr="005E1840">
        <w:trPr>
          <w:cantSplit/>
        </w:trPr>
        <w:tc>
          <w:tcPr>
            <w:tcW w:w="5066" w:type="dxa"/>
            <w:tcBorders>
              <w:top w:val="single" w:sz="4" w:space="0" w:color="auto"/>
              <w:left w:val="nil"/>
              <w:bottom w:val="single" w:sz="4" w:space="0" w:color="auto"/>
              <w:right w:val="nil"/>
            </w:tcBorders>
          </w:tcPr>
          <w:p w:rsidR="00C67E97" w:rsidRPr="005D2BC3" w:rsidRDefault="00C67E97" w:rsidP="0072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b/>
                <w:bCs/>
                <w:sz w:val="20"/>
              </w:rPr>
            </w:pPr>
          </w:p>
        </w:tc>
        <w:tc>
          <w:tcPr>
            <w:tcW w:w="1430" w:type="dxa"/>
            <w:tcBorders>
              <w:top w:val="single" w:sz="4" w:space="0" w:color="auto"/>
              <w:left w:val="nil"/>
              <w:bottom w:val="single" w:sz="4" w:space="0" w:color="auto"/>
              <w:right w:val="nil"/>
            </w:tcBorders>
          </w:tcPr>
          <w:p w:rsidR="00C67E97" w:rsidRPr="005D2BC3"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r>
              <w:rPr>
                <w:rFonts w:cs="Calibri"/>
              </w:rPr>
              <w:t>2012-13</w:t>
            </w:r>
            <w:r w:rsidRPr="005D2BC3">
              <w:rPr>
                <w:rFonts w:cs="Calibri"/>
              </w:rPr>
              <w:br/>
              <w:t>Targets</w:t>
            </w:r>
          </w:p>
        </w:tc>
        <w:tc>
          <w:tcPr>
            <w:tcW w:w="1430" w:type="dxa"/>
            <w:tcBorders>
              <w:top w:val="single" w:sz="4" w:space="0" w:color="auto"/>
              <w:left w:val="nil"/>
              <w:bottom w:val="single" w:sz="4" w:space="0" w:color="auto"/>
              <w:right w:val="nil"/>
            </w:tcBorders>
          </w:tcPr>
          <w:p w:rsidR="00C67E97" w:rsidRPr="005D2BC3"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r>
              <w:rPr>
                <w:rFonts w:cs="Calibri"/>
              </w:rPr>
              <w:t>2012-13</w:t>
            </w:r>
            <w:r w:rsidRPr="005D2BC3">
              <w:rPr>
                <w:rFonts w:cs="Calibri"/>
              </w:rPr>
              <w:br/>
              <w:t>Est. Outcome</w:t>
            </w:r>
          </w:p>
        </w:tc>
        <w:tc>
          <w:tcPr>
            <w:tcW w:w="1430" w:type="dxa"/>
            <w:tcBorders>
              <w:top w:val="single" w:sz="4" w:space="0" w:color="auto"/>
              <w:left w:val="nil"/>
              <w:bottom w:val="single" w:sz="4" w:space="0" w:color="auto"/>
              <w:right w:val="nil"/>
            </w:tcBorders>
          </w:tcPr>
          <w:p w:rsidR="00C67E97" w:rsidRPr="005D2BC3"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r w:rsidRPr="005D2BC3">
              <w:rPr>
                <w:rFonts w:cs="Calibri"/>
              </w:rPr>
              <w:t>201</w:t>
            </w:r>
            <w:r>
              <w:rPr>
                <w:rFonts w:cs="Calibri"/>
              </w:rPr>
              <w:t>3</w:t>
            </w:r>
            <w:r w:rsidRPr="005D2BC3">
              <w:rPr>
                <w:rFonts w:cs="Calibri"/>
              </w:rPr>
              <w:t>-1</w:t>
            </w:r>
            <w:r>
              <w:rPr>
                <w:rFonts w:cs="Calibri"/>
              </w:rPr>
              <w:t>4</w:t>
            </w:r>
            <w:r w:rsidRPr="005D2BC3">
              <w:rPr>
                <w:rFonts w:cs="Calibri"/>
              </w:rPr>
              <w:br/>
              <w:t>Targets</w:t>
            </w:r>
          </w:p>
        </w:tc>
      </w:tr>
      <w:tr w:rsidR="00C67E97" w:rsidRPr="005D2BC3" w:rsidTr="005E1840">
        <w:trPr>
          <w:cantSplit/>
        </w:trPr>
        <w:tc>
          <w:tcPr>
            <w:tcW w:w="5066" w:type="dxa"/>
            <w:tcBorders>
              <w:top w:val="single" w:sz="4" w:space="0" w:color="auto"/>
              <w:left w:val="nil"/>
              <w:bottom w:val="single" w:sz="4" w:space="0" w:color="auto"/>
              <w:right w:val="nil"/>
            </w:tcBorders>
            <w:vAlign w:val="center"/>
          </w:tcPr>
          <w:p w:rsidR="00C67E97" w:rsidRPr="005D2BC3"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r w:rsidRPr="005D2BC3">
              <w:rPr>
                <w:rFonts w:cs="Calibri"/>
              </w:rPr>
              <w:t>Output Class 1:  Justice Services</w:t>
            </w:r>
          </w:p>
        </w:tc>
        <w:tc>
          <w:tcPr>
            <w:tcW w:w="1430" w:type="dxa"/>
            <w:tcBorders>
              <w:top w:val="single" w:sz="4" w:space="0" w:color="auto"/>
              <w:left w:val="nil"/>
              <w:bottom w:val="single" w:sz="4" w:space="0" w:color="auto"/>
              <w:right w:val="nil"/>
            </w:tcBorders>
            <w:vAlign w:val="center"/>
          </w:tcPr>
          <w:p w:rsidR="00C67E97" w:rsidRPr="005D2BC3"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highlight w:val="yellow"/>
              </w:rPr>
            </w:pPr>
          </w:p>
        </w:tc>
        <w:tc>
          <w:tcPr>
            <w:tcW w:w="1430" w:type="dxa"/>
            <w:tcBorders>
              <w:top w:val="single" w:sz="4" w:space="0" w:color="auto"/>
              <w:left w:val="nil"/>
              <w:bottom w:val="single" w:sz="4" w:space="0" w:color="auto"/>
              <w:right w:val="nil"/>
            </w:tcBorders>
            <w:vAlign w:val="center"/>
          </w:tcPr>
          <w:p w:rsidR="00C67E97" w:rsidRPr="005D2BC3"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highlight w:val="yellow"/>
              </w:rPr>
            </w:pPr>
          </w:p>
        </w:tc>
        <w:tc>
          <w:tcPr>
            <w:tcW w:w="1430" w:type="dxa"/>
            <w:tcBorders>
              <w:top w:val="single" w:sz="4" w:space="0" w:color="auto"/>
              <w:left w:val="nil"/>
              <w:bottom w:val="single" w:sz="4" w:space="0" w:color="auto"/>
              <w:right w:val="nil"/>
            </w:tcBorders>
            <w:vAlign w:val="center"/>
          </w:tcPr>
          <w:p w:rsidR="00C67E97" w:rsidRPr="005D2BC3"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highlight w:val="yellow"/>
              </w:rPr>
            </w:pPr>
          </w:p>
        </w:tc>
      </w:tr>
      <w:tr w:rsidR="00C67E97" w:rsidRPr="005D2BC3" w:rsidTr="005E1840">
        <w:trPr>
          <w:cantSplit/>
        </w:trPr>
        <w:tc>
          <w:tcPr>
            <w:tcW w:w="5066" w:type="dxa"/>
            <w:tcBorders>
              <w:top w:val="single" w:sz="4" w:space="0" w:color="auto"/>
              <w:left w:val="nil"/>
              <w:bottom w:val="single" w:sz="4" w:space="0" w:color="auto"/>
              <w:right w:val="nil"/>
            </w:tcBorders>
            <w:vAlign w:val="center"/>
          </w:tcPr>
          <w:p w:rsidR="00C67E97" w:rsidRPr="005D2BC3"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r w:rsidRPr="005D2BC3">
              <w:rPr>
                <w:rFonts w:cs="Calibri"/>
              </w:rPr>
              <w:t>Output 1.1:  Policy Advice and Justice Programs</w:t>
            </w:r>
          </w:p>
        </w:tc>
        <w:tc>
          <w:tcPr>
            <w:tcW w:w="1430" w:type="dxa"/>
            <w:tcBorders>
              <w:top w:val="single" w:sz="4" w:space="0" w:color="auto"/>
              <w:left w:val="nil"/>
              <w:bottom w:val="single" w:sz="4" w:space="0" w:color="auto"/>
              <w:right w:val="nil"/>
            </w:tcBorders>
            <w:vAlign w:val="center"/>
          </w:tcPr>
          <w:p w:rsidR="00C67E97" w:rsidRPr="005D2BC3"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highlight w:val="yellow"/>
              </w:rPr>
            </w:pPr>
          </w:p>
        </w:tc>
        <w:tc>
          <w:tcPr>
            <w:tcW w:w="1430" w:type="dxa"/>
            <w:tcBorders>
              <w:top w:val="single" w:sz="4" w:space="0" w:color="auto"/>
              <w:left w:val="nil"/>
              <w:bottom w:val="single" w:sz="4" w:space="0" w:color="auto"/>
              <w:right w:val="nil"/>
            </w:tcBorders>
            <w:vAlign w:val="center"/>
          </w:tcPr>
          <w:p w:rsidR="00C67E97" w:rsidRPr="005D2BC3"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highlight w:val="yellow"/>
              </w:rPr>
            </w:pPr>
          </w:p>
        </w:tc>
        <w:tc>
          <w:tcPr>
            <w:tcW w:w="1430" w:type="dxa"/>
            <w:tcBorders>
              <w:top w:val="single" w:sz="4" w:space="0" w:color="auto"/>
              <w:left w:val="nil"/>
              <w:bottom w:val="single" w:sz="4" w:space="0" w:color="auto"/>
              <w:right w:val="nil"/>
            </w:tcBorders>
            <w:vAlign w:val="center"/>
          </w:tcPr>
          <w:p w:rsidR="00C67E97" w:rsidRPr="005D2BC3"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highlight w:val="yellow"/>
              </w:rPr>
            </w:pPr>
          </w:p>
        </w:tc>
      </w:tr>
      <w:tr w:rsidR="00C67E97" w:rsidRPr="005D2BC3" w:rsidTr="00B31219">
        <w:trPr>
          <w:cantSplit/>
        </w:trPr>
        <w:tc>
          <w:tcPr>
            <w:tcW w:w="5066" w:type="dxa"/>
            <w:tcBorders>
              <w:top w:val="nil"/>
              <w:left w:val="nil"/>
              <w:right w:val="nil"/>
            </w:tcBorders>
          </w:tcPr>
          <w:p w:rsidR="00C67E97" w:rsidRPr="005D2BC3" w:rsidRDefault="00C67E97" w:rsidP="00B31219">
            <w:pPr>
              <w:pStyle w:val="Tabletextindenta"/>
            </w:pPr>
            <w:r>
              <w:t>Percentage</w:t>
            </w:r>
            <w:r w:rsidRPr="005D2BC3">
              <w:t xml:space="preserve"> of legisl</w:t>
            </w:r>
            <w:r>
              <w:t>ation requested by the Attorney </w:t>
            </w:r>
            <w:r w:rsidRPr="005D2BC3">
              <w:t>General is developed within ti</w:t>
            </w:r>
            <w:r>
              <w:t>meframes agreed by the Attorney </w:t>
            </w:r>
            <w:r w:rsidRPr="005D2BC3">
              <w:t>General</w:t>
            </w:r>
          </w:p>
        </w:tc>
        <w:tc>
          <w:tcPr>
            <w:tcW w:w="1430" w:type="dxa"/>
            <w:tcBorders>
              <w:top w:val="nil"/>
              <w:left w:val="nil"/>
              <w:right w:val="nil"/>
            </w:tcBorders>
            <w:shd w:val="clear" w:color="auto" w:fill="auto"/>
          </w:tcPr>
          <w:p w:rsidR="00C67E97" w:rsidRPr="005D2BC3" w:rsidRDefault="00C67E97" w:rsidP="00B3121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r w:rsidRPr="005D2BC3">
              <w:rPr>
                <w:rFonts w:cs="Calibri"/>
                <w:szCs w:val="20"/>
              </w:rPr>
              <w:t>92%</w:t>
            </w:r>
          </w:p>
          <w:p w:rsidR="00C67E97" w:rsidRPr="005D2BC3" w:rsidRDefault="00C67E97" w:rsidP="00B3121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p>
        </w:tc>
        <w:tc>
          <w:tcPr>
            <w:tcW w:w="1430" w:type="dxa"/>
            <w:tcBorders>
              <w:top w:val="nil"/>
              <w:left w:val="nil"/>
              <w:right w:val="nil"/>
            </w:tcBorders>
            <w:shd w:val="clear" w:color="auto" w:fill="auto"/>
          </w:tcPr>
          <w:p w:rsidR="00C67E97" w:rsidRPr="005D2BC3" w:rsidRDefault="00C67E97" w:rsidP="00B3121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r>
              <w:rPr>
                <w:rFonts w:cs="Calibri"/>
                <w:szCs w:val="20"/>
              </w:rPr>
              <w:t>100%</w:t>
            </w:r>
          </w:p>
        </w:tc>
        <w:tc>
          <w:tcPr>
            <w:tcW w:w="1430" w:type="dxa"/>
            <w:tcBorders>
              <w:top w:val="nil"/>
              <w:left w:val="nil"/>
              <w:right w:val="nil"/>
            </w:tcBorders>
            <w:shd w:val="clear" w:color="auto" w:fill="auto"/>
          </w:tcPr>
          <w:p w:rsidR="00C67E97" w:rsidRPr="005D2BC3" w:rsidRDefault="00C67E97" w:rsidP="00B3121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r>
              <w:rPr>
                <w:rFonts w:cs="Calibri"/>
                <w:szCs w:val="20"/>
              </w:rPr>
              <w:t>92%</w:t>
            </w:r>
          </w:p>
        </w:tc>
      </w:tr>
      <w:tr w:rsidR="00C67E97" w:rsidRPr="005D2BC3" w:rsidTr="00B31219">
        <w:trPr>
          <w:cantSplit/>
        </w:trPr>
        <w:tc>
          <w:tcPr>
            <w:tcW w:w="5066" w:type="dxa"/>
            <w:tcBorders>
              <w:top w:val="nil"/>
              <w:left w:val="nil"/>
              <w:bottom w:val="single" w:sz="4" w:space="0" w:color="auto"/>
              <w:right w:val="nil"/>
            </w:tcBorders>
          </w:tcPr>
          <w:p w:rsidR="00C67E97" w:rsidRPr="005D2BC3" w:rsidRDefault="00C67E97" w:rsidP="00B31219">
            <w:pPr>
              <w:pStyle w:val="Tabletextindenta"/>
            </w:pPr>
            <w:r w:rsidRPr="005D2BC3">
              <w:t>Proportion of surveyed users of restorative justice programs satisfied with service received</w:t>
            </w:r>
            <w:r w:rsidR="004D4011">
              <w:rPr>
                <w:vertAlign w:val="superscript"/>
              </w:rPr>
              <w:t>1,2,3</w:t>
            </w:r>
          </w:p>
        </w:tc>
        <w:tc>
          <w:tcPr>
            <w:tcW w:w="1430" w:type="dxa"/>
            <w:tcBorders>
              <w:top w:val="nil"/>
              <w:left w:val="nil"/>
              <w:bottom w:val="single" w:sz="4" w:space="0" w:color="auto"/>
              <w:right w:val="nil"/>
            </w:tcBorders>
            <w:shd w:val="clear" w:color="auto" w:fill="auto"/>
          </w:tcPr>
          <w:p w:rsidR="00C67E97" w:rsidRPr="005D2BC3" w:rsidRDefault="00C67E97" w:rsidP="00B3121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r w:rsidRPr="005D2BC3">
              <w:rPr>
                <w:rFonts w:cs="Calibri"/>
                <w:szCs w:val="20"/>
              </w:rPr>
              <w:t>87%</w:t>
            </w:r>
          </w:p>
        </w:tc>
        <w:tc>
          <w:tcPr>
            <w:tcW w:w="1430" w:type="dxa"/>
            <w:tcBorders>
              <w:top w:val="nil"/>
              <w:left w:val="nil"/>
              <w:bottom w:val="single" w:sz="4" w:space="0" w:color="auto"/>
              <w:right w:val="nil"/>
            </w:tcBorders>
            <w:shd w:val="clear" w:color="auto" w:fill="auto"/>
          </w:tcPr>
          <w:p w:rsidR="00C67E97" w:rsidRPr="00E45612" w:rsidRDefault="00C67E97" w:rsidP="00B3121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r>
              <w:rPr>
                <w:rFonts w:cs="Calibri"/>
                <w:szCs w:val="20"/>
              </w:rPr>
              <w:t>97%</w:t>
            </w:r>
          </w:p>
        </w:tc>
        <w:tc>
          <w:tcPr>
            <w:tcW w:w="1430" w:type="dxa"/>
            <w:tcBorders>
              <w:top w:val="nil"/>
              <w:left w:val="nil"/>
              <w:bottom w:val="single" w:sz="4" w:space="0" w:color="auto"/>
              <w:right w:val="nil"/>
            </w:tcBorders>
            <w:shd w:val="clear" w:color="auto" w:fill="auto"/>
          </w:tcPr>
          <w:p w:rsidR="00C67E97" w:rsidRPr="00E45612" w:rsidRDefault="00C67E97" w:rsidP="00B3121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r>
              <w:rPr>
                <w:rFonts w:cs="Calibri"/>
                <w:szCs w:val="20"/>
              </w:rPr>
              <w:t>95%</w:t>
            </w:r>
          </w:p>
        </w:tc>
      </w:tr>
    </w:tbl>
    <w:p w:rsidR="00C67E97" w:rsidRPr="001F3EBC" w:rsidRDefault="00C67E97" w:rsidP="00C67E97">
      <w:pPr>
        <w:pStyle w:val="NoteHeading0"/>
      </w:pPr>
      <w:r w:rsidRPr="00F651EA">
        <w:t>Notes:</w:t>
      </w:r>
      <w:r w:rsidRPr="00F651EA">
        <w:rPr>
          <w:highlight w:val="yellow"/>
        </w:rPr>
        <w:t xml:space="preserve"> </w:t>
      </w:r>
    </w:p>
    <w:p w:rsidR="00C67E97" w:rsidRPr="00C80074" w:rsidRDefault="00C67E97" w:rsidP="00CF2D1E">
      <w:pPr>
        <w:pStyle w:val="AINotes"/>
        <w:numPr>
          <w:ilvl w:val="0"/>
          <w:numId w:val="35"/>
        </w:numPr>
      </w:pPr>
      <w:r>
        <w:t xml:space="preserve">The 2012-13 estimated </w:t>
      </w:r>
      <w:proofErr w:type="gramStart"/>
      <w:r>
        <w:t>outcome</w:t>
      </w:r>
      <w:proofErr w:type="gramEnd"/>
      <w:r>
        <w:t xml:space="preserve"> is based on the 2011-12 result of 97% and the 2012-13 half yearly result of 97%.</w:t>
      </w:r>
    </w:p>
    <w:p w:rsidR="00C67E97" w:rsidRDefault="00C67E97" w:rsidP="00CF2D1E">
      <w:pPr>
        <w:pStyle w:val="AINotes"/>
        <w:numPr>
          <w:ilvl w:val="0"/>
          <w:numId w:val="35"/>
        </w:numPr>
      </w:pPr>
      <w:r>
        <w:t>The core reasons for undertaking the surveys are to understand participants’ experiences and to monitor convenors’ delivery of the process. Many contributing factors influence participants’ satisfaction with the process.</w:t>
      </w:r>
    </w:p>
    <w:p w:rsidR="00C67E97" w:rsidRDefault="00C67E97" w:rsidP="00CF2D1E">
      <w:pPr>
        <w:pStyle w:val="AINotes"/>
        <w:numPr>
          <w:ilvl w:val="0"/>
          <w:numId w:val="35"/>
        </w:numPr>
      </w:pPr>
      <w:r>
        <w:t xml:space="preserve">The 2013-14 </w:t>
      </w:r>
      <w:proofErr w:type="gramStart"/>
      <w:r>
        <w:t>target</w:t>
      </w:r>
      <w:proofErr w:type="gramEnd"/>
      <w:r>
        <w:t xml:space="preserve"> is based on the average outcome over the past four financial years.</w:t>
      </w:r>
    </w:p>
    <w:p w:rsidR="00C67E97" w:rsidRDefault="00C67E97" w:rsidP="00C67E97">
      <w:pPr>
        <w:rPr>
          <w:sz w:val="16"/>
          <w:szCs w:val="16"/>
        </w:rPr>
      </w:pPr>
    </w:p>
    <w:tbl>
      <w:tblPr>
        <w:tblW w:w="9368" w:type="dxa"/>
        <w:tblLayout w:type="fixed"/>
        <w:tblLook w:val="0000"/>
      </w:tblPr>
      <w:tblGrid>
        <w:gridCol w:w="5061"/>
        <w:gridCol w:w="1436"/>
        <w:gridCol w:w="1436"/>
        <w:gridCol w:w="1435"/>
      </w:tblGrid>
      <w:tr w:rsidR="00C67E97" w:rsidTr="00BE199D">
        <w:trPr>
          <w:cantSplit/>
        </w:trPr>
        <w:tc>
          <w:tcPr>
            <w:tcW w:w="5061" w:type="dxa"/>
            <w:tcBorders>
              <w:top w:val="single" w:sz="4" w:space="0" w:color="auto"/>
              <w:left w:val="nil"/>
              <w:bottom w:val="single" w:sz="4" w:space="0" w:color="auto"/>
              <w:right w:val="nil"/>
            </w:tcBorders>
          </w:tcPr>
          <w:p w:rsidR="00C67E97" w:rsidRDefault="00C67E97" w:rsidP="0072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tc>
        <w:tc>
          <w:tcPr>
            <w:tcW w:w="1436" w:type="dxa"/>
            <w:tcBorders>
              <w:top w:val="single" w:sz="4" w:space="0" w:color="auto"/>
              <w:left w:val="nil"/>
              <w:bottom w:val="single" w:sz="4" w:space="0" w:color="auto"/>
              <w:right w:val="nil"/>
            </w:tcBorders>
          </w:tcPr>
          <w:p w:rsidR="00C67E97"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2012-13</w:t>
            </w:r>
            <w:r>
              <w:br/>
              <w:t>Targets</w:t>
            </w:r>
          </w:p>
        </w:tc>
        <w:tc>
          <w:tcPr>
            <w:tcW w:w="1436" w:type="dxa"/>
            <w:tcBorders>
              <w:top w:val="single" w:sz="4" w:space="0" w:color="auto"/>
              <w:left w:val="nil"/>
              <w:bottom w:val="single" w:sz="4" w:space="0" w:color="auto"/>
              <w:right w:val="nil"/>
            </w:tcBorders>
          </w:tcPr>
          <w:p w:rsidR="00C67E97"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2012-13</w:t>
            </w:r>
            <w:r>
              <w:br/>
              <w:t>Est. Outcome</w:t>
            </w:r>
          </w:p>
        </w:tc>
        <w:tc>
          <w:tcPr>
            <w:tcW w:w="1435" w:type="dxa"/>
            <w:tcBorders>
              <w:top w:val="single" w:sz="4" w:space="0" w:color="auto"/>
              <w:left w:val="nil"/>
              <w:bottom w:val="single" w:sz="4" w:space="0" w:color="auto"/>
              <w:right w:val="nil"/>
            </w:tcBorders>
          </w:tcPr>
          <w:p w:rsidR="00C67E97"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2013-14</w:t>
            </w:r>
            <w:r>
              <w:br/>
              <w:t>Targets</w:t>
            </w:r>
          </w:p>
        </w:tc>
      </w:tr>
      <w:tr w:rsidR="00C67E97" w:rsidTr="00BE199D">
        <w:trPr>
          <w:cantSplit/>
        </w:trPr>
        <w:tc>
          <w:tcPr>
            <w:tcW w:w="5061" w:type="dxa"/>
            <w:tcBorders>
              <w:top w:val="single" w:sz="4" w:space="0" w:color="auto"/>
              <w:left w:val="nil"/>
              <w:bottom w:val="single" w:sz="4" w:space="0" w:color="auto"/>
              <w:right w:val="nil"/>
            </w:tcBorders>
            <w:vAlign w:val="center"/>
          </w:tcPr>
          <w:p w:rsidR="00C67E97"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Output 1.2:  Legal Services to Government</w:t>
            </w:r>
          </w:p>
        </w:tc>
        <w:tc>
          <w:tcPr>
            <w:tcW w:w="1436" w:type="dxa"/>
            <w:tcBorders>
              <w:top w:val="single" w:sz="4" w:space="0" w:color="auto"/>
              <w:left w:val="nil"/>
              <w:bottom w:val="single" w:sz="4" w:space="0" w:color="auto"/>
              <w:right w:val="nil"/>
            </w:tcBorders>
            <w:vAlign w:val="center"/>
          </w:tcPr>
          <w:p w:rsidR="00C67E97"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36" w:type="dxa"/>
            <w:tcBorders>
              <w:top w:val="single" w:sz="4" w:space="0" w:color="auto"/>
              <w:left w:val="nil"/>
              <w:bottom w:val="single" w:sz="4" w:space="0" w:color="auto"/>
              <w:right w:val="nil"/>
            </w:tcBorders>
            <w:vAlign w:val="center"/>
          </w:tcPr>
          <w:p w:rsidR="00C67E97"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35" w:type="dxa"/>
            <w:tcBorders>
              <w:top w:val="single" w:sz="4" w:space="0" w:color="auto"/>
              <w:left w:val="nil"/>
              <w:bottom w:val="single" w:sz="4" w:space="0" w:color="auto"/>
              <w:right w:val="nil"/>
            </w:tcBorders>
            <w:vAlign w:val="center"/>
          </w:tcPr>
          <w:p w:rsidR="00C67E97"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C67E97" w:rsidTr="00BE199D">
        <w:trPr>
          <w:cantSplit/>
        </w:trPr>
        <w:tc>
          <w:tcPr>
            <w:tcW w:w="5061" w:type="dxa"/>
            <w:tcBorders>
              <w:top w:val="nil"/>
              <w:left w:val="nil"/>
              <w:bottom w:val="nil"/>
              <w:right w:val="nil"/>
            </w:tcBorders>
          </w:tcPr>
          <w:p w:rsidR="00C67E97" w:rsidRDefault="00C67E97" w:rsidP="00A2331E">
            <w:pPr>
              <w:pStyle w:val="Tabletextindenta"/>
              <w:numPr>
                <w:ilvl w:val="0"/>
                <w:numId w:val="57"/>
              </w:numPr>
            </w:pPr>
            <w:r>
              <w:t>Timely legal services provided b</w:t>
            </w:r>
            <w:r w:rsidR="00A62253">
              <w:t xml:space="preserve">y the ACT Government Solicitor: </w:t>
            </w:r>
            <w:r>
              <w:t xml:space="preserve"> percentage of advices completed within 28 days</w:t>
            </w:r>
          </w:p>
        </w:tc>
        <w:tc>
          <w:tcPr>
            <w:tcW w:w="1436" w:type="dxa"/>
            <w:tcBorders>
              <w:top w:val="nil"/>
              <w:left w:val="nil"/>
              <w:bottom w:val="nil"/>
              <w:right w:val="nil"/>
            </w:tcBorders>
          </w:tcPr>
          <w:p w:rsidR="00C67E97"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pPr>
            <w:r>
              <w:t>90%</w:t>
            </w:r>
          </w:p>
        </w:tc>
        <w:tc>
          <w:tcPr>
            <w:tcW w:w="1436" w:type="dxa"/>
            <w:tcBorders>
              <w:top w:val="single" w:sz="4" w:space="0" w:color="auto"/>
              <w:left w:val="nil"/>
              <w:bottom w:val="nil"/>
              <w:right w:val="nil"/>
            </w:tcBorders>
            <w:shd w:val="clear" w:color="auto" w:fill="auto"/>
          </w:tcPr>
          <w:p w:rsidR="00C67E97"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pPr>
            <w:r>
              <w:t>85%</w:t>
            </w:r>
          </w:p>
        </w:tc>
        <w:tc>
          <w:tcPr>
            <w:tcW w:w="1435" w:type="dxa"/>
            <w:tcBorders>
              <w:top w:val="single" w:sz="4" w:space="0" w:color="auto"/>
              <w:left w:val="nil"/>
              <w:bottom w:val="nil"/>
              <w:right w:val="nil"/>
            </w:tcBorders>
            <w:shd w:val="clear" w:color="auto" w:fill="auto"/>
          </w:tcPr>
          <w:p w:rsidR="00C67E97"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pPr>
            <w:r>
              <w:t>90%</w:t>
            </w:r>
          </w:p>
        </w:tc>
      </w:tr>
      <w:tr w:rsidR="00C67E97" w:rsidTr="00BE199D">
        <w:trPr>
          <w:cantSplit/>
        </w:trPr>
        <w:tc>
          <w:tcPr>
            <w:tcW w:w="5061" w:type="dxa"/>
            <w:tcBorders>
              <w:top w:val="nil"/>
              <w:left w:val="nil"/>
              <w:bottom w:val="nil"/>
              <w:right w:val="nil"/>
            </w:tcBorders>
          </w:tcPr>
          <w:p w:rsidR="00C67E97" w:rsidRDefault="00C67E97" w:rsidP="005E1840">
            <w:pPr>
              <w:pStyle w:val="Tabletextindenta"/>
            </w:pPr>
            <w:r>
              <w:t>Timely legal services provided b</w:t>
            </w:r>
            <w:r w:rsidR="00A62253">
              <w:t xml:space="preserve">y the ACT Government Solicitor: </w:t>
            </w:r>
            <w:r>
              <w:t xml:space="preserve"> percentage of urgent court and contentious matters undertaken and completed within court, tribunal or any applicable statutory timetable</w:t>
            </w:r>
          </w:p>
        </w:tc>
        <w:tc>
          <w:tcPr>
            <w:tcW w:w="1436" w:type="dxa"/>
            <w:tcBorders>
              <w:top w:val="nil"/>
              <w:left w:val="nil"/>
              <w:bottom w:val="nil"/>
              <w:right w:val="nil"/>
            </w:tcBorders>
          </w:tcPr>
          <w:p w:rsidR="00C67E97"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pPr>
            <w:r>
              <w:t>95%</w:t>
            </w:r>
          </w:p>
        </w:tc>
        <w:tc>
          <w:tcPr>
            <w:tcW w:w="1436" w:type="dxa"/>
            <w:tcBorders>
              <w:top w:val="nil"/>
              <w:left w:val="nil"/>
              <w:bottom w:val="nil"/>
              <w:right w:val="nil"/>
            </w:tcBorders>
            <w:shd w:val="clear" w:color="auto" w:fill="auto"/>
          </w:tcPr>
          <w:p w:rsidR="00C67E97"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pPr>
            <w:r>
              <w:t>98%</w:t>
            </w:r>
          </w:p>
        </w:tc>
        <w:tc>
          <w:tcPr>
            <w:tcW w:w="1435" w:type="dxa"/>
            <w:tcBorders>
              <w:top w:val="nil"/>
              <w:left w:val="nil"/>
              <w:bottom w:val="nil"/>
              <w:right w:val="nil"/>
            </w:tcBorders>
            <w:shd w:val="clear" w:color="auto" w:fill="auto"/>
          </w:tcPr>
          <w:p w:rsidR="00C67E97"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pPr>
            <w:r>
              <w:t>95%</w:t>
            </w:r>
          </w:p>
        </w:tc>
      </w:tr>
      <w:tr w:rsidR="00C67E97" w:rsidTr="00BE199D">
        <w:trPr>
          <w:cantSplit/>
        </w:trPr>
        <w:tc>
          <w:tcPr>
            <w:tcW w:w="5061" w:type="dxa"/>
            <w:tcBorders>
              <w:top w:val="nil"/>
              <w:left w:val="nil"/>
              <w:bottom w:val="nil"/>
              <w:right w:val="nil"/>
            </w:tcBorders>
          </w:tcPr>
          <w:p w:rsidR="00C67E97" w:rsidRDefault="00C67E97" w:rsidP="005E1840">
            <w:pPr>
              <w:pStyle w:val="Tabletextindenta"/>
            </w:pPr>
            <w:r>
              <w:t>Timely legal services provided by the ACT Government Solicitor</w:t>
            </w:r>
            <w:r w:rsidR="00F42253">
              <w:t xml:space="preserve">: </w:t>
            </w:r>
            <w:r>
              <w:t xml:space="preserve"> percentage of routine court and contentious matters undertaken and completed within courts, tribunal or any applicable statutory timetable</w:t>
            </w:r>
          </w:p>
        </w:tc>
        <w:tc>
          <w:tcPr>
            <w:tcW w:w="1436" w:type="dxa"/>
            <w:tcBorders>
              <w:top w:val="nil"/>
              <w:left w:val="nil"/>
              <w:bottom w:val="nil"/>
              <w:right w:val="nil"/>
            </w:tcBorders>
          </w:tcPr>
          <w:p w:rsidR="00C67E97"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pPr>
            <w:r>
              <w:t>90%</w:t>
            </w:r>
          </w:p>
        </w:tc>
        <w:tc>
          <w:tcPr>
            <w:tcW w:w="1436" w:type="dxa"/>
            <w:tcBorders>
              <w:top w:val="nil"/>
              <w:left w:val="nil"/>
              <w:bottom w:val="nil"/>
              <w:right w:val="nil"/>
            </w:tcBorders>
            <w:shd w:val="clear" w:color="auto" w:fill="auto"/>
          </w:tcPr>
          <w:p w:rsidR="00C67E97"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pPr>
            <w:r>
              <w:t>95%</w:t>
            </w:r>
          </w:p>
        </w:tc>
        <w:tc>
          <w:tcPr>
            <w:tcW w:w="1435" w:type="dxa"/>
            <w:tcBorders>
              <w:top w:val="nil"/>
              <w:left w:val="nil"/>
              <w:bottom w:val="nil"/>
              <w:right w:val="nil"/>
            </w:tcBorders>
            <w:shd w:val="clear" w:color="auto" w:fill="auto"/>
          </w:tcPr>
          <w:p w:rsidR="00C67E97"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pPr>
            <w:r>
              <w:t>90%</w:t>
            </w:r>
          </w:p>
        </w:tc>
      </w:tr>
      <w:tr w:rsidR="00C67E97" w:rsidTr="00BE199D">
        <w:trPr>
          <w:cantSplit/>
        </w:trPr>
        <w:tc>
          <w:tcPr>
            <w:tcW w:w="5061" w:type="dxa"/>
            <w:tcBorders>
              <w:top w:val="nil"/>
              <w:left w:val="nil"/>
              <w:bottom w:val="nil"/>
              <w:right w:val="nil"/>
            </w:tcBorders>
          </w:tcPr>
          <w:p w:rsidR="00C67E97" w:rsidRDefault="00C67E97" w:rsidP="005E1840">
            <w:pPr>
              <w:pStyle w:val="Tabletextindenta"/>
            </w:pPr>
            <w:r>
              <w:t>High quality legal services provided by the ACT Government Solicitor</w:t>
            </w:r>
            <w:r w:rsidR="006268EF">
              <w:t xml:space="preserve">: </w:t>
            </w:r>
            <w:r>
              <w:t xml:space="preserve"> percentage of clients satisfied with quality of advice and representation</w:t>
            </w:r>
          </w:p>
        </w:tc>
        <w:tc>
          <w:tcPr>
            <w:tcW w:w="1436" w:type="dxa"/>
            <w:tcBorders>
              <w:top w:val="nil"/>
              <w:left w:val="nil"/>
              <w:bottom w:val="nil"/>
              <w:right w:val="nil"/>
            </w:tcBorders>
          </w:tcPr>
          <w:p w:rsidR="00C67E97"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pPr>
            <w:r>
              <w:t>90%</w:t>
            </w:r>
          </w:p>
        </w:tc>
        <w:tc>
          <w:tcPr>
            <w:tcW w:w="1436" w:type="dxa"/>
            <w:tcBorders>
              <w:top w:val="nil"/>
              <w:left w:val="nil"/>
              <w:bottom w:val="nil"/>
              <w:right w:val="nil"/>
            </w:tcBorders>
            <w:shd w:val="clear" w:color="auto" w:fill="auto"/>
          </w:tcPr>
          <w:p w:rsidR="00C67E97"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pPr>
            <w:r>
              <w:t>96%</w:t>
            </w:r>
          </w:p>
        </w:tc>
        <w:tc>
          <w:tcPr>
            <w:tcW w:w="1435" w:type="dxa"/>
            <w:tcBorders>
              <w:top w:val="nil"/>
              <w:left w:val="nil"/>
              <w:bottom w:val="nil"/>
              <w:right w:val="nil"/>
            </w:tcBorders>
            <w:shd w:val="clear" w:color="auto" w:fill="auto"/>
          </w:tcPr>
          <w:p w:rsidR="00C67E97"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pPr>
            <w:r>
              <w:t>90%</w:t>
            </w:r>
          </w:p>
        </w:tc>
      </w:tr>
      <w:tr w:rsidR="00C67E97" w:rsidTr="00BE199D">
        <w:trPr>
          <w:cantSplit/>
        </w:trPr>
        <w:tc>
          <w:tcPr>
            <w:tcW w:w="5061" w:type="dxa"/>
            <w:tcBorders>
              <w:top w:val="nil"/>
              <w:left w:val="nil"/>
              <w:bottom w:val="single" w:sz="4" w:space="0" w:color="auto"/>
              <w:right w:val="nil"/>
            </w:tcBorders>
          </w:tcPr>
          <w:p w:rsidR="00C67E97" w:rsidRDefault="00C67E97" w:rsidP="0072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0"/>
                <w:szCs w:val="10"/>
              </w:rPr>
            </w:pPr>
          </w:p>
        </w:tc>
        <w:tc>
          <w:tcPr>
            <w:tcW w:w="1436" w:type="dxa"/>
            <w:tcBorders>
              <w:top w:val="nil"/>
              <w:left w:val="nil"/>
              <w:bottom w:val="single" w:sz="4" w:space="0" w:color="auto"/>
              <w:right w:val="nil"/>
            </w:tcBorders>
          </w:tcPr>
          <w:p w:rsidR="00C67E97"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0"/>
                <w:szCs w:val="10"/>
              </w:rPr>
            </w:pPr>
          </w:p>
        </w:tc>
        <w:tc>
          <w:tcPr>
            <w:tcW w:w="1436" w:type="dxa"/>
            <w:tcBorders>
              <w:top w:val="nil"/>
              <w:left w:val="nil"/>
              <w:bottom w:val="single" w:sz="4" w:space="0" w:color="auto"/>
              <w:right w:val="nil"/>
            </w:tcBorders>
          </w:tcPr>
          <w:p w:rsidR="00C67E97"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0"/>
                <w:szCs w:val="10"/>
              </w:rPr>
            </w:pPr>
          </w:p>
        </w:tc>
        <w:tc>
          <w:tcPr>
            <w:tcW w:w="1435" w:type="dxa"/>
            <w:tcBorders>
              <w:top w:val="nil"/>
              <w:left w:val="nil"/>
              <w:bottom w:val="single" w:sz="4" w:space="0" w:color="auto"/>
              <w:right w:val="nil"/>
            </w:tcBorders>
          </w:tcPr>
          <w:p w:rsidR="00C67E97"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0"/>
                <w:szCs w:val="10"/>
              </w:rPr>
            </w:pPr>
          </w:p>
        </w:tc>
      </w:tr>
    </w:tbl>
    <w:p w:rsidR="00C67E97" w:rsidRDefault="00C67E97" w:rsidP="00C67E97">
      <w:pPr>
        <w:rPr>
          <w:sz w:val="16"/>
          <w:szCs w:val="16"/>
        </w:rPr>
      </w:pPr>
    </w:p>
    <w:tbl>
      <w:tblPr>
        <w:tblW w:w="9356" w:type="dxa"/>
        <w:tblLayout w:type="fixed"/>
        <w:tblLook w:val="0000"/>
      </w:tblPr>
      <w:tblGrid>
        <w:gridCol w:w="5066"/>
        <w:gridCol w:w="1430"/>
        <w:gridCol w:w="1430"/>
        <w:gridCol w:w="1430"/>
      </w:tblGrid>
      <w:tr w:rsidR="00C67E97" w:rsidRPr="005D2BC3" w:rsidTr="00BE199D">
        <w:trPr>
          <w:cantSplit/>
        </w:trPr>
        <w:tc>
          <w:tcPr>
            <w:tcW w:w="5063" w:type="dxa"/>
            <w:tcBorders>
              <w:top w:val="single" w:sz="4" w:space="0" w:color="auto"/>
              <w:left w:val="nil"/>
              <w:bottom w:val="single" w:sz="4" w:space="0" w:color="auto"/>
              <w:right w:val="nil"/>
            </w:tcBorders>
          </w:tcPr>
          <w:p w:rsidR="00C67E97" w:rsidRPr="005D2BC3" w:rsidRDefault="00C67E97" w:rsidP="0072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20"/>
              </w:rPr>
            </w:pPr>
          </w:p>
        </w:tc>
        <w:tc>
          <w:tcPr>
            <w:tcW w:w="1429" w:type="dxa"/>
            <w:tcBorders>
              <w:top w:val="single" w:sz="4" w:space="0" w:color="auto"/>
              <w:left w:val="nil"/>
              <w:bottom w:val="single" w:sz="4" w:space="0" w:color="auto"/>
              <w:right w:val="nil"/>
            </w:tcBorders>
          </w:tcPr>
          <w:p w:rsidR="00C67E97" w:rsidRPr="005D2BC3"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r w:rsidRPr="00D71648">
              <w:rPr>
                <w:rFonts w:cs="Calibri"/>
              </w:rPr>
              <w:t>2012-13</w:t>
            </w:r>
            <w:r w:rsidRPr="00D71648">
              <w:rPr>
                <w:rFonts w:cs="Calibri"/>
              </w:rPr>
              <w:br/>
              <w:t>Targets</w:t>
            </w:r>
          </w:p>
        </w:tc>
        <w:tc>
          <w:tcPr>
            <w:tcW w:w="1429" w:type="dxa"/>
            <w:tcBorders>
              <w:top w:val="single" w:sz="4" w:space="0" w:color="auto"/>
              <w:left w:val="nil"/>
              <w:bottom w:val="single" w:sz="4" w:space="0" w:color="auto"/>
              <w:right w:val="nil"/>
            </w:tcBorders>
          </w:tcPr>
          <w:p w:rsidR="00C67E97" w:rsidRPr="005D2BC3"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r>
              <w:rPr>
                <w:rFonts w:cs="Calibri"/>
              </w:rPr>
              <w:t>2012-13</w:t>
            </w:r>
            <w:r w:rsidRPr="005D2BC3">
              <w:rPr>
                <w:rFonts w:cs="Calibri"/>
              </w:rPr>
              <w:br/>
              <w:t>Est. Outcome</w:t>
            </w:r>
          </w:p>
        </w:tc>
        <w:tc>
          <w:tcPr>
            <w:tcW w:w="1429" w:type="dxa"/>
            <w:tcBorders>
              <w:top w:val="single" w:sz="4" w:space="0" w:color="auto"/>
              <w:left w:val="nil"/>
              <w:bottom w:val="single" w:sz="4" w:space="0" w:color="auto"/>
              <w:right w:val="nil"/>
            </w:tcBorders>
          </w:tcPr>
          <w:p w:rsidR="00C67E97" w:rsidRPr="005D2BC3"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r>
              <w:rPr>
                <w:rFonts w:cs="Calibri"/>
              </w:rPr>
              <w:t>2013-14</w:t>
            </w:r>
            <w:r w:rsidRPr="005D2BC3">
              <w:rPr>
                <w:rFonts w:cs="Calibri"/>
              </w:rPr>
              <w:br/>
              <w:t>Targets</w:t>
            </w:r>
          </w:p>
        </w:tc>
      </w:tr>
      <w:tr w:rsidR="00C67E97" w:rsidRPr="005D2BC3" w:rsidTr="00BE199D">
        <w:trPr>
          <w:cantSplit/>
        </w:trPr>
        <w:tc>
          <w:tcPr>
            <w:tcW w:w="1429" w:type="dxa"/>
            <w:gridSpan w:val="2"/>
            <w:tcBorders>
              <w:top w:val="single" w:sz="4" w:space="0" w:color="auto"/>
              <w:left w:val="nil"/>
              <w:bottom w:val="single" w:sz="4" w:space="0" w:color="auto"/>
              <w:right w:val="nil"/>
            </w:tcBorders>
            <w:vAlign w:val="center"/>
          </w:tcPr>
          <w:p w:rsidR="00C67E97" w:rsidRPr="005D2BC3"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r w:rsidRPr="005D2BC3">
              <w:rPr>
                <w:rFonts w:cs="Calibri"/>
              </w:rPr>
              <w:t>Output 1.3:  Legislative Drafting and Publishing Services</w:t>
            </w:r>
          </w:p>
        </w:tc>
        <w:tc>
          <w:tcPr>
            <w:tcW w:w="1429" w:type="dxa"/>
            <w:tcBorders>
              <w:top w:val="single" w:sz="4" w:space="0" w:color="auto"/>
              <w:left w:val="nil"/>
              <w:bottom w:val="single" w:sz="4" w:space="0" w:color="auto"/>
              <w:right w:val="nil"/>
            </w:tcBorders>
            <w:vAlign w:val="center"/>
          </w:tcPr>
          <w:p w:rsidR="00C67E97" w:rsidRPr="005D2BC3"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p>
        </w:tc>
        <w:tc>
          <w:tcPr>
            <w:tcW w:w="1429" w:type="dxa"/>
            <w:tcBorders>
              <w:top w:val="single" w:sz="4" w:space="0" w:color="auto"/>
              <w:left w:val="nil"/>
              <w:bottom w:val="single" w:sz="4" w:space="0" w:color="auto"/>
              <w:right w:val="nil"/>
            </w:tcBorders>
            <w:vAlign w:val="center"/>
          </w:tcPr>
          <w:p w:rsidR="00C67E97" w:rsidRPr="005D2BC3"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p>
        </w:tc>
      </w:tr>
      <w:tr w:rsidR="00C67E97" w:rsidRPr="005D2BC3" w:rsidTr="00BE199D">
        <w:trPr>
          <w:cantSplit/>
        </w:trPr>
        <w:tc>
          <w:tcPr>
            <w:tcW w:w="5063" w:type="dxa"/>
            <w:tcBorders>
              <w:top w:val="nil"/>
              <w:left w:val="nil"/>
              <w:bottom w:val="nil"/>
              <w:right w:val="nil"/>
            </w:tcBorders>
          </w:tcPr>
          <w:p w:rsidR="00C67E97" w:rsidRPr="005D2BC3" w:rsidRDefault="00C67E97" w:rsidP="00A2331E">
            <w:pPr>
              <w:pStyle w:val="Tabletextindenta"/>
              <w:numPr>
                <w:ilvl w:val="0"/>
                <w:numId w:val="58"/>
              </w:numPr>
            </w:pPr>
            <w:r w:rsidRPr="005D2BC3">
              <w:t xml:space="preserve">High level of client satisfaction for legislative drafting and publishing services by the Parliamentary Counsel’s Office: </w:t>
            </w:r>
            <w:r w:rsidRPr="005D2BC3">
              <w:softHyphen/>
              <w:t xml:space="preserve"> percentage of satisfied clients</w:t>
            </w:r>
            <w:r w:rsidR="00A83A35" w:rsidRPr="00A2331E">
              <w:rPr>
                <w:rFonts w:cs="Calibri"/>
                <w:vertAlign w:val="superscript"/>
              </w:rPr>
              <w:t>1</w:t>
            </w:r>
          </w:p>
        </w:tc>
        <w:tc>
          <w:tcPr>
            <w:tcW w:w="1429"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r w:rsidRPr="005D2BC3">
              <w:rPr>
                <w:rFonts w:cs="Calibri"/>
                <w:szCs w:val="20"/>
              </w:rPr>
              <w:t>85%</w:t>
            </w:r>
          </w:p>
        </w:tc>
        <w:tc>
          <w:tcPr>
            <w:tcW w:w="1429"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r>
              <w:rPr>
                <w:rFonts w:cs="Calibri"/>
                <w:szCs w:val="20"/>
              </w:rPr>
              <w:t>85%</w:t>
            </w:r>
          </w:p>
        </w:tc>
        <w:tc>
          <w:tcPr>
            <w:tcW w:w="1429"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r>
              <w:rPr>
                <w:rFonts w:cs="Calibri"/>
                <w:szCs w:val="20"/>
              </w:rPr>
              <w:t>85%</w:t>
            </w:r>
          </w:p>
        </w:tc>
      </w:tr>
      <w:tr w:rsidR="00C67E97" w:rsidRPr="005D2BC3" w:rsidTr="00BE199D">
        <w:trPr>
          <w:cantSplit/>
        </w:trPr>
        <w:tc>
          <w:tcPr>
            <w:tcW w:w="5063" w:type="dxa"/>
            <w:tcBorders>
              <w:top w:val="nil"/>
              <w:left w:val="nil"/>
              <w:bottom w:val="nil"/>
              <w:right w:val="nil"/>
            </w:tcBorders>
          </w:tcPr>
          <w:p w:rsidR="00C67E97" w:rsidRPr="005D2BC3" w:rsidRDefault="00C67E97" w:rsidP="005E1840">
            <w:pPr>
              <w:pStyle w:val="Tabletextindenta"/>
            </w:pPr>
            <w:r w:rsidRPr="005D2BC3">
              <w:t>Timely legislative drafting and publishing services by the Parliamentary Counsel’s Office:</w:t>
            </w:r>
          </w:p>
        </w:tc>
        <w:tc>
          <w:tcPr>
            <w:tcW w:w="1429"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shd w:val="clear" w:color="auto" w:fill="FFFF00"/>
              </w:rPr>
            </w:pPr>
          </w:p>
        </w:tc>
        <w:tc>
          <w:tcPr>
            <w:tcW w:w="1429"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shd w:val="clear" w:color="auto" w:fill="FFFF00"/>
              </w:rPr>
            </w:pPr>
          </w:p>
        </w:tc>
        <w:tc>
          <w:tcPr>
            <w:tcW w:w="1429"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shd w:val="clear" w:color="auto" w:fill="FFFF00"/>
              </w:rPr>
            </w:pPr>
          </w:p>
        </w:tc>
      </w:tr>
      <w:tr w:rsidR="00C67E97" w:rsidRPr="005D2BC3" w:rsidTr="00BE199D">
        <w:trPr>
          <w:cantSplit/>
        </w:trPr>
        <w:tc>
          <w:tcPr>
            <w:tcW w:w="5063" w:type="dxa"/>
            <w:tcBorders>
              <w:top w:val="nil"/>
              <w:left w:val="nil"/>
              <w:bottom w:val="nil"/>
              <w:right w:val="nil"/>
            </w:tcBorders>
          </w:tcPr>
          <w:p w:rsidR="00C67E97" w:rsidRPr="005D2BC3" w:rsidRDefault="00C67E97" w:rsidP="007235C9">
            <w:pPr>
              <w:pStyle w:val="AIBlurb0"/>
              <w:numPr>
                <w:ilvl w:val="1"/>
                <w:numId w:val="6"/>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jc w:val="left"/>
              <w:rPr>
                <w:rFonts w:cs="Calibri"/>
              </w:rPr>
            </w:pPr>
            <w:r>
              <w:rPr>
                <w:rFonts w:cs="Calibri"/>
              </w:rPr>
              <w:t>Percentage</w:t>
            </w:r>
            <w:r w:rsidRPr="005D2BC3">
              <w:rPr>
                <w:rFonts w:cs="Calibri"/>
              </w:rPr>
              <w:t xml:space="preserve"> of drafting responses provided within 30</w:t>
            </w:r>
            <w:r>
              <w:rPr>
                <w:rFonts w:cs="Calibri"/>
              </w:rPr>
              <w:noBreakHyphen/>
            </w:r>
            <w:r w:rsidRPr="005D2BC3">
              <w:rPr>
                <w:rFonts w:cs="Calibri"/>
              </w:rPr>
              <w:t>day standard</w:t>
            </w:r>
            <w:r w:rsidR="00A83A35">
              <w:rPr>
                <w:rFonts w:cs="Calibri"/>
                <w:vertAlign w:val="superscript"/>
              </w:rPr>
              <w:t>1</w:t>
            </w:r>
          </w:p>
        </w:tc>
        <w:tc>
          <w:tcPr>
            <w:tcW w:w="1429"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r w:rsidRPr="005D2BC3">
              <w:rPr>
                <w:rFonts w:cs="Calibri"/>
                <w:szCs w:val="20"/>
              </w:rPr>
              <w:t>95%</w:t>
            </w:r>
          </w:p>
        </w:tc>
        <w:tc>
          <w:tcPr>
            <w:tcW w:w="1429"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r>
              <w:rPr>
                <w:rFonts w:cs="Calibri"/>
                <w:szCs w:val="20"/>
              </w:rPr>
              <w:t>98%</w:t>
            </w:r>
          </w:p>
        </w:tc>
        <w:tc>
          <w:tcPr>
            <w:tcW w:w="1429"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r>
              <w:rPr>
                <w:rFonts w:cs="Calibri"/>
                <w:szCs w:val="20"/>
              </w:rPr>
              <w:t>95%</w:t>
            </w:r>
          </w:p>
        </w:tc>
      </w:tr>
      <w:tr w:rsidR="00C67E97" w:rsidRPr="005D2BC3" w:rsidTr="00BE199D">
        <w:trPr>
          <w:cantSplit/>
        </w:trPr>
        <w:tc>
          <w:tcPr>
            <w:tcW w:w="5063" w:type="dxa"/>
            <w:tcBorders>
              <w:top w:val="nil"/>
              <w:left w:val="nil"/>
              <w:bottom w:val="nil"/>
              <w:right w:val="nil"/>
            </w:tcBorders>
          </w:tcPr>
          <w:p w:rsidR="00C67E97" w:rsidRPr="005D2BC3" w:rsidRDefault="00C67E97" w:rsidP="007235C9">
            <w:pPr>
              <w:pStyle w:val="AIBlurb0"/>
              <w:numPr>
                <w:ilvl w:val="1"/>
                <w:numId w:val="6"/>
              </w:numPr>
              <w:tabs>
                <w:tab w:val="left" w:pos="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jc w:val="left"/>
              <w:rPr>
                <w:rFonts w:cs="Calibri"/>
              </w:rPr>
            </w:pPr>
            <w:r>
              <w:rPr>
                <w:rFonts w:cs="Calibri"/>
              </w:rPr>
              <w:t>Percentage</w:t>
            </w:r>
            <w:r w:rsidRPr="005D2BC3">
              <w:rPr>
                <w:rFonts w:cs="Calibri"/>
              </w:rPr>
              <w:t xml:space="preserve"> of notifications notified on ACT legislation register on requested notification day</w:t>
            </w:r>
            <w:r w:rsidR="00A83A35">
              <w:rPr>
                <w:rFonts w:cs="Calibri"/>
                <w:vertAlign w:val="superscript"/>
              </w:rPr>
              <w:t>1</w:t>
            </w:r>
          </w:p>
        </w:tc>
        <w:tc>
          <w:tcPr>
            <w:tcW w:w="1429"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r>
              <w:rPr>
                <w:rFonts w:cs="Calibri"/>
                <w:szCs w:val="20"/>
              </w:rPr>
              <w:t>9</w:t>
            </w:r>
            <w:r w:rsidRPr="005D2BC3">
              <w:rPr>
                <w:rFonts w:cs="Calibri"/>
                <w:szCs w:val="20"/>
              </w:rPr>
              <w:t>9%</w:t>
            </w:r>
          </w:p>
        </w:tc>
        <w:tc>
          <w:tcPr>
            <w:tcW w:w="1429"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r>
              <w:rPr>
                <w:rFonts w:cs="Calibri"/>
                <w:szCs w:val="20"/>
              </w:rPr>
              <w:t>100%</w:t>
            </w:r>
          </w:p>
        </w:tc>
        <w:tc>
          <w:tcPr>
            <w:tcW w:w="1429"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r>
              <w:rPr>
                <w:rFonts w:cs="Calibri"/>
                <w:szCs w:val="20"/>
              </w:rPr>
              <w:t>99%</w:t>
            </w:r>
          </w:p>
        </w:tc>
      </w:tr>
      <w:tr w:rsidR="00C67E97" w:rsidRPr="005D2BC3" w:rsidTr="00BE199D">
        <w:trPr>
          <w:cantSplit/>
        </w:trPr>
        <w:tc>
          <w:tcPr>
            <w:tcW w:w="5063" w:type="dxa"/>
            <w:tcBorders>
              <w:top w:val="nil"/>
              <w:left w:val="nil"/>
              <w:bottom w:val="nil"/>
              <w:right w:val="nil"/>
            </w:tcBorders>
          </w:tcPr>
          <w:p w:rsidR="00C67E97" w:rsidRPr="005D2BC3" w:rsidRDefault="00C67E97" w:rsidP="007235C9">
            <w:pPr>
              <w:pStyle w:val="AIBlurb0"/>
              <w:numPr>
                <w:ilvl w:val="1"/>
                <w:numId w:val="6"/>
              </w:numPr>
              <w:tabs>
                <w:tab w:val="left" w:pos="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jc w:val="left"/>
              <w:rPr>
                <w:rFonts w:cs="Calibri"/>
              </w:rPr>
            </w:pPr>
            <w:r>
              <w:rPr>
                <w:rFonts w:cs="Calibri"/>
              </w:rPr>
              <w:t>Percentage</w:t>
            </w:r>
            <w:r w:rsidRPr="005D2BC3">
              <w:rPr>
                <w:rFonts w:cs="Calibri"/>
              </w:rPr>
              <w:t xml:space="preserve"> of republications of changed legislation published on ACT legislation register on day the change happens</w:t>
            </w:r>
            <w:r w:rsidR="00A83A35">
              <w:rPr>
                <w:rFonts w:cs="Calibri"/>
                <w:vertAlign w:val="superscript"/>
              </w:rPr>
              <w:t>1</w:t>
            </w:r>
          </w:p>
        </w:tc>
        <w:tc>
          <w:tcPr>
            <w:tcW w:w="1429"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r w:rsidRPr="005D2BC3">
              <w:rPr>
                <w:rFonts w:cs="Calibri"/>
                <w:szCs w:val="20"/>
              </w:rPr>
              <w:t>99%</w:t>
            </w:r>
          </w:p>
        </w:tc>
        <w:tc>
          <w:tcPr>
            <w:tcW w:w="1429"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r>
              <w:rPr>
                <w:rFonts w:cs="Calibri"/>
                <w:szCs w:val="20"/>
              </w:rPr>
              <w:t>100%</w:t>
            </w:r>
          </w:p>
        </w:tc>
        <w:tc>
          <w:tcPr>
            <w:tcW w:w="1429"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r>
              <w:rPr>
                <w:rFonts w:cs="Calibri"/>
                <w:szCs w:val="20"/>
              </w:rPr>
              <w:t>99%</w:t>
            </w:r>
          </w:p>
        </w:tc>
      </w:tr>
      <w:tr w:rsidR="00C67E97" w:rsidRPr="00DC19D4" w:rsidTr="00A2331E">
        <w:trPr>
          <w:cantSplit/>
          <w:trHeight w:val="74"/>
        </w:trPr>
        <w:tc>
          <w:tcPr>
            <w:tcW w:w="5063" w:type="dxa"/>
            <w:tcBorders>
              <w:top w:val="nil"/>
              <w:left w:val="nil"/>
              <w:bottom w:val="single" w:sz="4" w:space="0" w:color="auto"/>
              <w:right w:val="nil"/>
            </w:tcBorders>
          </w:tcPr>
          <w:p w:rsidR="00C67E97" w:rsidRPr="00DC19D4" w:rsidRDefault="00C67E97" w:rsidP="007235C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alibri"/>
                <w:sz w:val="12"/>
                <w:szCs w:val="12"/>
              </w:rPr>
            </w:pPr>
          </w:p>
        </w:tc>
        <w:tc>
          <w:tcPr>
            <w:tcW w:w="1429" w:type="dxa"/>
            <w:tcBorders>
              <w:top w:val="nil"/>
              <w:left w:val="nil"/>
              <w:bottom w:val="single" w:sz="4" w:space="0" w:color="auto"/>
              <w:right w:val="nil"/>
            </w:tcBorders>
          </w:tcPr>
          <w:p w:rsidR="00C67E97" w:rsidRPr="00DC19D4"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12"/>
                <w:szCs w:val="12"/>
              </w:rPr>
            </w:pPr>
          </w:p>
        </w:tc>
        <w:tc>
          <w:tcPr>
            <w:tcW w:w="1429" w:type="dxa"/>
            <w:tcBorders>
              <w:top w:val="nil"/>
              <w:left w:val="nil"/>
              <w:bottom w:val="single" w:sz="4" w:space="0" w:color="auto"/>
              <w:right w:val="nil"/>
            </w:tcBorders>
          </w:tcPr>
          <w:p w:rsidR="00C67E97" w:rsidRPr="00DC19D4"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12"/>
                <w:szCs w:val="12"/>
              </w:rPr>
            </w:pPr>
          </w:p>
        </w:tc>
        <w:tc>
          <w:tcPr>
            <w:tcW w:w="1429" w:type="dxa"/>
            <w:tcBorders>
              <w:top w:val="nil"/>
              <w:left w:val="nil"/>
              <w:bottom w:val="single" w:sz="4" w:space="0" w:color="auto"/>
              <w:right w:val="nil"/>
            </w:tcBorders>
          </w:tcPr>
          <w:p w:rsidR="00C67E97" w:rsidRPr="00DC19D4"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12"/>
                <w:szCs w:val="12"/>
              </w:rPr>
            </w:pPr>
          </w:p>
        </w:tc>
      </w:tr>
    </w:tbl>
    <w:p w:rsidR="00D71648" w:rsidRPr="001F3EBC" w:rsidRDefault="00D71648" w:rsidP="00D71648">
      <w:pPr>
        <w:pStyle w:val="NoteHeading0"/>
      </w:pPr>
      <w:r w:rsidRPr="00F651EA">
        <w:t>Notes:</w:t>
      </w:r>
      <w:r w:rsidRPr="00F651EA">
        <w:rPr>
          <w:highlight w:val="yellow"/>
        </w:rPr>
        <w:t xml:space="preserve"> </w:t>
      </w:r>
    </w:p>
    <w:p w:rsidR="00C67E97" w:rsidRDefault="00A83A35" w:rsidP="00A2331E">
      <w:pPr>
        <w:pStyle w:val="AINotes"/>
        <w:numPr>
          <w:ilvl w:val="0"/>
          <w:numId w:val="52"/>
        </w:numPr>
      </w:pPr>
      <w:r>
        <w:t>2012-13 target amended by s19D instrument NI2013-37 Amendment of Performance Criteria.</w:t>
      </w:r>
    </w:p>
    <w:p w:rsidR="00806933" w:rsidRDefault="00806933" w:rsidP="00806933">
      <w:pPr>
        <w:pStyle w:val="AINotes"/>
        <w:numPr>
          <w:ilvl w:val="0"/>
          <w:numId w:val="0"/>
        </w:numPr>
        <w:ind w:left="357" w:hanging="357"/>
      </w:pPr>
    </w:p>
    <w:p w:rsidR="00806933" w:rsidRPr="00D325FA" w:rsidRDefault="00806933" w:rsidP="00806933">
      <w:pPr>
        <w:pStyle w:val="Heading3"/>
        <w:spacing w:before="0"/>
      </w:pPr>
      <w:proofErr w:type="gramStart"/>
      <w:r w:rsidRPr="00D325FA">
        <w:lastRenderedPageBreak/>
        <w:t>Accountability Indicators</w:t>
      </w:r>
      <w:r>
        <w:t xml:space="preserve"> cont.</w:t>
      </w:r>
      <w:proofErr w:type="gramEnd"/>
    </w:p>
    <w:tbl>
      <w:tblPr>
        <w:tblW w:w="9356" w:type="dxa"/>
        <w:tblLayout w:type="fixed"/>
        <w:tblLook w:val="0000"/>
      </w:tblPr>
      <w:tblGrid>
        <w:gridCol w:w="5066"/>
        <w:gridCol w:w="1430"/>
        <w:gridCol w:w="1430"/>
        <w:gridCol w:w="1430"/>
      </w:tblGrid>
      <w:tr w:rsidR="00C67E97" w:rsidRPr="005D2BC3" w:rsidTr="00A9634C">
        <w:tc>
          <w:tcPr>
            <w:tcW w:w="5066" w:type="dxa"/>
            <w:tcBorders>
              <w:top w:val="single" w:sz="4" w:space="0" w:color="auto"/>
              <w:left w:val="nil"/>
              <w:bottom w:val="single" w:sz="4" w:space="0" w:color="auto"/>
              <w:right w:val="nil"/>
            </w:tcBorders>
          </w:tcPr>
          <w:p w:rsidR="00C67E97" w:rsidRPr="00B61BC9" w:rsidRDefault="00C67E97" w:rsidP="0072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20"/>
              </w:rPr>
            </w:pPr>
          </w:p>
        </w:tc>
        <w:tc>
          <w:tcPr>
            <w:tcW w:w="1430" w:type="dxa"/>
            <w:tcBorders>
              <w:top w:val="single" w:sz="4" w:space="0" w:color="auto"/>
              <w:left w:val="nil"/>
              <w:bottom w:val="single" w:sz="4" w:space="0" w:color="auto"/>
              <w:right w:val="nil"/>
            </w:tcBorders>
          </w:tcPr>
          <w:p w:rsidR="00C67E97" w:rsidRPr="00B61BC9"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r w:rsidRPr="00B61BC9">
              <w:rPr>
                <w:rFonts w:cs="Calibri"/>
              </w:rPr>
              <w:t>2012-13</w:t>
            </w:r>
            <w:r w:rsidRPr="00B61BC9">
              <w:rPr>
                <w:rFonts w:cs="Calibri"/>
              </w:rPr>
              <w:br/>
              <w:t>Targets</w:t>
            </w:r>
          </w:p>
        </w:tc>
        <w:tc>
          <w:tcPr>
            <w:tcW w:w="1430" w:type="dxa"/>
            <w:tcBorders>
              <w:top w:val="single" w:sz="4" w:space="0" w:color="auto"/>
              <w:left w:val="nil"/>
              <w:bottom w:val="single" w:sz="4" w:space="0" w:color="auto"/>
              <w:right w:val="nil"/>
            </w:tcBorders>
          </w:tcPr>
          <w:p w:rsidR="00C67E97" w:rsidRPr="00B61BC9"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r w:rsidRPr="00B61BC9">
              <w:rPr>
                <w:rFonts w:cs="Calibri"/>
              </w:rPr>
              <w:t>2012-13</w:t>
            </w:r>
            <w:r w:rsidRPr="00B61BC9">
              <w:rPr>
                <w:rFonts w:cs="Calibri"/>
              </w:rPr>
              <w:br/>
              <w:t>Est. Outcome</w:t>
            </w:r>
          </w:p>
        </w:tc>
        <w:tc>
          <w:tcPr>
            <w:tcW w:w="1430" w:type="dxa"/>
            <w:tcBorders>
              <w:top w:val="single" w:sz="4" w:space="0" w:color="auto"/>
              <w:left w:val="nil"/>
              <w:bottom w:val="single" w:sz="4" w:space="0" w:color="auto"/>
              <w:right w:val="nil"/>
            </w:tcBorders>
          </w:tcPr>
          <w:p w:rsidR="00C67E97" w:rsidRPr="00B61BC9"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r w:rsidRPr="00B61BC9">
              <w:rPr>
                <w:rFonts w:cs="Calibri"/>
              </w:rPr>
              <w:t>2013-14</w:t>
            </w:r>
            <w:r w:rsidRPr="00B61BC9">
              <w:rPr>
                <w:rFonts w:cs="Calibri"/>
              </w:rPr>
              <w:br/>
              <w:t>Targets</w:t>
            </w:r>
          </w:p>
        </w:tc>
      </w:tr>
      <w:tr w:rsidR="00C67E97" w:rsidRPr="005D2BC3" w:rsidTr="00A9634C">
        <w:tc>
          <w:tcPr>
            <w:tcW w:w="5066" w:type="dxa"/>
            <w:tcBorders>
              <w:top w:val="single" w:sz="4" w:space="0" w:color="auto"/>
              <w:left w:val="nil"/>
              <w:bottom w:val="single" w:sz="4" w:space="0" w:color="auto"/>
              <w:right w:val="nil"/>
            </w:tcBorders>
          </w:tcPr>
          <w:p w:rsidR="00C67E97" w:rsidRPr="00343E98" w:rsidRDefault="00C67E97" w:rsidP="007235C9">
            <w:pPr>
              <w:rPr>
                <w:rFonts w:cs="Calibri"/>
                <w:b/>
                <w:sz w:val="20"/>
              </w:rPr>
            </w:pPr>
            <w:r w:rsidRPr="00343E98">
              <w:rPr>
                <w:rFonts w:cs="Calibri"/>
                <w:b/>
                <w:sz w:val="20"/>
              </w:rPr>
              <w:t>Output 1.4:  Public Prosecutions</w:t>
            </w:r>
          </w:p>
        </w:tc>
        <w:tc>
          <w:tcPr>
            <w:tcW w:w="1430" w:type="dxa"/>
            <w:tcBorders>
              <w:top w:val="single" w:sz="4" w:space="0" w:color="auto"/>
              <w:left w:val="nil"/>
              <w:bottom w:val="single" w:sz="4" w:space="0" w:color="auto"/>
              <w:right w:val="nil"/>
            </w:tcBorders>
          </w:tcPr>
          <w:p w:rsidR="00C67E97" w:rsidRPr="00B61BC9" w:rsidRDefault="00C67E97" w:rsidP="007235C9">
            <w:pPr>
              <w:pStyle w:val="Heading6"/>
              <w:rPr>
                <w:rFonts w:cs="Calibri"/>
              </w:rPr>
            </w:pPr>
          </w:p>
        </w:tc>
        <w:tc>
          <w:tcPr>
            <w:tcW w:w="1430" w:type="dxa"/>
            <w:tcBorders>
              <w:top w:val="single" w:sz="4" w:space="0" w:color="auto"/>
              <w:left w:val="nil"/>
              <w:bottom w:val="single" w:sz="4" w:space="0" w:color="auto"/>
              <w:right w:val="nil"/>
            </w:tcBorders>
          </w:tcPr>
          <w:p w:rsidR="00C67E97" w:rsidRPr="00B61BC9" w:rsidRDefault="00C67E97" w:rsidP="007235C9">
            <w:pPr>
              <w:pStyle w:val="Heading6"/>
              <w:rPr>
                <w:rFonts w:cs="Calibri"/>
              </w:rPr>
            </w:pPr>
          </w:p>
        </w:tc>
        <w:tc>
          <w:tcPr>
            <w:tcW w:w="1430" w:type="dxa"/>
            <w:tcBorders>
              <w:top w:val="single" w:sz="4" w:space="0" w:color="auto"/>
              <w:left w:val="nil"/>
              <w:bottom w:val="single" w:sz="4" w:space="0" w:color="auto"/>
              <w:right w:val="nil"/>
            </w:tcBorders>
          </w:tcPr>
          <w:p w:rsidR="00C67E97" w:rsidRPr="00B61BC9" w:rsidRDefault="00C67E97" w:rsidP="007235C9">
            <w:pPr>
              <w:pStyle w:val="Heading6"/>
              <w:rPr>
                <w:rFonts w:cs="Calibri"/>
              </w:rPr>
            </w:pPr>
          </w:p>
        </w:tc>
      </w:tr>
      <w:tr w:rsidR="00C67E97" w:rsidRPr="005D2BC3" w:rsidTr="00361D68">
        <w:tc>
          <w:tcPr>
            <w:tcW w:w="5066" w:type="dxa"/>
            <w:tcBorders>
              <w:top w:val="single" w:sz="4" w:space="0" w:color="auto"/>
              <w:left w:val="nil"/>
              <w:right w:val="nil"/>
            </w:tcBorders>
          </w:tcPr>
          <w:p w:rsidR="00C67E97" w:rsidRPr="00A2331E" w:rsidRDefault="00C67E97" w:rsidP="00A2331E">
            <w:pPr>
              <w:pStyle w:val="Tabletextindenta"/>
              <w:numPr>
                <w:ilvl w:val="0"/>
                <w:numId w:val="59"/>
              </w:numPr>
              <w:rPr>
                <w:rFonts w:cs="Calibri"/>
              </w:rPr>
            </w:pPr>
            <w:r w:rsidRPr="00A2331E">
              <w:rPr>
                <w:kern w:val="0"/>
              </w:rPr>
              <w:t>Percentage of cases where court timetable is met in accordance with Courts’ rules</w:t>
            </w:r>
            <w:r w:rsidRPr="00A2331E">
              <w:rPr>
                <w:kern w:val="0"/>
                <w:vertAlign w:val="superscript"/>
              </w:rPr>
              <w:t>1</w:t>
            </w:r>
          </w:p>
        </w:tc>
        <w:tc>
          <w:tcPr>
            <w:tcW w:w="1430" w:type="dxa"/>
            <w:tcBorders>
              <w:top w:val="single" w:sz="4" w:space="0" w:color="auto"/>
              <w:left w:val="nil"/>
              <w:right w:val="nil"/>
            </w:tcBorders>
            <w:shd w:val="clear" w:color="auto" w:fill="auto"/>
          </w:tcPr>
          <w:p w:rsidR="00C67E97" w:rsidRPr="00F07ABB" w:rsidRDefault="00C67E97" w:rsidP="007235C9">
            <w:pPr>
              <w:pStyle w:val="Heading6"/>
              <w:rPr>
                <w:rFonts w:cs="Calibri"/>
                <w:b w:val="0"/>
              </w:rPr>
            </w:pPr>
            <w:r w:rsidRPr="00F07ABB">
              <w:rPr>
                <w:rFonts w:cs="Calibri"/>
                <w:b w:val="0"/>
              </w:rPr>
              <w:t>80%</w:t>
            </w:r>
          </w:p>
        </w:tc>
        <w:tc>
          <w:tcPr>
            <w:tcW w:w="1430" w:type="dxa"/>
            <w:tcBorders>
              <w:top w:val="single" w:sz="4" w:space="0" w:color="auto"/>
              <w:left w:val="nil"/>
              <w:right w:val="nil"/>
            </w:tcBorders>
            <w:shd w:val="clear" w:color="auto" w:fill="auto"/>
          </w:tcPr>
          <w:p w:rsidR="00C67E97" w:rsidRPr="00F07ABB" w:rsidRDefault="00C67E97" w:rsidP="007235C9">
            <w:pPr>
              <w:pStyle w:val="Heading6"/>
              <w:rPr>
                <w:rFonts w:cs="Calibri"/>
                <w:b w:val="0"/>
              </w:rPr>
            </w:pPr>
            <w:r w:rsidRPr="00F07ABB">
              <w:rPr>
                <w:rFonts w:cs="Calibri"/>
                <w:b w:val="0"/>
              </w:rPr>
              <w:t>59%</w:t>
            </w:r>
          </w:p>
        </w:tc>
        <w:tc>
          <w:tcPr>
            <w:tcW w:w="1430" w:type="dxa"/>
            <w:tcBorders>
              <w:top w:val="single" w:sz="4" w:space="0" w:color="auto"/>
              <w:left w:val="nil"/>
              <w:right w:val="nil"/>
            </w:tcBorders>
            <w:shd w:val="clear" w:color="auto" w:fill="auto"/>
          </w:tcPr>
          <w:p w:rsidR="00C67E97" w:rsidRPr="00F07ABB" w:rsidRDefault="00037EA0" w:rsidP="007235C9">
            <w:pPr>
              <w:pStyle w:val="Heading6"/>
              <w:rPr>
                <w:rFonts w:cs="Calibri"/>
                <w:b w:val="0"/>
              </w:rPr>
            </w:pPr>
            <w:r w:rsidRPr="00F07ABB">
              <w:rPr>
                <w:rFonts w:cs="Calibri"/>
                <w:b w:val="0"/>
              </w:rPr>
              <w:t>80%</w:t>
            </w:r>
          </w:p>
        </w:tc>
      </w:tr>
      <w:tr w:rsidR="00C67E97" w:rsidRPr="005D2BC3" w:rsidTr="00361D68">
        <w:tc>
          <w:tcPr>
            <w:tcW w:w="5066" w:type="dxa"/>
            <w:tcBorders>
              <w:left w:val="nil"/>
              <w:bottom w:val="single" w:sz="4" w:space="0" w:color="auto"/>
              <w:right w:val="nil"/>
            </w:tcBorders>
          </w:tcPr>
          <w:p w:rsidR="00C67E97" w:rsidRPr="00B61BC9" w:rsidRDefault="00C67E97" w:rsidP="005E1840">
            <w:pPr>
              <w:pStyle w:val="Tabletextindenta"/>
              <w:rPr>
                <w:kern w:val="0"/>
              </w:rPr>
            </w:pPr>
            <w:r w:rsidRPr="00B61BC9">
              <w:rPr>
                <w:kern w:val="0"/>
              </w:rPr>
              <w:t>Average cost per matter finalised</w:t>
            </w:r>
            <w:r w:rsidRPr="00343E98">
              <w:rPr>
                <w:kern w:val="0"/>
                <w:vertAlign w:val="superscript"/>
              </w:rPr>
              <w:t>2</w:t>
            </w:r>
          </w:p>
        </w:tc>
        <w:tc>
          <w:tcPr>
            <w:tcW w:w="1430" w:type="dxa"/>
            <w:tcBorders>
              <w:left w:val="nil"/>
              <w:bottom w:val="single" w:sz="4" w:space="0" w:color="auto"/>
              <w:right w:val="nil"/>
            </w:tcBorders>
            <w:shd w:val="clear" w:color="auto" w:fill="auto"/>
          </w:tcPr>
          <w:p w:rsidR="00C67E97" w:rsidRPr="003C0369" w:rsidRDefault="00C67E97" w:rsidP="007235C9">
            <w:pPr>
              <w:pStyle w:val="Heading6"/>
              <w:rPr>
                <w:rFonts w:cs="Calibri"/>
                <w:b w:val="0"/>
              </w:rPr>
            </w:pPr>
            <w:r w:rsidRPr="003C0369">
              <w:rPr>
                <w:rFonts w:cs="Calibri"/>
                <w:b w:val="0"/>
              </w:rPr>
              <w:t>$2,632</w:t>
            </w:r>
          </w:p>
        </w:tc>
        <w:tc>
          <w:tcPr>
            <w:tcW w:w="1430" w:type="dxa"/>
            <w:tcBorders>
              <w:left w:val="nil"/>
              <w:bottom w:val="single" w:sz="4" w:space="0" w:color="auto"/>
              <w:right w:val="nil"/>
            </w:tcBorders>
            <w:shd w:val="clear" w:color="auto" w:fill="auto"/>
          </w:tcPr>
          <w:p w:rsidR="00C67E97" w:rsidRPr="003C0369" w:rsidRDefault="00C67E97" w:rsidP="007235C9">
            <w:pPr>
              <w:pStyle w:val="Heading6"/>
              <w:rPr>
                <w:rFonts w:cs="Calibri"/>
                <w:b w:val="0"/>
              </w:rPr>
            </w:pPr>
            <w:r w:rsidRPr="003C0369">
              <w:rPr>
                <w:rFonts w:cs="Calibri"/>
                <w:b w:val="0"/>
              </w:rPr>
              <w:t>$2,182</w:t>
            </w:r>
          </w:p>
        </w:tc>
        <w:tc>
          <w:tcPr>
            <w:tcW w:w="1430" w:type="dxa"/>
            <w:tcBorders>
              <w:left w:val="nil"/>
              <w:bottom w:val="single" w:sz="4" w:space="0" w:color="auto"/>
              <w:right w:val="nil"/>
            </w:tcBorders>
            <w:shd w:val="clear" w:color="auto" w:fill="auto"/>
          </w:tcPr>
          <w:p w:rsidR="00C67E97" w:rsidRPr="003C0369" w:rsidRDefault="00037EA0" w:rsidP="007235C9">
            <w:pPr>
              <w:pStyle w:val="Heading6"/>
              <w:rPr>
                <w:rFonts w:cs="Calibri"/>
                <w:b w:val="0"/>
              </w:rPr>
            </w:pPr>
            <w:r w:rsidRPr="003C0369">
              <w:rPr>
                <w:rFonts w:cs="Calibri"/>
                <w:b w:val="0"/>
              </w:rPr>
              <w:t>$2,632</w:t>
            </w:r>
          </w:p>
        </w:tc>
      </w:tr>
    </w:tbl>
    <w:p w:rsidR="00C67E97" w:rsidRPr="00C774B9" w:rsidRDefault="00C67E97" w:rsidP="00C67E97">
      <w:pPr>
        <w:pStyle w:val="NoteHeading0"/>
        <w:rPr>
          <w:b w:val="0"/>
        </w:rPr>
      </w:pPr>
      <w:r w:rsidRPr="00C774B9">
        <w:t xml:space="preserve">Notes: </w:t>
      </w:r>
    </w:p>
    <w:p w:rsidR="00C67E97" w:rsidRPr="00501A81" w:rsidRDefault="00C67E97" w:rsidP="00A2331E">
      <w:pPr>
        <w:pStyle w:val="AINotes"/>
        <w:numPr>
          <w:ilvl w:val="0"/>
          <w:numId w:val="46"/>
        </w:numPr>
        <w:rPr>
          <w:kern w:val="16"/>
          <w:szCs w:val="16"/>
        </w:rPr>
      </w:pPr>
      <w:r w:rsidRPr="00501A81">
        <w:rPr>
          <w:kern w:val="16"/>
          <w:szCs w:val="16"/>
        </w:rPr>
        <w:t>The figure is a combination of Magistrates Court matters and Supreme Court matters.  In the Magistrates Court, delays have been affected by backlogs in the ACT Director Public Prosecutions (DPP) paralegal area which was contributed to by competing priorities from an elevated Supreme Court workload, resourcing issues within the paralegal area, and turnover in the paralegal staffing leading to loss of corporate knowledge; and issues in timing of delivery of full briefs from the Australian Federal Police (AFP).</w:t>
      </w:r>
    </w:p>
    <w:p w:rsidR="00C67E97" w:rsidRDefault="00C67E97" w:rsidP="00596972">
      <w:pPr>
        <w:pStyle w:val="AINotes"/>
        <w:spacing w:after="60"/>
        <w:rPr>
          <w:kern w:val="16"/>
          <w:szCs w:val="16"/>
        </w:rPr>
      </w:pPr>
      <w:r w:rsidRPr="00501A81">
        <w:rPr>
          <w:kern w:val="16"/>
          <w:szCs w:val="16"/>
        </w:rPr>
        <w:t>The average cost per matter is lower than target largely due to a higher than anticipated number of matters expected to be finalised.</w:t>
      </w:r>
    </w:p>
    <w:p w:rsidR="001F07B8" w:rsidRPr="00501A81" w:rsidRDefault="001F07B8" w:rsidP="001F07B8">
      <w:pPr>
        <w:pStyle w:val="AINotes"/>
        <w:numPr>
          <w:ilvl w:val="0"/>
          <w:numId w:val="0"/>
        </w:numPr>
        <w:spacing w:after="60"/>
        <w:ind w:left="357"/>
        <w:rPr>
          <w:kern w:val="16"/>
          <w:szCs w:val="16"/>
        </w:rPr>
      </w:pPr>
    </w:p>
    <w:tbl>
      <w:tblPr>
        <w:tblW w:w="9356" w:type="dxa"/>
        <w:tblLayout w:type="fixed"/>
        <w:tblLook w:val="0000"/>
      </w:tblPr>
      <w:tblGrid>
        <w:gridCol w:w="5066"/>
        <w:gridCol w:w="1430"/>
        <w:gridCol w:w="1430"/>
        <w:gridCol w:w="1430"/>
      </w:tblGrid>
      <w:tr w:rsidR="00C67E97" w:rsidRPr="005D2BC3" w:rsidTr="007E1E6D">
        <w:tc>
          <w:tcPr>
            <w:tcW w:w="5066" w:type="dxa"/>
            <w:tcBorders>
              <w:top w:val="single" w:sz="4" w:space="0" w:color="auto"/>
              <w:left w:val="nil"/>
              <w:bottom w:val="single" w:sz="4" w:space="0" w:color="auto"/>
              <w:right w:val="nil"/>
            </w:tcBorders>
          </w:tcPr>
          <w:p w:rsidR="00C67E97" w:rsidRPr="005D2BC3"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p>
        </w:tc>
        <w:tc>
          <w:tcPr>
            <w:tcW w:w="1430" w:type="dxa"/>
            <w:tcBorders>
              <w:top w:val="single" w:sz="4" w:space="0" w:color="auto"/>
              <w:left w:val="nil"/>
              <w:bottom w:val="single" w:sz="4" w:space="0" w:color="auto"/>
              <w:right w:val="nil"/>
            </w:tcBorders>
          </w:tcPr>
          <w:p w:rsidR="00C67E97" w:rsidRPr="005D2BC3"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r>
              <w:rPr>
                <w:rFonts w:cs="Calibri"/>
              </w:rPr>
              <w:t>2012-13</w:t>
            </w:r>
            <w:r w:rsidRPr="005D2BC3">
              <w:rPr>
                <w:rFonts w:cs="Calibri"/>
              </w:rPr>
              <w:br/>
              <w:t>Targets</w:t>
            </w:r>
          </w:p>
        </w:tc>
        <w:tc>
          <w:tcPr>
            <w:tcW w:w="1430" w:type="dxa"/>
            <w:tcBorders>
              <w:top w:val="single" w:sz="4" w:space="0" w:color="auto"/>
              <w:left w:val="nil"/>
              <w:bottom w:val="single" w:sz="4" w:space="0" w:color="auto"/>
              <w:right w:val="nil"/>
            </w:tcBorders>
          </w:tcPr>
          <w:p w:rsidR="00C67E97" w:rsidRPr="005D2BC3"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r>
              <w:rPr>
                <w:rFonts w:cs="Calibri"/>
              </w:rPr>
              <w:t>2012-13</w:t>
            </w:r>
            <w:r w:rsidRPr="005D2BC3">
              <w:rPr>
                <w:rFonts w:cs="Calibri"/>
              </w:rPr>
              <w:br/>
              <w:t>Est. Outcome</w:t>
            </w:r>
          </w:p>
        </w:tc>
        <w:tc>
          <w:tcPr>
            <w:tcW w:w="1430" w:type="dxa"/>
            <w:tcBorders>
              <w:top w:val="single" w:sz="4" w:space="0" w:color="auto"/>
              <w:left w:val="nil"/>
              <w:bottom w:val="single" w:sz="4" w:space="0" w:color="auto"/>
              <w:right w:val="nil"/>
            </w:tcBorders>
          </w:tcPr>
          <w:p w:rsidR="00C67E97" w:rsidRPr="005D2BC3"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r>
              <w:rPr>
                <w:rFonts w:cs="Calibri"/>
              </w:rPr>
              <w:t>2013-14</w:t>
            </w:r>
            <w:r w:rsidRPr="005D2BC3">
              <w:rPr>
                <w:rFonts w:cs="Calibri"/>
              </w:rPr>
              <w:br/>
              <w:t>Targets</w:t>
            </w:r>
          </w:p>
        </w:tc>
      </w:tr>
      <w:tr w:rsidR="00C67E97" w:rsidRPr="005D2BC3" w:rsidTr="007E1E6D">
        <w:tc>
          <w:tcPr>
            <w:tcW w:w="5066" w:type="dxa"/>
            <w:tcBorders>
              <w:top w:val="single" w:sz="4" w:space="0" w:color="auto"/>
              <w:left w:val="nil"/>
              <w:bottom w:val="single" w:sz="4" w:space="0" w:color="auto"/>
              <w:right w:val="nil"/>
            </w:tcBorders>
          </w:tcPr>
          <w:p w:rsidR="00C67E97" w:rsidRPr="005D2BC3"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r w:rsidRPr="005D2BC3">
              <w:rPr>
                <w:rFonts w:cs="Calibri"/>
              </w:rPr>
              <w:t>Output 1.5:  Protection of Rights</w:t>
            </w:r>
          </w:p>
        </w:tc>
        <w:tc>
          <w:tcPr>
            <w:tcW w:w="1430" w:type="dxa"/>
            <w:tcBorders>
              <w:top w:val="single" w:sz="4" w:space="0" w:color="auto"/>
              <w:left w:val="nil"/>
              <w:bottom w:val="single" w:sz="4" w:space="0" w:color="auto"/>
              <w:right w:val="nil"/>
            </w:tcBorders>
          </w:tcPr>
          <w:p w:rsidR="00C67E97" w:rsidRPr="005D2BC3"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highlight w:val="yellow"/>
                <w:shd w:val="clear" w:color="auto" w:fill="FFFF00"/>
              </w:rPr>
            </w:pPr>
          </w:p>
        </w:tc>
        <w:tc>
          <w:tcPr>
            <w:tcW w:w="1430" w:type="dxa"/>
            <w:tcBorders>
              <w:top w:val="single" w:sz="4" w:space="0" w:color="auto"/>
              <w:left w:val="nil"/>
              <w:bottom w:val="single" w:sz="4" w:space="0" w:color="auto"/>
              <w:right w:val="nil"/>
            </w:tcBorders>
          </w:tcPr>
          <w:p w:rsidR="00C67E97" w:rsidRPr="005D2BC3"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highlight w:val="yellow"/>
              </w:rPr>
            </w:pPr>
          </w:p>
        </w:tc>
        <w:tc>
          <w:tcPr>
            <w:tcW w:w="1430" w:type="dxa"/>
            <w:tcBorders>
              <w:top w:val="single" w:sz="4" w:space="0" w:color="auto"/>
              <w:left w:val="nil"/>
              <w:bottom w:val="single" w:sz="4" w:space="0" w:color="auto"/>
              <w:right w:val="nil"/>
            </w:tcBorders>
          </w:tcPr>
          <w:p w:rsidR="00C67E97" w:rsidRPr="005D2BC3"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highlight w:val="yellow"/>
                <w:shd w:val="clear" w:color="auto" w:fill="FFFF00"/>
              </w:rPr>
            </w:pPr>
          </w:p>
        </w:tc>
      </w:tr>
      <w:tr w:rsidR="00C67E97" w:rsidRPr="005D2BC3" w:rsidTr="007E1E6D">
        <w:trPr>
          <w:trHeight w:val="469"/>
        </w:trPr>
        <w:tc>
          <w:tcPr>
            <w:tcW w:w="5066" w:type="dxa"/>
            <w:tcBorders>
              <w:top w:val="nil"/>
              <w:left w:val="nil"/>
              <w:bottom w:val="nil"/>
              <w:right w:val="nil"/>
            </w:tcBorders>
            <w:shd w:val="clear" w:color="auto" w:fill="auto"/>
          </w:tcPr>
          <w:p w:rsidR="00C67E97" w:rsidRPr="005D2BC3" w:rsidRDefault="00C67E97" w:rsidP="00A2331E">
            <w:pPr>
              <w:pStyle w:val="Tabletextindenta"/>
              <w:numPr>
                <w:ilvl w:val="0"/>
                <w:numId w:val="60"/>
              </w:numPr>
            </w:pPr>
            <w:r w:rsidRPr="005D2BC3">
              <w:t>High level of client satisfaction with Human Rights Commission complaints process:</w:t>
            </w:r>
          </w:p>
        </w:tc>
        <w:tc>
          <w:tcPr>
            <w:tcW w:w="1430" w:type="dxa"/>
            <w:tcBorders>
              <w:top w:val="nil"/>
              <w:left w:val="nil"/>
              <w:bottom w:val="nil"/>
              <w:right w:val="nil"/>
            </w:tcBorders>
            <w:shd w:val="clear" w:color="auto" w:fill="auto"/>
          </w:tcPr>
          <w:p w:rsidR="00C67E97" w:rsidRPr="005D2BC3" w:rsidRDefault="00C67E97" w:rsidP="0072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jc w:val="right"/>
              <w:rPr>
                <w:rFonts w:cs="Calibri"/>
                <w:sz w:val="20"/>
                <w:shd w:val="clear" w:color="auto" w:fill="FFFF00"/>
              </w:rPr>
            </w:pPr>
          </w:p>
        </w:tc>
        <w:tc>
          <w:tcPr>
            <w:tcW w:w="1430" w:type="dxa"/>
            <w:tcBorders>
              <w:top w:val="nil"/>
              <w:left w:val="nil"/>
              <w:right w:val="nil"/>
            </w:tcBorders>
            <w:shd w:val="clear" w:color="auto" w:fill="auto"/>
          </w:tcPr>
          <w:p w:rsidR="00C67E97" w:rsidRPr="005D2BC3" w:rsidRDefault="00C67E97" w:rsidP="0072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jc w:val="right"/>
              <w:rPr>
                <w:rFonts w:cs="Calibri"/>
                <w:sz w:val="20"/>
              </w:rPr>
            </w:pPr>
          </w:p>
        </w:tc>
        <w:tc>
          <w:tcPr>
            <w:tcW w:w="1430" w:type="dxa"/>
            <w:tcBorders>
              <w:top w:val="nil"/>
              <w:left w:val="nil"/>
              <w:bottom w:val="nil"/>
              <w:right w:val="nil"/>
            </w:tcBorders>
            <w:shd w:val="clear" w:color="auto" w:fill="auto"/>
          </w:tcPr>
          <w:p w:rsidR="00C67E97" w:rsidRPr="005D2BC3" w:rsidRDefault="00C67E97" w:rsidP="0072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jc w:val="right"/>
              <w:rPr>
                <w:rFonts w:cs="Calibri"/>
                <w:sz w:val="20"/>
                <w:shd w:val="clear" w:color="auto" w:fill="FFFF00"/>
              </w:rPr>
            </w:pPr>
          </w:p>
        </w:tc>
      </w:tr>
      <w:tr w:rsidR="00C67E97" w:rsidRPr="005D2BC3" w:rsidTr="007E1E6D">
        <w:tc>
          <w:tcPr>
            <w:tcW w:w="5066" w:type="dxa"/>
            <w:tcBorders>
              <w:top w:val="nil"/>
              <w:left w:val="nil"/>
              <w:bottom w:val="nil"/>
              <w:right w:val="nil"/>
            </w:tcBorders>
            <w:shd w:val="clear" w:color="auto" w:fill="auto"/>
          </w:tcPr>
          <w:p w:rsidR="00C67E97" w:rsidRPr="005D2BC3" w:rsidRDefault="00C67E97" w:rsidP="007235C9">
            <w:pPr>
              <w:pStyle w:val="AIBlurb0"/>
              <w:numPr>
                <w:ilvl w:val="0"/>
                <w:numId w:val="5"/>
              </w:numPr>
              <w:tabs>
                <w:tab w:val="left" w:pos="7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jc w:val="left"/>
              <w:rPr>
                <w:rFonts w:cs="Calibri"/>
              </w:rPr>
            </w:pPr>
            <w:r>
              <w:rPr>
                <w:rFonts w:cs="Calibri"/>
              </w:rPr>
              <w:t>Percentage</w:t>
            </w:r>
            <w:r w:rsidRPr="005D2BC3">
              <w:rPr>
                <w:rFonts w:cs="Calibri"/>
              </w:rPr>
              <w:t xml:space="preserve"> of clients who consider the process fair, accessible and understandable</w:t>
            </w:r>
            <w:r w:rsidR="00BD19D5" w:rsidRPr="00BD19D5">
              <w:rPr>
                <w:rFonts w:cs="Calibri"/>
                <w:vertAlign w:val="superscript"/>
              </w:rPr>
              <w:t>5</w:t>
            </w:r>
          </w:p>
        </w:tc>
        <w:tc>
          <w:tcPr>
            <w:tcW w:w="1430"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5D2BC3">
              <w:rPr>
                <w:rFonts w:cs="Calibri"/>
                <w:szCs w:val="20"/>
              </w:rPr>
              <w:t>75%</w:t>
            </w:r>
          </w:p>
        </w:tc>
        <w:tc>
          <w:tcPr>
            <w:tcW w:w="1430" w:type="dxa"/>
            <w:tcBorders>
              <w:top w:val="nil"/>
              <w:left w:val="nil"/>
              <w:bottom w:val="nil"/>
              <w:right w:val="nil"/>
            </w:tcBorders>
            <w:shd w:val="clear" w:color="auto" w:fill="auto"/>
          </w:tcPr>
          <w:p w:rsidR="00C67E97" w:rsidRPr="005D2BC3" w:rsidRDefault="00C67E97" w:rsidP="0072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jc w:val="right"/>
              <w:rPr>
                <w:rFonts w:cs="Calibri"/>
                <w:sz w:val="20"/>
              </w:rPr>
            </w:pPr>
            <w:r w:rsidRPr="004609E3">
              <w:rPr>
                <w:rFonts w:cs="Calibri"/>
                <w:sz w:val="20"/>
              </w:rPr>
              <w:t>81%</w:t>
            </w:r>
          </w:p>
        </w:tc>
        <w:tc>
          <w:tcPr>
            <w:tcW w:w="1430"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n/a</w:t>
            </w:r>
          </w:p>
        </w:tc>
      </w:tr>
      <w:tr w:rsidR="00C67E97" w:rsidRPr="005D2BC3" w:rsidTr="007E1E6D">
        <w:trPr>
          <w:trHeight w:val="975"/>
        </w:trPr>
        <w:tc>
          <w:tcPr>
            <w:tcW w:w="5066" w:type="dxa"/>
            <w:tcBorders>
              <w:top w:val="nil"/>
              <w:left w:val="nil"/>
              <w:bottom w:val="nil"/>
              <w:right w:val="nil"/>
            </w:tcBorders>
            <w:shd w:val="clear" w:color="auto" w:fill="auto"/>
          </w:tcPr>
          <w:p w:rsidR="00C67E97" w:rsidRDefault="00C67E97" w:rsidP="007235C9">
            <w:pPr>
              <w:pStyle w:val="AIBlurb0"/>
              <w:numPr>
                <w:ilvl w:val="0"/>
                <w:numId w:val="5"/>
              </w:numPr>
              <w:tabs>
                <w:tab w:val="left" w:pos="7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jc w:val="left"/>
              <w:rPr>
                <w:rStyle w:val="AIBlurbChar"/>
                <w:rFonts w:cs="Calibri"/>
              </w:rPr>
            </w:pPr>
            <w:r>
              <w:rPr>
                <w:rFonts w:cs="Calibri"/>
              </w:rPr>
              <w:t>Percentage</w:t>
            </w:r>
            <w:r w:rsidRPr="005D2BC3">
              <w:rPr>
                <w:rFonts w:cs="Calibri"/>
              </w:rPr>
              <w:t xml:space="preserve"> of </w:t>
            </w:r>
            <w:r>
              <w:rPr>
                <w:rFonts w:cs="Calibri"/>
              </w:rPr>
              <w:t>survey respondents</w:t>
            </w:r>
            <w:r w:rsidRPr="005D2BC3">
              <w:rPr>
                <w:rFonts w:cs="Calibri"/>
              </w:rPr>
              <w:t xml:space="preserve"> who consider the process fair, accessible and understandable</w:t>
            </w:r>
            <w:r w:rsidRPr="005173F2">
              <w:rPr>
                <w:rFonts w:cs="Calibri"/>
                <w:vertAlign w:val="superscript"/>
              </w:rPr>
              <w:t>1</w:t>
            </w:r>
          </w:p>
          <w:p w:rsidR="00C67E97" w:rsidRPr="005D2BC3" w:rsidRDefault="00C67E97" w:rsidP="007235C9">
            <w:pPr>
              <w:pStyle w:val="AIBlurb0"/>
              <w:numPr>
                <w:ilvl w:val="0"/>
                <w:numId w:val="5"/>
              </w:numPr>
              <w:tabs>
                <w:tab w:val="left" w:pos="7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jc w:val="left"/>
              <w:rPr>
                <w:rFonts w:cs="Calibri"/>
              </w:rPr>
            </w:pPr>
            <w:r>
              <w:rPr>
                <w:rStyle w:val="AIBlurbChar"/>
                <w:rFonts w:cs="Calibri"/>
              </w:rPr>
              <w:t>Percentage</w:t>
            </w:r>
            <w:r w:rsidRPr="005D2BC3">
              <w:rPr>
                <w:rStyle w:val="AIBlurbChar"/>
                <w:rFonts w:cs="Calibri"/>
              </w:rPr>
              <w:t xml:space="preserve"> of </w:t>
            </w:r>
            <w:r w:rsidRPr="005D2BC3">
              <w:rPr>
                <w:rFonts w:cs="Calibri"/>
              </w:rPr>
              <w:t>complaints</w:t>
            </w:r>
            <w:r w:rsidRPr="005D2BC3">
              <w:rPr>
                <w:rStyle w:val="AIBlurbChar"/>
                <w:rFonts w:cs="Calibri"/>
              </w:rPr>
              <w:t xml:space="preserve"> conclu</w:t>
            </w:r>
            <w:r>
              <w:rPr>
                <w:rStyle w:val="AIBlurbChar"/>
                <w:rFonts w:cs="Calibri"/>
              </w:rPr>
              <w:t>ded within Commission standards</w:t>
            </w:r>
            <w:r>
              <w:rPr>
                <w:rStyle w:val="AIBlurbChar"/>
                <w:rFonts w:cs="Calibri"/>
                <w:vertAlign w:val="superscript"/>
              </w:rPr>
              <w:t>2,3</w:t>
            </w:r>
          </w:p>
        </w:tc>
        <w:tc>
          <w:tcPr>
            <w:tcW w:w="1430" w:type="dxa"/>
            <w:tcBorders>
              <w:top w:val="nil"/>
              <w:left w:val="nil"/>
              <w:bottom w:val="nil"/>
              <w:right w:val="nil"/>
            </w:tcBorders>
            <w:shd w:val="clear" w:color="auto" w:fill="auto"/>
          </w:tcPr>
          <w:p w:rsidR="00C67E97"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n/a</w:t>
            </w:r>
          </w:p>
          <w:p w:rsidR="00C67E97"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p>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5D2BC3">
              <w:rPr>
                <w:rFonts w:cs="Calibri"/>
                <w:szCs w:val="20"/>
              </w:rPr>
              <w:t>75%</w:t>
            </w:r>
          </w:p>
        </w:tc>
        <w:tc>
          <w:tcPr>
            <w:tcW w:w="1430" w:type="dxa"/>
            <w:tcBorders>
              <w:top w:val="nil"/>
              <w:left w:val="nil"/>
              <w:bottom w:val="nil"/>
              <w:right w:val="nil"/>
            </w:tcBorders>
            <w:shd w:val="clear" w:color="auto" w:fill="auto"/>
          </w:tcPr>
          <w:p w:rsidR="00C67E97"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n/a</w:t>
            </w:r>
          </w:p>
          <w:p w:rsidR="00C67E97"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p>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62</w:t>
            </w:r>
            <w:r w:rsidRPr="005D2BC3">
              <w:rPr>
                <w:rFonts w:cs="Calibri"/>
                <w:szCs w:val="20"/>
              </w:rPr>
              <w:t>%</w:t>
            </w:r>
          </w:p>
        </w:tc>
        <w:tc>
          <w:tcPr>
            <w:tcW w:w="1430" w:type="dxa"/>
            <w:tcBorders>
              <w:top w:val="nil"/>
              <w:left w:val="nil"/>
              <w:bottom w:val="nil"/>
              <w:right w:val="nil"/>
            </w:tcBorders>
            <w:shd w:val="clear" w:color="auto" w:fill="auto"/>
          </w:tcPr>
          <w:p w:rsidR="00C67E97"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75%</w:t>
            </w:r>
          </w:p>
          <w:p w:rsidR="00C67E97"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p>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5D2BC3">
              <w:rPr>
                <w:rFonts w:cs="Calibri"/>
                <w:szCs w:val="20"/>
              </w:rPr>
              <w:t>75%</w:t>
            </w:r>
          </w:p>
        </w:tc>
      </w:tr>
      <w:tr w:rsidR="00C67E97" w:rsidRPr="005D2BC3" w:rsidTr="007E1E6D">
        <w:tc>
          <w:tcPr>
            <w:tcW w:w="5066" w:type="dxa"/>
            <w:tcBorders>
              <w:top w:val="nil"/>
              <w:left w:val="nil"/>
              <w:bottom w:val="nil"/>
              <w:right w:val="nil"/>
            </w:tcBorders>
          </w:tcPr>
          <w:p w:rsidR="00C67E97" w:rsidRPr="005D2BC3" w:rsidRDefault="00C67E97" w:rsidP="005E1840">
            <w:pPr>
              <w:pStyle w:val="Tabletextindenta"/>
            </w:pPr>
            <w:r>
              <w:rPr>
                <w:rFonts w:cs="Calibri"/>
                <w:szCs w:val="20"/>
              </w:rPr>
              <w:t xml:space="preserve">High level </w:t>
            </w:r>
            <w:r w:rsidRPr="004F1163">
              <w:rPr>
                <w:shd w:val="clear" w:color="auto" w:fill="FFFFFF"/>
              </w:rPr>
              <w:t>of community education, information and advice in relation to human rights</w:t>
            </w:r>
            <w:r>
              <w:rPr>
                <w:shd w:val="clear" w:color="auto" w:fill="FFFFFF"/>
              </w:rPr>
              <w:t xml:space="preserve"> and (</w:t>
            </w:r>
            <w:proofErr w:type="spellStart"/>
            <w:r>
              <w:rPr>
                <w:shd w:val="clear" w:color="auto" w:fill="FFFFFF"/>
              </w:rPr>
              <w:t>i</w:t>
            </w:r>
            <w:proofErr w:type="spellEnd"/>
            <w:r>
              <w:rPr>
                <w:shd w:val="clear" w:color="auto" w:fill="FFFFFF"/>
              </w:rPr>
              <w:t xml:space="preserve">) </w:t>
            </w:r>
            <w:r>
              <w:t>services for children and young people, (ii) disability services, (iii) health services, and (iv) services for older people:</w:t>
            </w:r>
            <w:r>
              <w:rPr>
                <w:rFonts w:cs="Calibri"/>
                <w:vertAlign w:val="superscript"/>
              </w:rPr>
              <w:t>4</w:t>
            </w:r>
          </w:p>
        </w:tc>
        <w:tc>
          <w:tcPr>
            <w:tcW w:w="1430" w:type="dxa"/>
            <w:tcBorders>
              <w:top w:val="nil"/>
              <w:left w:val="nil"/>
              <w:bottom w:val="nil"/>
              <w:right w:val="nil"/>
            </w:tcBorders>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shd w:val="clear" w:color="auto" w:fill="FFFF00"/>
              </w:rPr>
            </w:pPr>
          </w:p>
        </w:tc>
        <w:tc>
          <w:tcPr>
            <w:tcW w:w="1430"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p>
        </w:tc>
        <w:tc>
          <w:tcPr>
            <w:tcW w:w="1430"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shd w:val="clear" w:color="auto" w:fill="FFFF00"/>
              </w:rPr>
            </w:pPr>
          </w:p>
        </w:tc>
      </w:tr>
      <w:tr w:rsidR="00C67E97" w:rsidRPr="005D2BC3" w:rsidTr="007E1E6D">
        <w:tc>
          <w:tcPr>
            <w:tcW w:w="5066" w:type="dxa"/>
            <w:tcBorders>
              <w:top w:val="nil"/>
              <w:left w:val="nil"/>
              <w:bottom w:val="nil"/>
              <w:right w:val="nil"/>
            </w:tcBorders>
          </w:tcPr>
          <w:p w:rsidR="00C67E97" w:rsidRPr="005D2BC3" w:rsidRDefault="00C67E97" w:rsidP="00180889">
            <w:pPr>
              <w:pStyle w:val="AIBlurb0"/>
              <w:numPr>
                <w:ilvl w:val="0"/>
                <w:numId w:val="5"/>
              </w:numPr>
              <w:tabs>
                <w:tab w:val="left" w:pos="7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ind w:left="714" w:hanging="357"/>
              <w:jc w:val="left"/>
              <w:rPr>
                <w:rFonts w:cs="Calibri"/>
              </w:rPr>
            </w:pPr>
            <w:r w:rsidRPr="005D2BC3">
              <w:rPr>
                <w:rFonts w:cs="Calibri"/>
              </w:rPr>
              <w:t>Number of projects which progressed one or more of the C</w:t>
            </w:r>
            <w:r>
              <w:rPr>
                <w:rFonts w:cs="Calibri"/>
              </w:rPr>
              <w:t xml:space="preserve">ommission’s statutory </w:t>
            </w:r>
            <w:r w:rsidRPr="00744B7B">
              <w:rPr>
                <w:rFonts w:cs="Calibri"/>
              </w:rPr>
              <w:t>functions</w:t>
            </w:r>
            <w:r w:rsidRPr="00744B7B">
              <w:rPr>
                <w:rFonts w:cs="Calibri"/>
                <w:vertAlign w:val="superscript"/>
              </w:rPr>
              <w:t>5</w:t>
            </w:r>
            <w:r w:rsidR="00BD19D5" w:rsidRPr="00744B7B">
              <w:rPr>
                <w:rFonts w:cs="Calibri"/>
                <w:vertAlign w:val="superscript"/>
              </w:rPr>
              <w:t>,6</w:t>
            </w:r>
          </w:p>
        </w:tc>
        <w:tc>
          <w:tcPr>
            <w:tcW w:w="1430" w:type="dxa"/>
            <w:tcBorders>
              <w:top w:val="nil"/>
              <w:left w:val="nil"/>
              <w:bottom w:val="nil"/>
              <w:right w:val="nil"/>
            </w:tcBorders>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5D2BC3">
              <w:rPr>
                <w:rFonts w:cs="Calibri"/>
                <w:szCs w:val="20"/>
              </w:rPr>
              <w:t>12</w:t>
            </w:r>
          </w:p>
        </w:tc>
        <w:tc>
          <w:tcPr>
            <w:tcW w:w="1430"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4609E3">
              <w:rPr>
                <w:rFonts w:cs="Calibri"/>
                <w:szCs w:val="20"/>
              </w:rPr>
              <w:t>7</w:t>
            </w:r>
          </w:p>
        </w:tc>
        <w:tc>
          <w:tcPr>
            <w:tcW w:w="1430"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n/a</w:t>
            </w:r>
          </w:p>
        </w:tc>
      </w:tr>
      <w:tr w:rsidR="00C67E97" w:rsidRPr="005D2BC3" w:rsidTr="007E1E6D">
        <w:tc>
          <w:tcPr>
            <w:tcW w:w="5066" w:type="dxa"/>
            <w:tcBorders>
              <w:top w:val="nil"/>
              <w:left w:val="nil"/>
              <w:bottom w:val="nil"/>
              <w:right w:val="nil"/>
            </w:tcBorders>
          </w:tcPr>
          <w:p w:rsidR="00C67E97" w:rsidRPr="005D2BC3" w:rsidRDefault="00C67E97" w:rsidP="00BD19D5">
            <w:pPr>
              <w:pStyle w:val="AIBlurb0"/>
              <w:numPr>
                <w:ilvl w:val="0"/>
                <w:numId w:val="5"/>
              </w:numPr>
              <w:tabs>
                <w:tab w:val="left" w:pos="7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jc w:val="left"/>
              <w:rPr>
                <w:rFonts w:cs="Calibri"/>
              </w:rPr>
            </w:pPr>
            <w:r w:rsidRPr="005D2BC3">
              <w:rPr>
                <w:rFonts w:cs="Calibri"/>
              </w:rPr>
              <w:t xml:space="preserve">Number of community </w:t>
            </w:r>
            <w:r>
              <w:rPr>
                <w:rFonts w:cs="Calibri"/>
              </w:rPr>
              <w:t xml:space="preserve">engagement activities undertaken by the </w:t>
            </w:r>
            <w:r w:rsidR="00BD19D5">
              <w:rPr>
                <w:rFonts w:cs="Calibri"/>
              </w:rPr>
              <w:t>Commission</w:t>
            </w:r>
            <w:r w:rsidR="00BD19D5">
              <w:rPr>
                <w:rFonts w:cs="Calibri"/>
                <w:vertAlign w:val="superscript"/>
              </w:rPr>
              <w:t>7</w:t>
            </w:r>
          </w:p>
        </w:tc>
        <w:tc>
          <w:tcPr>
            <w:tcW w:w="1430" w:type="dxa"/>
            <w:tcBorders>
              <w:top w:val="nil"/>
              <w:left w:val="nil"/>
              <w:bottom w:val="nil"/>
              <w:right w:val="nil"/>
            </w:tcBorders>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30</w:t>
            </w:r>
          </w:p>
        </w:tc>
        <w:tc>
          <w:tcPr>
            <w:tcW w:w="1430"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30</w:t>
            </w:r>
          </w:p>
        </w:tc>
        <w:tc>
          <w:tcPr>
            <w:tcW w:w="1430"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30</w:t>
            </w:r>
          </w:p>
        </w:tc>
      </w:tr>
      <w:tr w:rsidR="00C67E97" w:rsidRPr="005D2BC3" w:rsidTr="007E1E6D">
        <w:tc>
          <w:tcPr>
            <w:tcW w:w="5066" w:type="dxa"/>
            <w:tcBorders>
              <w:top w:val="nil"/>
              <w:left w:val="nil"/>
              <w:bottom w:val="nil"/>
              <w:right w:val="nil"/>
            </w:tcBorders>
          </w:tcPr>
          <w:p w:rsidR="00C67E97" w:rsidRPr="005D2BC3" w:rsidRDefault="00C67E97" w:rsidP="005E1840">
            <w:pPr>
              <w:pStyle w:val="Tabletextindenta"/>
            </w:pPr>
            <w:r w:rsidRPr="005D2BC3">
              <w:t>The Public Advocate of the ACT’s actions towards achieving a caring community where the rights and interests of vulnerable people are protected:</w:t>
            </w:r>
          </w:p>
        </w:tc>
        <w:tc>
          <w:tcPr>
            <w:tcW w:w="1430" w:type="dxa"/>
            <w:tcBorders>
              <w:top w:val="nil"/>
              <w:left w:val="nil"/>
              <w:bottom w:val="nil"/>
              <w:right w:val="nil"/>
            </w:tcBorders>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shd w:val="clear" w:color="auto" w:fill="FFFF00"/>
              </w:rPr>
            </w:pPr>
          </w:p>
        </w:tc>
        <w:tc>
          <w:tcPr>
            <w:tcW w:w="1430"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p>
        </w:tc>
        <w:tc>
          <w:tcPr>
            <w:tcW w:w="1430" w:type="dxa"/>
            <w:tcBorders>
              <w:top w:val="nil"/>
              <w:left w:val="nil"/>
              <w:bottom w:val="nil"/>
              <w:right w:val="nil"/>
            </w:tcBorders>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shd w:val="clear" w:color="auto" w:fill="FFFF00"/>
              </w:rPr>
            </w:pPr>
          </w:p>
        </w:tc>
      </w:tr>
      <w:tr w:rsidR="00C67E97" w:rsidRPr="005D2BC3" w:rsidTr="007E1E6D">
        <w:tc>
          <w:tcPr>
            <w:tcW w:w="5066" w:type="dxa"/>
            <w:tcBorders>
              <w:top w:val="nil"/>
              <w:left w:val="nil"/>
              <w:bottom w:val="nil"/>
              <w:right w:val="nil"/>
            </w:tcBorders>
          </w:tcPr>
          <w:p w:rsidR="00C67E97" w:rsidRPr="005D2BC3" w:rsidRDefault="00C67E97" w:rsidP="007235C9">
            <w:pPr>
              <w:pStyle w:val="AIBlurb0"/>
              <w:numPr>
                <w:ilvl w:val="0"/>
                <w:numId w:val="5"/>
              </w:numPr>
              <w:tabs>
                <w:tab w:val="left" w:pos="7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jc w:val="left"/>
              <w:rPr>
                <w:rFonts w:cs="Calibri"/>
              </w:rPr>
            </w:pPr>
            <w:r w:rsidRPr="005D2BC3">
              <w:rPr>
                <w:rFonts w:cs="Calibri"/>
              </w:rPr>
              <w:t>Proportion of clients for whom advocacy services are provided by the Public Advocate of the ACT where a high level of satisfaction is reported</w:t>
            </w:r>
          </w:p>
        </w:tc>
        <w:tc>
          <w:tcPr>
            <w:tcW w:w="1430" w:type="dxa"/>
            <w:tcBorders>
              <w:top w:val="nil"/>
              <w:left w:val="nil"/>
              <w:bottom w:val="nil"/>
              <w:right w:val="nil"/>
            </w:tcBorders>
            <w:shd w:val="clear" w:color="auto" w:fill="auto"/>
          </w:tcPr>
          <w:p w:rsidR="00C67E97" w:rsidRPr="005D2BC3" w:rsidRDefault="007A64D1"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85</w:t>
            </w:r>
            <w:r w:rsidR="00C67E97" w:rsidRPr="005D2BC3">
              <w:rPr>
                <w:rFonts w:cs="Calibri"/>
                <w:szCs w:val="20"/>
              </w:rPr>
              <w:t>%</w:t>
            </w:r>
          </w:p>
        </w:tc>
        <w:tc>
          <w:tcPr>
            <w:tcW w:w="1430"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85%</w:t>
            </w:r>
          </w:p>
        </w:tc>
        <w:tc>
          <w:tcPr>
            <w:tcW w:w="1430" w:type="dxa"/>
            <w:tcBorders>
              <w:top w:val="nil"/>
              <w:left w:val="nil"/>
              <w:bottom w:val="nil"/>
              <w:right w:val="nil"/>
            </w:tcBorders>
            <w:shd w:val="clear" w:color="auto" w:fill="auto"/>
          </w:tcPr>
          <w:p w:rsidR="00C67E97" w:rsidRPr="009C115F"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9C115F">
              <w:rPr>
                <w:rFonts w:cs="Calibri"/>
                <w:szCs w:val="20"/>
              </w:rPr>
              <w:t>85%</w:t>
            </w:r>
          </w:p>
        </w:tc>
      </w:tr>
      <w:tr w:rsidR="00C67E97" w:rsidRPr="005D2BC3" w:rsidTr="007E1E6D">
        <w:tc>
          <w:tcPr>
            <w:tcW w:w="5066" w:type="dxa"/>
            <w:tcBorders>
              <w:top w:val="nil"/>
              <w:left w:val="nil"/>
              <w:bottom w:val="nil"/>
              <w:right w:val="nil"/>
            </w:tcBorders>
          </w:tcPr>
          <w:p w:rsidR="00C67E97" w:rsidRPr="005D2BC3" w:rsidRDefault="00C67E97" w:rsidP="00985BA1">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ind w:left="426"/>
              <w:rPr>
                <w:rFonts w:cs="Calibri"/>
                <w:b w:val="0"/>
                <w:i/>
              </w:rPr>
            </w:pPr>
            <w:r w:rsidRPr="005D2BC3">
              <w:rPr>
                <w:rFonts w:cs="Calibri"/>
                <w:b w:val="0"/>
                <w:i/>
              </w:rPr>
              <w:t>Public Guardianship</w:t>
            </w:r>
          </w:p>
        </w:tc>
        <w:tc>
          <w:tcPr>
            <w:tcW w:w="1430" w:type="dxa"/>
            <w:tcBorders>
              <w:top w:val="nil"/>
              <w:left w:val="nil"/>
              <w:bottom w:val="nil"/>
              <w:right w:val="nil"/>
            </w:tcBorders>
            <w:shd w:val="clear" w:color="auto" w:fill="auto"/>
          </w:tcPr>
          <w:p w:rsidR="00C67E97" w:rsidRPr="005D2BC3" w:rsidRDefault="00C67E97" w:rsidP="007235C9">
            <w:pPr>
              <w:pStyle w:val="Heading7"/>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jc w:val="right"/>
              <w:rPr>
                <w:rFonts w:cs="Calibri"/>
              </w:rPr>
            </w:pPr>
          </w:p>
        </w:tc>
        <w:tc>
          <w:tcPr>
            <w:tcW w:w="1430" w:type="dxa"/>
            <w:tcBorders>
              <w:top w:val="nil"/>
              <w:left w:val="nil"/>
              <w:bottom w:val="nil"/>
              <w:right w:val="nil"/>
            </w:tcBorders>
            <w:shd w:val="clear" w:color="auto" w:fill="auto"/>
          </w:tcPr>
          <w:p w:rsidR="00C67E97" w:rsidRPr="005D2BC3" w:rsidRDefault="00C67E97" w:rsidP="007235C9">
            <w:pPr>
              <w:pStyle w:val="Heading7"/>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jc w:val="right"/>
              <w:rPr>
                <w:rFonts w:cs="Calibri"/>
              </w:rPr>
            </w:pPr>
          </w:p>
        </w:tc>
        <w:tc>
          <w:tcPr>
            <w:tcW w:w="1430" w:type="dxa"/>
            <w:tcBorders>
              <w:top w:val="nil"/>
              <w:left w:val="nil"/>
              <w:bottom w:val="nil"/>
              <w:right w:val="nil"/>
            </w:tcBorders>
            <w:shd w:val="clear" w:color="auto" w:fill="auto"/>
          </w:tcPr>
          <w:p w:rsidR="00C67E97" w:rsidRPr="009C115F" w:rsidRDefault="00C67E97" w:rsidP="007235C9">
            <w:pPr>
              <w:pStyle w:val="Heading7"/>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jc w:val="right"/>
              <w:rPr>
                <w:rFonts w:cs="Calibri"/>
              </w:rPr>
            </w:pPr>
          </w:p>
        </w:tc>
      </w:tr>
      <w:tr w:rsidR="00C67E97" w:rsidRPr="005D2BC3" w:rsidTr="007E1E6D">
        <w:tc>
          <w:tcPr>
            <w:tcW w:w="5066" w:type="dxa"/>
            <w:tcBorders>
              <w:top w:val="nil"/>
              <w:left w:val="nil"/>
              <w:bottom w:val="nil"/>
              <w:right w:val="nil"/>
            </w:tcBorders>
          </w:tcPr>
          <w:p w:rsidR="00C67E97" w:rsidRPr="005D2BC3" w:rsidRDefault="00C67E97" w:rsidP="007235C9">
            <w:pPr>
              <w:pStyle w:val="AIBlurb0"/>
              <w:tabs>
                <w:tab w:val="left" w:pos="350"/>
                <w:tab w:val="left" w:pos="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 w:after="10"/>
              <w:ind w:left="350"/>
              <w:jc w:val="left"/>
              <w:rPr>
                <w:rFonts w:cs="Calibri"/>
              </w:rPr>
            </w:pPr>
            <w:r w:rsidRPr="005D2BC3">
              <w:rPr>
                <w:rFonts w:cs="Calibri"/>
              </w:rPr>
              <w:t>Guardianship clients:</w:t>
            </w:r>
          </w:p>
        </w:tc>
        <w:tc>
          <w:tcPr>
            <w:tcW w:w="1430"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p>
        </w:tc>
        <w:tc>
          <w:tcPr>
            <w:tcW w:w="1430" w:type="dxa"/>
            <w:tcBorders>
              <w:top w:val="nil"/>
              <w:left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p>
        </w:tc>
        <w:tc>
          <w:tcPr>
            <w:tcW w:w="1430" w:type="dxa"/>
            <w:tcBorders>
              <w:top w:val="nil"/>
              <w:left w:val="nil"/>
              <w:bottom w:val="nil"/>
              <w:right w:val="nil"/>
            </w:tcBorders>
            <w:shd w:val="clear" w:color="auto" w:fill="auto"/>
          </w:tcPr>
          <w:p w:rsidR="00C67E97" w:rsidRPr="009C115F"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p>
        </w:tc>
      </w:tr>
      <w:tr w:rsidR="00C67E97" w:rsidRPr="005D2BC3" w:rsidTr="007E1E6D">
        <w:tc>
          <w:tcPr>
            <w:tcW w:w="5066" w:type="dxa"/>
            <w:tcBorders>
              <w:top w:val="nil"/>
              <w:left w:val="nil"/>
              <w:bottom w:val="nil"/>
              <w:right w:val="nil"/>
            </w:tcBorders>
          </w:tcPr>
          <w:p w:rsidR="00C67E97" w:rsidRPr="005D2BC3" w:rsidRDefault="00C67E97" w:rsidP="00BD19D5">
            <w:pPr>
              <w:pStyle w:val="AIBlurb0"/>
              <w:numPr>
                <w:ilvl w:val="1"/>
                <w:numId w:val="6"/>
              </w:numPr>
              <w:tabs>
                <w:tab w:val="left" w:pos="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jc w:val="left"/>
              <w:rPr>
                <w:rFonts w:cs="Calibri"/>
              </w:rPr>
            </w:pPr>
            <w:r w:rsidRPr="005D2BC3">
              <w:rPr>
                <w:rFonts w:cs="Calibri"/>
              </w:rPr>
              <w:t>Total number</w:t>
            </w:r>
            <w:r>
              <w:rPr>
                <w:rFonts w:cs="Calibri"/>
                <w:vertAlign w:val="superscript"/>
              </w:rPr>
              <w:t>5</w:t>
            </w:r>
            <w:r w:rsidRPr="008C26B3">
              <w:rPr>
                <w:rFonts w:cs="Calibri"/>
                <w:vertAlign w:val="superscript"/>
              </w:rPr>
              <w:t>,</w:t>
            </w:r>
            <w:r w:rsidR="00BD19D5">
              <w:rPr>
                <w:rFonts w:cs="Calibri"/>
                <w:vertAlign w:val="superscript"/>
              </w:rPr>
              <w:t>8</w:t>
            </w:r>
          </w:p>
        </w:tc>
        <w:tc>
          <w:tcPr>
            <w:tcW w:w="1430"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5D2BC3">
              <w:rPr>
                <w:rFonts w:cs="Calibri"/>
                <w:szCs w:val="20"/>
              </w:rPr>
              <w:t>250</w:t>
            </w:r>
          </w:p>
        </w:tc>
        <w:tc>
          <w:tcPr>
            <w:tcW w:w="1430" w:type="dxa"/>
            <w:tcBorders>
              <w:top w:val="nil"/>
              <w:left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227</w:t>
            </w:r>
          </w:p>
        </w:tc>
        <w:tc>
          <w:tcPr>
            <w:tcW w:w="1430" w:type="dxa"/>
            <w:tcBorders>
              <w:top w:val="nil"/>
              <w:left w:val="nil"/>
              <w:bottom w:val="nil"/>
              <w:right w:val="nil"/>
            </w:tcBorders>
            <w:shd w:val="clear" w:color="auto" w:fill="auto"/>
          </w:tcPr>
          <w:p w:rsidR="00C67E97" w:rsidRPr="009C115F"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n/a</w:t>
            </w:r>
          </w:p>
        </w:tc>
      </w:tr>
      <w:tr w:rsidR="00C67E97" w:rsidRPr="005D2BC3" w:rsidTr="007E1E6D">
        <w:tc>
          <w:tcPr>
            <w:tcW w:w="5066" w:type="dxa"/>
            <w:tcBorders>
              <w:top w:val="nil"/>
              <w:left w:val="nil"/>
              <w:bottom w:val="nil"/>
              <w:right w:val="nil"/>
            </w:tcBorders>
          </w:tcPr>
          <w:p w:rsidR="00C67E97" w:rsidRPr="005D2BC3" w:rsidRDefault="00C67E97" w:rsidP="00BD19D5">
            <w:pPr>
              <w:pStyle w:val="AIBlurb0"/>
              <w:numPr>
                <w:ilvl w:val="1"/>
                <w:numId w:val="6"/>
              </w:numPr>
              <w:tabs>
                <w:tab w:val="left" w:pos="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jc w:val="left"/>
              <w:rPr>
                <w:rFonts w:cs="Calibri"/>
              </w:rPr>
            </w:pPr>
            <w:r>
              <w:rPr>
                <w:rFonts w:cs="Calibri"/>
              </w:rPr>
              <w:t>Percentage</w:t>
            </w:r>
            <w:r w:rsidRPr="005D2BC3">
              <w:rPr>
                <w:rFonts w:cs="Calibri"/>
              </w:rPr>
              <w:t xml:space="preserve"> requiring intensive decision making support</w:t>
            </w:r>
            <w:r>
              <w:rPr>
                <w:rFonts w:cs="Calibri"/>
                <w:vertAlign w:val="superscript"/>
              </w:rPr>
              <w:t>5</w:t>
            </w:r>
            <w:r w:rsidRPr="008C26B3">
              <w:rPr>
                <w:rFonts w:cs="Calibri"/>
                <w:vertAlign w:val="superscript"/>
              </w:rPr>
              <w:t>,</w:t>
            </w:r>
            <w:r w:rsidR="00BD19D5">
              <w:rPr>
                <w:rFonts w:cs="Calibri"/>
                <w:vertAlign w:val="superscript"/>
              </w:rPr>
              <w:t>8</w:t>
            </w:r>
          </w:p>
        </w:tc>
        <w:tc>
          <w:tcPr>
            <w:tcW w:w="1430" w:type="dxa"/>
            <w:tcBorders>
              <w:top w:val="nil"/>
              <w:left w:val="nil"/>
              <w:bottom w:val="nil"/>
              <w:right w:val="nil"/>
            </w:tcBorders>
            <w:shd w:val="clear" w:color="auto" w:fill="auto"/>
          </w:tcPr>
          <w:p w:rsidR="00C67E97" w:rsidRPr="005D2BC3" w:rsidRDefault="007A64D1"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32</w:t>
            </w:r>
            <w:r w:rsidR="00C67E97" w:rsidRPr="005D2BC3">
              <w:rPr>
                <w:rFonts w:cs="Calibri"/>
                <w:szCs w:val="20"/>
              </w:rPr>
              <w:t>%</w:t>
            </w:r>
          </w:p>
        </w:tc>
        <w:tc>
          <w:tcPr>
            <w:tcW w:w="1430"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29%</w:t>
            </w:r>
          </w:p>
        </w:tc>
        <w:tc>
          <w:tcPr>
            <w:tcW w:w="1430" w:type="dxa"/>
            <w:tcBorders>
              <w:top w:val="nil"/>
              <w:left w:val="nil"/>
              <w:bottom w:val="nil"/>
              <w:right w:val="nil"/>
            </w:tcBorders>
            <w:shd w:val="clear" w:color="auto" w:fill="auto"/>
          </w:tcPr>
          <w:p w:rsidR="00C67E97" w:rsidRPr="009C115F"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n/a</w:t>
            </w:r>
          </w:p>
        </w:tc>
      </w:tr>
      <w:tr w:rsidR="00C67E97" w:rsidRPr="005D2BC3" w:rsidTr="007E1E6D">
        <w:tc>
          <w:tcPr>
            <w:tcW w:w="5066" w:type="dxa"/>
            <w:tcBorders>
              <w:top w:val="nil"/>
              <w:left w:val="nil"/>
              <w:bottom w:val="nil"/>
              <w:right w:val="nil"/>
            </w:tcBorders>
          </w:tcPr>
          <w:p w:rsidR="00C67E97" w:rsidRPr="005D2BC3" w:rsidRDefault="00C67E97" w:rsidP="00985BA1">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ind w:left="284" w:firstLine="0"/>
              <w:rPr>
                <w:rFonts w:cs="Calibri"/>
                <w:b w:val="0"/>
                <w:i/>
              </w:rPr>
            </w:pPr>
            <w:r w:rsidRPr="005D2BC3">
              <w:rPr>
                <w:rFonts w:cs="Calibri"/>
                <w:b w:val="0"/>
                <w:i/>
              </w:rPr>
              <w:t>Public Guardianship</w:t>
            </w:r>
          </w:p>
        </w:tc>
        <w:tc>
          <w:tcPr>
            <w:tcW w:w="1430" w:type="dxa"/>
            <w:tcBorders>
              <w:top w:val="nil"/>
              <w:left w:val="nil"/>
              <w:bottom w:val="nil"/>
              <w:right w:val="nil"/>
            </w:tcBorders>
            <w:shd w:val="clear" w:color="auto" w:fill="auto"/>
          </w:tcPr>
          <w:p w:rsidR="00C67E97" w:rsidRPr="005D2BC3" w:rsidRDefault="00C67E97" w:rsidP="007235C9">
            <w:pPr>
              <w:pStyle w:val="Heading7"/>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jc w:val="right"/>
              <w:rPr>
                <w:rFonts w:cs="Calibri"/>
              </w:rPr>
            </w:pPr>
          </w:p>
        </w:tc>
        <w:tc>
          <w:tcPr>
            <w:tcW w:w="1430" w:type="dxa"/>
            <w:tcBorders>
              <w:top w:val="nil"/>
              <w:left w:val="nil"/>
              <w:bottom w:val="nil"/>
              <w:right w:val="nil"/>
            </w:tcBorders>
            <w:shd w:val="clear" w:color="auto" w:fill="auto"/>
          </w:tcPr>
          <w:p w:rsidR="00C67E97" w:rsidRPr="005D2BC3" w:rsidRDefault="00C67E97" w:rsidP="007235C9">
            <w:pPr>
              <w:pStyle w:val="Heading7"/>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jc w:val="right"/>
              <w:rPr>
                <w:rFonts w:cs="Calibri"/>
              </w:rPr>
            </w:pPr>
          </w:p>
        </w:tc>
        <w:tc>
          <w:tcPr>
            <w:tcW w:w="1430" w:type="dxa"/>
            <w:tcBorders>
              <w:top w:val="nil"/>
              <w:left w:val="nil"/>
              <w:bottom w:val="nil"/>
              <w:right w:val="nil"/>
            </w:tcBorders>
            <w:shd w:val="clear" w:color="auto" w:fill="auto"/>
          </w:tcPr>
          <w:p w:rsidR="00C67E97" w:rsidRPr="009C115F" w:rsidRDefault="00C67E97" w:rsidP="007235C9">
            <w:pPr>
              <w:pStyle w:val="Heading7"/>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jc w:val="right"/>
              <w:rPr>
                <w:rFonts w:cs="Calibri"/>
              </w:rPr>
            </w:pPr>
          </w:p>
        </w:tc>
      </w:tr>
      <w:tr w:rsidR="00C67E97" w:rsidRPr="005D2BC3" w:rsidTr="007E1E6D">
        <w:tc>
          <w:tcPr>
            <w:tcW w:w="5066" w:type="dxa"/>
            <w:tcBorders>
              <w:top w:val="nil"/>
              <w:left w:val="nil"/>
              <w:bottom w:val="nil"/>
              <w:right w:val="nil"/>
            </w:tcBorders>
          </w:tcPr>
          <w:p w:rsidR="00C67E97" w:rsidRPr="005D2BC3" w:rsidRDefault="00C67E97" w:rsidP="007235C9">
            <w:pPr>
              <w:pStyle w:val="AIBlurb0"/>
              <w:tabs>
                <w:tab w:val="left" w:pos="350"/>
                <w:tab w:val="left" w:pos="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 w:after="10"/>
              <w:ind w:left="350"/>
              <w:jc w:val="left"/>
              <w:rPr>
                <w:rFonts w:cs="Calibri"/>
              </w:rPr>
            </w:pPr>
            <w:r w:rsidRPr="005D2BC3">
              <w:rPr>
                <w:rFonts w:cs="Calibri"/>
              </w:rPr>
              <w:t>Guardianship clients:</w:t>
            </w:r>
          </w:p>
        </w:tc>
        <w:tc>
          <w:tcPr>
            <w:tcW w:w="1430"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p>
        </w:tc>
        <w:tc>
          <w:tcPr>
            <w:tcW w:w="1430" w:type="dxa"/>
            <w:tcBorders>
              <w:top w:val="nil"/>
              <w:left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p>
        </w:tc>
        <w:tc>
          <w:tcPr>
            <w:tcW w:w="1430" w:type="dxa"/>
            <w:tcBorders>
              <w:top w:val="nil"/>
              <w:left w:val="nil"/>
              <w:bottom w:val="nil"/>
              <w:right w:val="nil"/>
            </w:tcBorders>
            <w:shd w:val="clear" w:color="auto" w:fill="auto"/>
          </w:tcPr>
          <w:p w:rsidR="00C67E97" w:rsidRPr="009C115F"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p>
        </w:tc>
      </w:tr>
      <w:tr w:rsidR="00C67E97" w:rsidRPr="005D2BC3" w:rsidTr="007E1E6D">
        <w:tc>
          <w:tcPr>
            <w:tcW w:w="5066" w:type="dxa"/>
            <w:tcBorders>
              <w:top w:val="nil"/>
              <w:left w:val="nil"/>
              <w:bottom w:val="nil"/>
              <w:right w:val="nil"/>
            </w:tcBorders>
          </w:tcPr>
          <w:p w:rsidR="00C67E97" w:rsidRPr="005D2BC3" w:rsidRDefault="00C67E97" w:rsidP="00BD19D5">
            <w:pPr>
              <w:pStyle w:val="AIBlurb0"/>
              <w:numPr>
                <w:ilvl w:val="1"/>
                <w:numId w:val="6"/>
              </w:numPr>
              <w:tabs>
                <w:tab w:val="left" w:pos="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jc w:val="left"/>
              <w:rPr>
                <w:rFonts w:cs="Calibri"/>
              </w:rPr>
            </w:pPr>
            <w:r w:rsidRPr="005D2BC3">
              <w:rPr>
                <w:rFonts w:cs="Calibri"/>
              </w:rPr>
              <w:t>Total number</w:t>
            </w:r>
            <w:r>
              <w:rPr>
                <w:rFonts w:cs="Calibri"/>
              </w:rPr>
              <w:t xml:space="preserve"> of individuals for whom</w:t>
            </w:r>
            <w:r>
              <w:rPr>
                <w:rFonts w:cs="Calibri"/>
                <w:vertAlign w:val="superscript"/>
              </w:rPr>
              <w:t xml:space="preserve"> </w:t>
            </w:r>
            <w:r>
              <w:rPr>
                <w:rFonts w:cs="Calibri"/>
              </w:rPr>
              <w:t>Public Advocate provided guardianship</w:t>
            </w:r>
            <w:r w:rsidR="00BD19D5">
              <w:rPr>
                <w:rFonts w:cs="Calibri"/>
                <w:vertAlign w:val="superscript"/>
              </w:rPr>
              <w:t>9</w:t>
            </w:r>
          </w:p>
        </w:tc>
        <w:tc>
          <w:tcPr>
            <w:tcW w:w="1430"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n/a</w:t>
            </w:r>
          </w:p>
        </w:tc>
        <w:tc>
          <w:tcPr>
            <w:tcW w:w="1430" w:type="dxa"/>
            <w:tcBorders>
              <w:top w:val="nil"/>
              <w:left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n/a</w:t>
            </w:r>
          </w:p>
        </w:tc>
        <w:tc>
          <w:tcPr>
            <w:tcW w:w="1430" w:type="dxa"/>
            <w:tcBorders>
              <w:top w:val="nil"/>
              <w:left w:val="nil"/>
              <w:bottom w:val="nil"/>
              <w:right w:val="nil"/>
            </w:tcBorders>
            <w:shd w:val="clear" w:color="auto" w:fill="auto"/>
          </w:tcPr>
          <w:p w:rsidR="00C67E97" w:rsidRPr="009C115F"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230</w:t>
            </w:r>
          </w:p>
        </w:tc>
      </w:tr>
      <w:tr w:rsidR="00C67E97" w:rsidRPr="005D2BC3" w:rsidTr="007E1E6D">
        <w:tc>
          <w:tcPr>
            <w:tcW w:w="5066" w:type="dxa"/>
            <w:tcBorders>
              <w:top w:val="nil"/>
              <w:left w:val="nil"/>
              <w:bottom w:val="nil"/>
              <w:right w:val="nil"/>
            </w:tcBorders>
          </w:tcPr>
          <w:p w:rsidR="00C67E97" w:rsidRPr="005D2BC3" w:rsidRDefault="00C67E97" w:rsidP="00BD19D5">
            <w:pPr>
              <w:pStyle w:val="AIBlurb0"/>
              <w:numPr>
                <w:ilvl w:val="1"/>
                <w:numId w:val="6"/>
              </w:numPr>
              <w:tabs>
                <w:tab w:val="left" w:pos="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jc w:val="left"/>
              <w:rPr>
                <w:rFonts w:cs="Calibri"/>
              </w:rPr>
            </w:pPr>
            <w:r>
              <w:rPr>
                <w:rFonts w:cs="Calibri"/>
              </w:rPr>
              <w:t>Percentage</w:t>
            </w:r>
            <w:r w:rsidRPr="005D2BC3">
              <w:rPr>
                <w:rFonts w:cs="Calibri"/>
              </w:rPr>
              <w:t xml:space="preserve"> </w:t>
            </w:r>
            <w:r>
              <w:rPr>
                <w:rFonts w:cs="Calibri"/>
              </w:rPr>
              <w:t>of clients contacted within two weeks of appointment as Guardian of Last Resort</w:t>
            </w:r>
            <w:r w:rsidR="00BD19D5">
              <w:rPr>
                <w:rFonts w:cs="Calibri"/>
                <w:vertAlign w:val="superscript"/>
              </w:rPr>
              <w:t>9</w:t>
            </w:r>
          </w:p>
        </w:tc>
        <w:tc>
          <w:tcPr>
            <w:tcW w:w="1430"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n/a</w:t>
            </w:r>
          </w:p>
        </w:tc>
        <w:tc>
          <w:tcPr>
            <w:tcW w:w="1430"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n/a</w:t>
            </w:r>
          </w:p>
        </w:tc>
        <w:tc>
          <w:tcPr>
            <w:tcW w:w="1430" w:type="dxa"/>
            <w:tcBorders>
              <w:top w:val="nil"/>
              <w:left w:val="nil"/>
              <w:bottom w:val="nil"/>
              <w:right w:val="nil"/>
            </w:tcBorders>
            <w:shd w:val="clear" w:color="auto" w:fill="auto"/>
          </w:tcPr>
          <w:p w:rsidR="00C67E97" w:rsidRPr="009C115F"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95%</w:t>
            </w:r>
          </w:p>
        </w:tc>
      </w:tr>
      <w:tr w:rsidR="00C67E97" w:rsidRPr="005D2BC3" w:rsidTr="007E1E6D">
        <w:tc>
          <w:tcPr>
            <w:tcW w:w="5066" w:type="dxa"/>
            <w:tcBorders>
              <w:top w:val="nil"/>
              <w:left w:val="nil"/>
              <w:bottom w:val="nil"/>
              <w:right w:val="nil"/>
            </w:tcBorders>
          </w:tcPr>
          <w:p w:rsidR="00C67E97" w:rsidRPr="005D2BC3" w:rsidRDefault="00C67E97" w:rsidP="00985BA1">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ind w:left="284" w:firstLine="0"/>
              <w:rPr>
                <w:rFonts w:cs="Calibri"/>
                <w:b w:val="0"/>
                <w:i/>
              </w:rPr>
            </w:pPr>
            <w:r w:rsidRPr="005D2BC3">
              <w:rPr>
                <w:rFonts w:cs="Calibri"/>
                <w:b w:val="0"/>
                <w:i/>
              </w:rPr>
              <w:t>Public Advocacy</w:t>
            </w:r>
          </w:p>
        </w:tc>
        <w:tc>
          <w:tcPr>
            <w:tcW w:w="1430" w:type="dxa"/>
            <w:tcBorders>
              <w:top w:val="nil"/>
              <w:left w:val="nil"/>
              <w:bottom w:val="nil"/>
              <w:right w:val="nil"/>
            </w:tcBorders>
            <w:shd w:val="clear" w:color="auto" w:fill="auto"/>
          </w:tcPr>
          <w:p w:rsidR="00C67E97" w:rsidRPr="005D2BC3" w:rsidRDefault="00C67E97" w:rsidP="007235C9">
            <w:pPr>
              <w:pStyle w:val="Heading7"/>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jc w:val="right"/>
              <w:rPr>
                <w:rFonts w:cs="Calibri"/>
                <w:shd w:val="clear" w:color="auto" w:fill="FFFF00"/>
              </w:rPr>
            </w:pPr>
          </w:p>
        </w:tc>
        <w:tc>
          <w:tcPr>
            <w:tcW w:w="1430" w:type="dxa"/>
            <w:tcBorders>
              <w:top w:val="nil"/>
              <w:left w:val="nil"/>
              <w:bottom w:val="nil"/>
              <w:right w:val="nil"/>
            </w:tcBorders>
            <w:shd w:val="clear" w:color="auto" w:fill="auto"/>
          </w:tcPr>
          <w:p w:rsidR="00C67E97" w:rsidRPr="005D2BC3" w:rsidRDefault="00C67E97" w:rsidP="007235C9">
            <w:pPr>
              <w:pStyle w:val="Heading7"/>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jc w:val="right"/>
              <w:rPr>
                <w:rFonts w:cs="Calibri"/>
                <w:shd w:val="clear" w:color="auto" w:fill="FFFF00"/>
              </w:rPr>
            </w:pPr>
          </w:p>
        </w:tc>
        <w:tc>
          <w:tcPr>
            <w:tcW w:w="1430" w:type="dxa"/>
            <w:tcBorders>
              <w:top w:val="nil"/>
              <w:left w:val="nil"/>
              <w:bottom w:val="nil"/>
              <w:right w:val="nil"/>
            </w:tcBorders>
            <w:shd w:val="clear" w:color="auto" w:fill="auto"/>
          </w:tcPr>
          <w:p w:rsidR="00C67E97" w:rsidRPr="009C115F" w:rsidRDefault="00C67E97" w:rsidP="007235C9">
            <w:pPr>
              <w:pStyle w:val="Heading7"/>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jc w:val="right"/>
              <w:rPr>
                <w:rFonts w:cs="Calibri"/>
                <w:shd w:val="clear" w:color="auto" w:fill="FFFF00"/>
              </w:rPr>
            </w:pPr>
          </w:p>
        </w:tc>
      </w:tr>
      <w:tr w:rsidR="00C67E97" w:rsidRPr="005D2BC3" w:rsidTr="00A97F57">
        <w:tc>
          <w:tcPr>
            <w:tcW w:w="5066" w:type="dxa"/>
            <w:tcBorders>
              <w:top w:val="nil"/>
              <w:left w:val="nil"/>
              <w:right w:val="nil"/>
            </w:tcBorders>
          </w:tcPr>
          <w:p w:rsidR="00C67E97" w:rsidRPr="005D2BC3" w:rsidRDefault="00C67E97" w:rsidP="007235C9">
            <w:pPr>
              <w:pStyle w:val="AIBlurb0"/>
              <w:tabs>
                <w:tab w:val="left" w:pos="350"/>
                <w:tab w:val="left" w:pos="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 w:after="10"/>
              <w:ind w:left="350"/>
              <w:jc w:val="left"/>
              <w:rPr>
                <w:rFonts w:cs="Calibri"/>
              </w:rPr>
            </w:pPr>
            <w:r w:rsidRPr="005D2BC3">
              <w:rPr>
                <w:rFonts w:cs="Calibri"/>
              </w:rPr>
              <w:t>Individuals, excluding guardianship clients, brought to the attention of the Public Advocate:</w:t>
            </w:r>
          </w:p>
        </w:tc>
        <w:tc>
          <w:tcPr>
            <w:tcW w:w="1430" w:type="dxa"/>
            <w:tcBorders>
              <w:top w:val="nil"/>
              <w:left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p>
        </w:tc>
        <w:tc>
          <w:tcPr>
            <w:tcW w:w="1430" w:type="dxa"/>
            <w:tcBorders>
              <w:top w:val="nil"/>
              <w:left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p>
        </w:tc>
        <w:tc>
          <w:tcPr>
            <w:tcW w:w="1430" w:type="dxa"/>
            <w:tcBorders>
              <w:top w:val="nil"/>
              <w:left w:val="nil"/>
              <w:right w:val="nil"/>
            </w:tcBorders>
            <w:shd w:val="clear" w:color="auto" w:fill="auto"/>
          </w:tcPr>
          <w:p w:rsidR="00C67E97" w:rsidRPr="009C115F"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p>
        </w:tc>
      </w:tr>
      <w:tr w:rsidR="00C67E97" w:rsidRPr="005D2BC3" w:rsidTr="00A97F57">
        <w:tc>
          <w:tcPr>
            <w:tcW w:w="5066" w:type="dxa"/>
            <w:tcBorders>
              <w:top w:val="nil"/>
              <w:left w:val="nil"/>
              <w:bottom w:val="single" w:sz="4" w:space="0" w:color="auto"/>
              <w:right w:val="nil"/>
            </w:tcBorders>
          </w:tcPr>
          <w:p w:rsidR="00C67E97" w:rsidRPr="005D2BC3" w:rsidRDefault="00C67E97" w:rsidP="00744B7B">
            <w:pPr>
              <w:pStyle w:val="AIBlurb0"/>
              <w:numPr>
                <w:ilvl w:val="1"/>
                <w:numId w:val="6"/>
              </w:numPr>
              <w:tabs>
                <w:tab w:val="left" w:pos="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jc w:val="left"/>
              <w:rPr>
                <w:rFonts w:cs="Calibri"/>
              </w:rPr>
            </w:pPr>
            <w:r w:rsidRPr="005D2BC3">
              <w:rPr>
                <w:rFonts w:cs="Calibri"/>
              </w:rPr>
              <w:t>Total number</w:t>
            </w:r>
            <w:r w:rsidR="00BD19D5">
              <w:rPr>
                <w:rFonts w:cs="Calibri"/>
                <w:vertAlign w:val="superscript"/>
              </w:rPr>
              <w:t>5,10</w:t>
            </w:r>
          </w:p>
        </w:tc>
        <w:tc>
          <w:tcPr>
            <w:tcW w:w="1430" w:type="dxa"/>
            <w:tcBorders>
              <w:top w:val="nil"/>
              <w:left w:val="nil"/>
              <w:bottom w:val="single" w:sz="4" w:space="0" w:color="auto"/>
              <w:right w:val="nil"/>
            </w:tcBorders>
            <w:shd w:val="clear" w:color="auto" w:fill="auto"/>
          </w:tcPr>
          <w:p w:rsidR="00C67E97" w:rsidRPr="005D2BC3" w:rsidRDefault="00061580"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2</w:t>
            </w:r>
            <w:r w:rsidR="00BD19D5">
              <w:rPr>
                <w:rFonts w:cs="Calibri"/>
                <w:szCs w:val="20"/>
              </w:rPr>
              <w:t>,</w:t>
            </w:r>
            <w:r>
              <w:rPr>
                <w:rFonts w:cs="Calibri"/>
                <w:szCs w:val="20"/>
              </w:rPr>
              <w:t>020</w:t>
            </w:r>
          </w:p>
        </w:tc>
        <w:tc>
          <w:tcPr>
            <w:tcW w:w="1430" w:type="dxa"/>
            <w:tcBorders>
              <w:top w:val="nil"/>
              <w:left w:val="nil"/>
              <w:bottom w:val="single" w:sz="4" w:space="0" w:color="auto"/>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1,950</w:t>
            </w:r>
          </w:p>
        </w:tc>
        <w:tc>
          <w:tcPr>
            <w:tcW w:w="1430" w:type="dxa"/>
            <w:tcBorders>
              <w:top w:val="nil"/>
              <w:left w:val="nil"/>
              <w:bottom w:val="single" w:sz="4" w:space="0" w:color="auto"/>
              <w:right w:val="nil"/>
            </w:tcBorders>
            <w:shd w:val="clear" w:color="auto" w:fill="auto"/>
          </w:tcPr>
          <w:p w:rsidR="00C67E97" w:rsidRPr="009C115F"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n/a</w:t>
            </w:r>
          </w:p>
        </w:tc>
      </w:tr>
    </w:tbl>
    <w:p w:rsidR="00596972" w:rsidRPr="00D325FA" w:rsidRDefault="00596972" w:rsidP="00596972">
      <w:pPr>
        <w:pStyle w:val="Heading3"/>
        <w:spacing w:before="0"/>
      </w:pPr>
      <w:proofErr w:type="gramStart"/>
      <w:r w:rsidRPr="00D325FA">
        <w:lastRenderedPageBreak/>
        <w:t>Accountability Indicators</w:t>
      </w:r>
      <w:r>
        <w:t xml:space="preserve"> cont.</w:t>
      </w:r>
      <w:proofErr w:type="gramEnd"/>
    </w:p>
    <w:tbl>
      <w:tblPr>
        <w:tblW w:w="9356" w:type="dxa"/>
        <w:tblLayout w:type="fixed"/>
        <w:tblLook w:val="0000"/>
      </w:tblPr>
      <w:tblGrid>
        <w:gridCol w:w="5066"/>
        <w:gridCol w:w="1430"/>
        <w:gridCol w:w="1430"/>
        <w:gridCol w:w="1430"/>
      </w:tblGrid>
      <w:tr w:rsidR="00A97F57" w:rsidRPr="005D2BC3" w:rsidTr="00033351">
        <w:tc>
          <w:tcPr>
            <w:tcW w:w="5066" w:type="dxa"/>
            <w:tcBorders>
              <w:top w:val="single" w:sz="4" w:space="0" w:color="auto"/>
              <w:left w:val="nil"/>
              <w:bottom w:val="single" w:sz="4" w:space="0" w:color="auto"/>
              <w:right w:val="nil"/>
            </w:tcBorders>
          </w:tcPr>
          <w:p w:rsidR="00A97F57" w:rsidRPr="005D2BC3" w:rsidRDefault="00A97F57" w:rsidP="00033351">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p>
        </w:tc>
        <w:tc>
          <w:tcPr>
            <w:tcW w:w="1430" w:type="dxa"/>
            <w:tcBorders>
              <w:top w:val="single" w:sz="4" w:space="0" w:color="auto"/>
              <w:left w:val="nil"/>
              <w:bottom w:val="single" w:sz="4" w:space="0" w:color="auto"/>
              <w:right w:val="nil"/>
            </w:tcBorders>
          </w:tcPr>
          <w:p w:rsidR="00A97F57" w:rsidRPr="005D2BC3" w:rsidRDefault="00A97F57" w:rsidP="00033351">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r>
              <w:rPr>
                <w:rFonts w:cs="Calibri"/>
              </w:rPr>
              <w:t>2012-13</w:t>
            </w:r>
            <w:r w:rsidRPr="005D2BC3">
              <w:rPr>
                <w:rFonts w:cs="Calibri"/>
              </w:rPr>
              <w:br/>
              <w:t>Targets</w:t>
            </w:r>
          </w:p>
        </w:tc>
        <w:tc>
          <w:tcPr>
            <w:tcW w:w="1430" w:type="dxa"/>
            <w:tcBorders>
              <w:top w:val="single" w:sz="4" w:space="0" w:color="auto"/>
              <w:left w:val="nil"/>
              <w:bottom w:val="single" w:sz="4" w:space="0" w:color="auto"/>
              <w:right w:val="nil"/>
            </w:tcBorders>
          </w:tcPr>
          <w:p w:rsidR="00A97F57" w:rsidRPr="005D2BC3" w:rsidRDefault="00A97F57" w:rsidP="00033351">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r>
              <w:rPr>
                <w:rFonts w:cs="Calibri"/>
              </w:rPr>
              <w:t>2012-13</w:t>
            </w:r>
            <w:r w:rsidRPr="005D2BC3">
              <w:rPr>
                <w:rFonts w:cs="Calibri"/>
              </w:rPr>
              <w:br/>
              <w:t>Est. Outcome</w:t>
            </w:r>
          </w:p>
        </w:tc>
        <w:tc>
          <w:tcPr>
            <w:tcW w:w="1430" w:type="dxa"/>
            <w:tcBorders>
              <w:top w:val="single" w:sz="4" w:space="0" w:color="auto"/>
              <w:left w:val="nil"/>
              <w:bottom w:val="single" w:sz="4" w:space="0" w:color="auto"/>
              <w:right w:val="nil"/>
            </w:tcBorders>
          </w:tcPr>
          <w:p w:rsidR="00A97F57" w:rsidRPr="005D2BC3" w:rsidRDefault="00A97F57" w:rsidP="00033351">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r>
              <w:rPr>
                <w:rFonts w:cs="Calibri"/>
              </w:rPr>
              <w:t>2013-14</w:t>
            </w:r>
            <w:r w:rsidRPr="005D2BC3">
              <w:rPr>
                <w:rFonts w:cs="Calibri"/>
              </w:rPr>
              <w:br/>
              <w:t>Targets</w:t>
            </w:r>
          </w:p>
        </w:tc>
      </w:tr>
      <w:tr w:rsidR="00A97F57" w:rsidRPr="005D2BC3" w:rsidTr="00033351">
        <w:tc>
          <w:tcPr>
            <w:tcW w:w="5066" w:type="dxa"/>
            <w:tcBorders>
              <w:top w:val="single" w:sz="4" w:space="0" w:color="auto"/>
              <w:left w:val="nil"/>
              <w:bottom w:val="single" w:sz="4" w:space="0" w:color="auto"/>
              <w:right w:val="nil"/>
            </w:tcBorders>
          </w:tcPr>
          <w:p w:rsidR="00A97F57" w:rsidRPr="005D2BC3" w:rsidRDefault="00A97F57" w:rsidP="00033351">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r w:rsidRPr="005D2BC3">
              <w:rPr>
                <w:rFonts w:cs="Calibri"/>
              </w:rPr>
              <w:t>Output 1.5:  Protection of Rights</w:t>
            </w:r>
            <w:r>
              <w:rPr>
                <w:rFonts w:cs="Calibri"/>
              </w:rPr>
              <w:t xml:space="preserve"> cont.</w:t>
            </w:r>
          </w:p>
        </w:tc>
        <w:tc>
          <w:tcPr>
            <w:tcW w:w="1430" w:type="dxa"/>
            <w:tcBorders>
              <w:top w:val="single" w:sz="4" w:space="0" w:color="auto"/>
              <w:left w:val="nil"/>
              <w:bottom w:val="single" w:sz="4" w:space="0" w:color="auto"/>
              <w:right w:val="nil"/>
            </w:tcBorders>
          </w:tcPr>
          <w:p w:rsidR="00A97F57" w:rsidRPr="005D2BC3" w:rsidRDefault="00A97F57" w:rsidP="00033351">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highlight w:val="yellow"/>
                <w:shd w:val="clear" w:color="auto" w:fill="FFFF00"/>
              </w:rPr>
            </w:pPr>
          </w:p>
        </w:tc>
        <w:tc>
          <w:tcPr>
            <w:tcW w:w="1430" w:type="dxa"/>
            <w:tcBorders>
              <w:top w:val="single" w:sz="4" w:space="0" w:color="auto"/>
              <w:left w:val="nil"/>
              <w:bottom w:val="single" w:sz="4" w:space="0" w:color="auto"/>
              <w:right w:val="nil"/>
            </w:tcBorders>
          </w:tcPr>
          <w:p w:rsidR="00A97F57" w:rsidRPr="005D2BC3" w:rsidRDefault="00A97F57" w:rsidP="00033351">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highlight w:val="yellow"/>
              </w:rPr>
            </w:pPr>
          </w:p>
        </w:tc>
        <w:tc>
          <w:tcPr>
            <w:tcW w:w="1430" w:type="dxa"/>
            <w:tcBorders>
              <w:top w:val="single" w:sz="4" w:space="0" w:color="auto"/>
              <w:left w:val="nil"/>
              <w:bottom w:val="single" w:sz="4" w:space="0" w:color="auto"/>
              <w:right w:val="nil"/>
            </w:tcBorders>
          </w:tcPr>
          <w:p w:rsidR="00A97F57" w:rsidRPr="005D2BC3" w:rsidRDefault="00A97F57" w:rsidP="00033351">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highlight w:val="yellow"/>
                <w:shd w:val="clear" w:color="auto" w:fill="FFFF00"/>
              </w:rPr>
            </w:pPr>
          </w:p>
        </w:tc>
      </w:tr>
      <w:tr w:rsidR="00C67E97" w:rsidRPr="005D2BC3" w:rsidTr="007E1E6D">
        <w:tc>
          <w:tcPr>
            <w:tcW w:w="5066" w:type="dxa"/>
            <w:tcBorders>
              <w:top w:val="nil"/>
              <w:left w:val="nil"/>
              <w:bottom w:val="nil"/>
              <w:right w:val="nil"/>
            </w:tcBorders>
          </w:tcPr>
          <w:p w:rsidR="00C67E97" w:rsidRPr="005D2BC3" w:rsidRDefault="00C67E97" w:rsidP="00153511">
            <w:pPr>
              <w:pStyle w:val="AIBlurb0"/>
              <w:numPr>
                <w:ilvl w:val="1"/>
                <w:numId w:val="6"/>
              </w:numPr>
              <w:tabs>
                <w:tab w:val="left" w:pos="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jc w:val="left"/>
              <w:rPr>
                <w:rFonts w:cs="Calibri"/>
              </w:rPr>
            </w:pPr>
            <w:r>
              <w:rPr>
                <w:rFonts w:cs="Calibri"/>
              </w:rPr>
              <w:t>Percentage for whom individual or systemic advocacy was provided</w:t>
            </w:r>
            <w:r w:rsidR="00BD19D5">
              <w:rPr>
                <w:rFonts w:cs="Calibri"/>
                <w:vertAlign w:val="superscript"/>
              </w:rPr>
              <w:t>5,10</w:t>
            </w:r>
          </w:p>
        </w:tc>
        <w:tc>
          <w:tcPr>
            <w:tcW w:w="1430" w:type="dxa"/>
            <w:tcBorders>
              <w:top w:val="nil"/>
              <w:left w:val="nil"/>
              <w:bottom w:val="nil"/>
              <w:right w:val="nil"/>
            </w:tcBorders>
            <w:shd w:val="clear" w:color="auto" w:fill="auto"/>
          </w:tcPr>
          <w:p w:rsidR="00C67E97" w:rsidRPr="005D2BC3" w:rsidRDefault="00E424C1"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30</w:t>
            </w:r>
            <w:r w:rsidR="00C67E97">
              <w:rPr>
                <w:rFonts w:cs="Calibri"/>
                <w:szCs w:val="20"/>
              </w:rPr>
              <w:t>%</w:t>
            </w:r>
          </w:p>
        </w:tc>
        <w:tc>
          <w:tcPr>
            <w:tcW w:w="1430"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25%</w:t>
            </w:r>
          </w:p>
        </w:tc>
        <w:tc>
          <w:tcPr>
            <w:tcW w:w="1430" w:type="dxa"/>
            <w:tcBorders>
              <w:top w:val="nil"/>
              <w:left w:val="nil"/>
              <w:bottom w:val="nil"/>
              <w:right w:val="nil"/>
            </w:tcBorders>
            <w:shd w:val="clear" w:color="auto" w:fill="auto"/>
          </w:tcPr>
          <w:p w:rsidR="00C67E97" w:rsidRPr="009C115F"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n/a</w:t>
            </w:r>
          </w:p>
        </w:tc>
      </w:tr>
      <w:tr w:rsidR="00C67E97" w:rsidRPr="005D2BC3" w:rsidTr="007E1E6D">
        <w:tc>
          <w:tcPr>
            <w:tcW w:w="5066" w:type="dxa"/>
            <w:tcBorders>
              <w:top w:val="nil"/>
              <w:left w:val="nil"/>
              <w:bottom w:val="nil"/>
              <w:right w:val="nil"/>
            </w:tcBorders>
          </w:tcPr>
          <w:p w:rsidR="00C67E97" w:rsidRPr="005D2BC3" w:rsidRDefault="00C67E97" w:rsidP="00985BA1">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ind w:left="284" w:hanging="17"/>
              <w:rPr>
                <w:rFonts w:cs="Calibri"/>
                <w:b w:val="0"/>
                <w:i/>
              </w:rPr>
            </w:pPr>
            <w:r w:rsidRPr="005D2BC3">
              <w:rPr>
                <w:rFonts w:cs="Calibri"/>
                <w:b w:val="0"/>
                <w:i/>
              </w:rPr>
              <w:t>Public Advocacy</w:t>
            </w:r>
          </w:p>
        </w:tc>
        <w:tc>
          <w:tcPr>
            <w:tcW w:w="1430" w:type="dxa"/>
            <w:tcBorders>
              <w:top w:val="nil"/>
              <w:left w:val="nil"/>
              <w:bottom w:val="nil"/>
              <w:right w:val="nil"/>
            </w:tcBorders>
            <w:shd w:val="clear" w:color="auto" w:fill="auto"/>
          </w:tcPr>
          <w:p w:rsidR="00C67E97" w:rsidRPr="005D2BC3" w:rsidRDefault="00C67E97" w:rsidP="007235C9">
            <w:pPr>
              <w:pStyle w:val="Heading7"/>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jc w:val="right"/>
              <w:rPr>
                <w:rFonts w:cs="Calibri"/>
                <w:shd w:val="clear" w:color="auto" w:fill="FFFF00"/>
              </w:rPr>
            </w:pPr>
          </w:p>
        </w:tc>
        <w:tc>
          <w:tcPr>
            <w:tcW w:w="1430" w:type="dxa"/>
            <w:tcBorders>
              <w:top w:val="nil"/>
              <w:left w:val="nil"/>
              <w:bottom w:val="nil"/>
              <w:right w:val="nil"/>
            </w:tcBorders>
            <w:shd w:val="clear" w:color="auto" w:fill="auto"/>
          </w:tcPr>
          <w:p w:rsidR="00C67E97" w:rsidRPr="005D2BC3" w:rsidRDefault="00C67E97" w:rsidP="007235C9">
            <w:pPr>
              <w:pStyle w:val="Heading7"/>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jc w:val="right"/>
              <w:rPr>
                <w:rFonts w:cs="Calibri"/>
                <w:shd w:val="clear" w:color="auto" w:fill="FFFF00"/>
              </w:rPr>
            </w:pPr>
          </w:p>
        </w:tc>
        <w:tc>
          <w:tcPr>
            <w:tcW w:w="1430" w:type="dxa"/>
            <w:tcBorders>
              <w:top w:val="nil"/>
              <w:left w:val="nil"/>
              <w:bottom w:val="nil"/>
              <w:right w:val="nil"/>
            </w:tcBorders>
            <w:shd w:val="clear" w:color="auto" w:fill="auto"/>
          </w:tcPr>
          <w:p w:rsidR="00C67E97" w:rsidRPr="009C115F" w:rsidRDefault="00C67E97" w:rsidP="007235C9">
            <w:pPr>
              <w:pStyle w:val="Heading7"/>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jc w:val="right"/>
              <w:rPr>
                <w:rFonts w:cs="Calibri"/>
                <w:shd w:val="clear" w:color="auto" w:fill="FFFF00"/>
              </w:rPr>
            </w:pPr>
          </w:p>
        </w:tc>
      </w:tr>
      <w:tr w:rsidR="00C67E97" w:rsidRPr="005D2BC3" w:rsidTr="007E1E6D">
        <w:tc>
          <w:tcPr>
            <w:tcW w:w="5066" w:type="dxa"/>
            <w:tcBorders>
              <w:top w:val="nil"/>
              <w:left w:val="nil"/>
              <w:bottom w:val="nil"/>
              <w:right w:val="nil"/>
            </w:tcBorders>
          </w:tcPr>
          <w:p w:rsidR="00C67E97" w:rsidRPr="005D2BC3" w:rsidRDefault="00C67E97" w:rsidP="007235C9">
            <w:pPr>
              <w:pStyle w:val="AIBlurb0"/>
              <w:tabs>
                <w:tab w:val="left" w:pos="350"/>
                <w:tab w:val="left" w:pos="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 w:after="10"/>
              <w:ind w:left="350"/>
              <w:jc w:val="left"/>
              <w:rPr>
                <w:rFonts w:cs="Calibri"/>
              </w:rPr>
            </w:pPr>
            <w:r w:rsidRPr="005D2BC3">
              <w:rPr>
                <w:rFonts w:cs="Calibri"/>
              </w:rPr>
              <w:t>Individuals, excluding guardianship clients, brought to the attention of the Public Advocate:</w:t>
            </w:r>
          </w:p>
        </w:tc>
        <w:tc>
          <w:tcPr>
            <w:tcW w:w="1430"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p>
        </w:tc>
        <w:tc>
          <w:tcPr>
            <w:tcW w:w="1430" w:type="dxa"/>
            <w:tcBorders>
              <w:top w:val="nil"/>
              <w:left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p>
        </w:tc>
        <w:tc>
          <w:tcPr>
            <w:tcW w:w="1430" w:type="dxa"/>
            <w:tcBorders>
              <w:top w:val="nil"/>
              <w:left w:val="nil"/>
              <w:bottom w:val="nil"/>
              <w:right w:val="nil"/>
            </w:tcBorders>
            <w:shd w:val="clear" w:color="auto" w:fill="auto"/>
          </w:tcPr>
          <w:p w:rsidR="00C67E97" w:rsidRPr="009C115F"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p>
        </w:tc>
      </w:tr>
      <w:tr w:rsidR="00C67E97" w:rsidRPr="005D2BC3" w:rsidTr="007E1E6D">
        <w:tc>
          <w:tcPr>
            <w:tcW w:w="5066" w:type="dxa"/>
            <w:tcBorders>
              <w:top w:val="nil"/>
              <w:left w:val="nil"/>
              <w:bottom w:val="nil"/>
              <w:right w:val="nil"/>
            </w:tcBorders>
          </w:tcPr>
          <w:p w:rsidR="00C67E97" w:rsidRPr="005D2BC3" w:rsidRDefault="00C67E97" w:rsidP="001A4D78">
            <w:pPr>
              <w:pStyle w:val="AIBlurb0"/>
              <w:numPr>
                <w:ilvl w:val="1"/>
                <w:numId w:val="6"/>
              </w:numPr>
              <w:tabs>
                <w:tab w:val="left" w:pos="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jc w:val="left"/>
              <w:rPr>
                <w:rFonts w:cs="Calibri"/>
              </w:rPr>
            </w:pPr>
            <w:r w:rsidRPr="005D2BC3">
              <w:rPr>
                <w:rFonts w:cs="Calibri"/>
              </w:rPr>
              <w:t>Total number</w:t>
            </w:r>
            <w:r>
              <w:rPr>
                <w:rFonts w:cs="Calibri"/>
              </w:rPr>
              <w:t xml:space="preserve"> of individuals provided with direct advocacy</w:t>
            </w:r>
            <w:r w:rsidR="00BD19D5">
              <w:rPr>
                <w:rFonts w:cs="Calibri"/>
                <w:vertAlign w:val="superscript"/>
              </w:rPr>
              <w:t>9</w:t>
            </w:r>
          </w:p>
        </w:tc>
        <w:tc>
          <w:tcPr>
            <w:tcW w:w="1430"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n/a</w:t>
            </w:r>
          </w:p>
        </w:tc>
        <w:tc>
          <w:tcPr>
            <w:tcW w:w="1430" w:type="dxa"/>
            <w:tcBorders>
              <w:top w:val="nil"/>
              <w:left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n/a</w:t>
            </w:r>
          </w:p>
        </w:tc>
        <w:tc>
          <w:tcPr>
            <w:tcW w:w="1430" w:type="dxa"/>
            <w:tcBorders>
              <w:top w:val="nil"/>
              <w:left w:val="nil"/>
              <w:bottom w:val="nil"/>
              <w:right w:val="nil"/>
            </w:tcBorders>
            <w:shd w:val="clear" w:color="auto" w:fill="auto"/>
          </w:tcPr>
          <w:p w:rsidR="00C67E97" w:rsidRPr="009C115F"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9C115F">
              <w:rPr>
                <w:rFonts w:cs="Calibri"/>
                <w:szCs w:val="20"/>
              </w:rPr>
              <w:t>500</w:t>
            </w:r>
          </w:p>
        </w:tc>
      </w:tr>
      <w:tr w:rsidR="00C67E97" w:rsidRPr="005D2BC3" w:rsidTr="00297DA4">
        <w:tc>
          <w:tcPr>
            <w:tcW w:w="5066" w:type="dxa"/>
            <w:tcBorders>
              <w:top w:val="nil"/>
              <w:left w:val="nil"/>
              <w:right w:val="nil"/>
            </w:tcBorders>
          </w:tcPr>
          <w:p w:rsidR="00C67E97" w:rsidRPr="005D2BC3" w:rsidRDefault="001A4D78" w:rsidP="00180889">
            <w:pPr>
              <w:pStyle w:val="AIBlurb0"/>
              <w:numPr>
                <w:ilvl w:val="1"/>
                <w:numId w:val="6"/>
              </w:numPr>
              <w:tabs>
                <w:tab w:val="left" w:pos="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ind w:left="709" w:hanging="357"/>
              <w:jc w:val="left"/>
              <w:rPr>
                <w:rFonts w:cs="Calibri"/>
              </w:rPr>
            </w:pPr>
            <w:r>
              <w:rPr>
                <w:rFonts w:cs="Calibri"/>
              </w:rPr>
              <w:t>Percentage of clients referred to the Public Advocate for whom a review of the documentation was undertaken</w:t>
            </w:r>
            <w:r w:rsidR="00BD19D5">
              <w:rPr>
                <w:rFonts w:cs="Calibri"/>
                <w:vertAlign w:val="superscript"/>
              </w:rPr>
              <w:t>9</w:t>
            </w:r>
          </w:p>
        </w:tc>
        <w:tc>
          <w:tcPr>
            <w:tcW w:w="1430" w:type="dxa"/>
            <w:tcBorders>
              <w:top w:val="nil"/>
              <w:left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n/a</w:t>
            </w:r>
          </w:p>
        </w:tc>
        <w:tc>
          <w:tcPr>
            <w:tcW w:w="1430" w:type="dxa"/>
            <w:tcBorders>
              <w:top w:val="nil"/>
              <w:left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n/a</w:t>
            </w:r>
          </w:p>
        </w:tc>
        <w:tc>
          <w:tcPr>
            <w:tcW w:w="1430" w:type="dxa"/>
            <w:tcBorders>
              <w:top w:val="nil"/>
              <w:left w:val="nil"/>
              <w:right w:val="nil"/>
            </w:tcBorders>
            <w:shd w:val="clear" w:color="auto" w:fill="auto"/>
          </w:tcPr>
          <w:p w:rsidR="00C67E97" w:rsidRPr="009C115F"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9C115F">
              <w:rPr>
                <w:rFonts w:cs="Calibri"/>
                <w:szCs w:val="20"/>
              </w:rPr>
              <w:t>60%</w:t>
            </w:r>
          </w:p>
        </w:tc>
      </w:tr>
      <w:tr w:rsidR="00C67E97" w:rsidRPr="005D2BC3" w:rsidTr="00297DA4">
        <w:tc>
          <w:tcPr>
            <w:tcW w:w="5066" w:type="dxa"/>
            <w:tcBorders>
              <w:top w:val="nil"/>
              <w:left w:val="nil"/>
              <w:bottom w:val="single" w:sz="4" w:space="0" w:color="auto"/>
              <w:right w:val="nil"/>
            </w:tcBorders>
          </w:tcPr>
          <w:p w:rsidR="00C67E97" w:rsidRPr="005D2BC3" w:rsidRDefault="00C67E97" w:rsidP="005E1840">
            <w:pPr>
              <w:pStyle w:val="Tabletextindenta"/>
            </w:pPr>
            <w:r w:rsidRPr="005D2BC3">
              <w:t xml:space="preserve">Percentage of referrals to Victim Support ACT or the Victims of Crime Commissioner that will be </w:t>
            </w:r>
            <w:proofErr w:type="spellStart"/>
            <w:r w:rsidRPr="005D2BC3">
              <w:t>actioned</w:t>
            </w:r>
            <w:proofErr w:type="spellEnd"/>
            <w:r w:rsidRPr="005D2BC3">
              <w:t xml:space="preserve"> within five working </w:t>
            </w:r>
            <w:r w:rsidR="001A4D78" w:rsidRPr="005D2BC3">
              <w:t>days</w:t>
            </w:r>
            <w:r w:rsidR="001A4D78">
              <w:rPr>
                <w:vertAlign w:val="superscript"/>
              </w:rPr>
              <w:t>1</w:t>
            </w:r>
            <w:r w:rsidR="00BD19D5">
              <w:rPr>
                <w:vertAlign w:val="superscript"/>
              </w:rPr>
              <w:t>1</w:t>
            </w:r>
          </w:p>
        </w:tc>
        <w:tc>
          <w:tcPr>
            <w:tcW w:w="1430" w:type="dxa"/>
            <w:tcBorders>
              <w:top w:val="nil"/>
              <w:left w:val="nil"/>
              <w:bottom w:val="single" w:sz="4" w:space="0" w:color="auto"/>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5D2BC3">
              <w:rPr>
                <w:rFonts w:cs="Calibri"/>
                <w:szCs w:val="20"/>
              </w:rPr>
              <w:t>80%</w:t>
            </w:r>
          </w:p>
        </w:tc>
        <w:tc>
          <w:tcPr>
            <w:tcW w:w="1430" w:type="dxa"/>
            <w:tcBorders>
              <w:top w:val="nil"/>
              <w:left w:val="nil"/>
              <w:bottom w:val="single" w:sz="4" w:space="0" w:color="auto"/>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5D2BC3">
              <w:rPr>
                <w:rFonts w:cs="Calibri"/>
                <w:szCs w:val="20"/>
              </w:rPr>
              <w:t>9</w:t>
            </w:r>
            <w:r>
              <w:rPr>
                <w:rFonts w:cs="Calibri"/>
                <w:szCs w:val="20"/>
              </w:rPr>
              <w:t>5</w:t>
            </w:r>
            <w:r w:rsidRPr="005D2BC3">
              <w:rPr>
                <w:rFonts w:cs="Calibri"/>
                <w:szCs w:val="20"/>
              </w:rPr>
              <w:t>%</w:t>
            </w:r>
          </w:p>
        </w:tc>
        <w:tc>
          <w:tcPr>
            <w:tcW w:w="1430" w:type="dxa"/>
            <w:tcBorders>
              <w:top w:val="nil"/>
              <w:left w:val="nil"/>
              <w:bottom w:val="single" w:sz="4" w:space="0" w:color="auto"/>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9</w:t>
            </w:r>
            <w:r w:rsidRPr="005D2BC3">
              <w:rPr>
                <w:rFonts w:cs="Calibri"/>
                <w:szCs w:val="20"/>
              </w:rPr>
              <w:t>0%</w:t>
            </w:r>
          </w:p>
        </w:tc>
      </w:tr>
    </w:tbl>
    <w:p w:rsidR="00C67E97" w:rsidRPr="00D325FA" w:rsidRDefault="00C67E97" w:rsidP="00C67E97">
      <w:pPr>
        <w:pStyle w:val="NoteHeading0"/>
      </w:pPr>
      <w:r w:rsidRPr="00D325FA">
        <w:t>Notes:</w:t>
      </w:r>
    </w:p>
    <w:p w:rsidR="00C67E97" w:rsidRPr="00B61BC9" w:rsidRDefault="00C67E97" w:rsidP="00A2331E">
      <w:pPr>
        <w:pStyle w:val="AINotes"/>
        <w:numPr>
          <w:ilvl w:val="0"/>
          <w:numId w:val="36"/>
        </w:numPr>
      </w:pPr>
      <w:r w:rsidRPr="00B61BC9">
        <w:t>Revised wording to reflect that this measure is based on the percentage of survey respondents, not the percentage of clients.</w:t>
      </w:r>
    </w:p>
    <w:p w:rsidR="00C67E97" w:rsidRPr="007B611C" w:rsidRDefault="00C67E97" w:rsidP="00C67E97">
      <w:pPr>
        <w:pStyle w:val="AINotes"/>
      </w:pPr>
      <w:r w:rsidRPr="007B611C">
        <w:t xml:space="preserve">Revised wording to reflect that this measure is based on Commission </w:t>
      </w:r>
      <w:r w:rsidRPr="007B611C">
        <w:rPr>
          <w:i/>
        </w:rPr>
        <w:t>standards</w:t>
      </w:r>
      <w:r w:rsidRPr="007B611C">
        <w:t xml:space="preserve">, not Commission </w:t>
      </w:r>
      <w:r w:rsidRPr="007B611C">
        <w:rPr>
          <w:i/>
        </w:rPr>
        <w:t>standards and targets</w:t>
      </w:r>
      <w:r w:rsidRPr="007B611C">
        <w:t>.</w:t>
      </w:r>
      <w:r w:rsidR="00061580">
        <w:t xml:space="preserve">  </w:t>
      </w:r>
    </w:p>
    <w:p w:rsidR="00C67E97" w:rsidRPr="007B611C" w:rsidRDefault="00C67E97" w:rsidP="00C67E97">
      <w:pPr>
        <w:pStyle w:val="AINotes"/>
      </w:pPr>
      <w:r w:rsidRPr="007B611C">
        <w:t>Increased complaint numbers continue to impact on the capacity of the Commission to meet this performance indicator.</w:t>
      </w:r>
    </w:p>
    <w:p w:rsidR="00C67E97" w:rsidRPr="00153511" w:rsidRDefault="00C67E97" w:rsidP="00C67E97">
      <w:pPr>
        <w:pStyle w:val="AINotes"/>
      </w:pPr>
      <w:r w:rsidRPr="00153511">
        <w:t xml:space="preserve">New description to better reflect the performance indicator.  </w:t>
      </w:r>
    </w:p>
    <w:p w:rsidR="00C67E97" w:rsidRPr="00153511" w:rsidRDefault="00C67E97" w:rsidP="00C67E97">
      <w:pPr>
        <w:pStyle w:val="AINotes"/>
      </w:pPr>
      <w:r w:rsidRPr="00153511">
        <w:t xml:space="preserve">This performance indicator will be discontinued in 2013-2014. </w:t>
      </w:r>
    </w:p>
    <w:p w:rsidR="00BD19D5" w:rsidRPr="00153511" w:rsidRDefault="00BD19D5" w:rsidP="00BD19D5">
      <w:pPr>
        <w:pStyle w:val="AINotes"/>
      </w:pPr>
      <w:r w:rsidRPr="00153511">
        <w:t>Increased complaint numbers continue to impact negatively on the Commission's capacity to meet this indicator.</w:t>
      </w:r>
    </w:p>
    <w:p w:rsidR="00C67E97" w:rsidRDefault="00C67E97" w:rsidP="00C67E97">
      <w:pPr>
        <w:pStyle w:val="AINotes"/>
      </w:pPr>
      <w:r w:rsidRPr="007B611C">
        <w:t xml:space="preserve">Revised wording to reflect that this measure is based on the number of community </w:t>
      </w:r>
      <w:r w:rsidRPr="0089430F">
        <w:t>engagement activities</w:t>
      </w:r>
      <w:r w:rsidRPr="007B611C">
        <w:t xml:space="preserve"> undertaken by the Commission, not the </w:t>
      </w:r>
      <w:r w:rsidRPr="0089430F">
        <w:t>number of participants.</w:t>
      </w:r>
    </w:p>
    <w:p w:rsidR="00C67E97" w:rsidRDefault="00C67E97" w:rsidP="00C67E97">
      <w:pPr>
        <w:pStyle w:val="AINotes"/>
      </w:pPr>
      <w:r w:rsidRPr="00C61573">
        <w:t xml:space="preserve">The variance between the </w:t>
      </w:r>
      <w:r>
        <w:t>2012-13</w:t>
      </w:r>
      <w:r w:rsidRPr="00C61573">
        <w:t xml:space="preserve"> target and estimated outcome for guardianship clients is due to </w:t>
      </w:r>
      <w:r>
        <w:t>the inability to</w:t>
      </w:r>
      <w:r w:rsidRPr="00C61573">
        <w:t xml:space="preserve"> control </w:t>
      </w:r>
      <w:r>
        <w:t xml:space="preserve">the level of </w:t>
      </w:r>
      <w:r w:rsidRPr="00C61573">
        <w:t>intensity of client decision making involvement at any one time</w:t>
      </w:r>
      <w:r>
        <w:t xml:space="preserve">; this is highly dependent on the </w:t>
      </w:r>
      <w:r w:rsidRPr="00C61573">
        <w:t>nature of client</w:t>
      </w:r>
      <w:r>
        <w:t>s</w:t>
      </w:r>
      <w:r w:rsidRPr="00C61573">
        <w:t xml:space="preserve"> and their needs. </w:t>
      </w:r>
    </w:p>
    <w:p w:rsidR="00C67E97" w:rsidRDefault="00C67E97" w:rsidP="00C67E97">
      <w:pPr>
        <w:pStyle w:val="AINotes"/>
      </w:pPr>
      <w:r>
        <w:t>Revised performance indicator for 2013-14.</w:t>
      </w:r>
    </w:p>
    <w:p w:rsidR="0089430F" w:rsidRPr="007B611C" w:rsidRDefault="00961E0D" w:rsidP="0089430F">
      <w:pPr>
        <w:pStyle w:val="AINotes"/>
      </w:pPr>
      <w:r>
        <w:t>The v</w:t>
      </w:r>
      <w:r w:rsidR="00C67E97">
        <w:t xml:space="preserve">ariance in </w:t>
      </w:r>
      <w:r w:rsidR="002523AC">
        <w:t>the</w:t>
      </w:r>
      <w:r w:rsidR="00C67E97">
        <w:t xml:space="preserve"> total number and percentage for </w:t>
      </w:r>
      <w:proofErr w:type="gramStart"/>
      <w:r w:rsidR="00C67E97">
        <w:t>whom</w:t>
      </w:r>
      <w:proofErr w:type="gramEnd"/>
      <w:r w:rsidR="00C67E97">
        <w:t xml:space="preserve"> advocacy was provided is due to changed service</w:t>
      </w:r>
      <w:r w:rsidR="005E1840">
        <w:t>s</w:t>
      </w:r>
      <w:r w:rsidR="00C67E97">
        <w:t xml:space="preserve"> at the Alexander </w:t>
      </w:r>
      <w:proofErr w:type="spellStart"/>
      <w:r w:rsidR="00C67E97">
        <w:t>Maconochie</w:t>
      </w:r>
      <w:proofErr w:type="spellEnd"/>
      <w:r w:rsidR="00C67E97">
        <w:t xml:space="preserve"> Centre (AMC) and unexpected staffing restrictions impacting on percentage of advocacy provided. In addition, the Public</w:t>
      </w:r>
      <w:r>
        <w:t xml:space="preserve"> </w:t>
      </w:r>
      <w:r w:rsidR="00C67E97">
        <w:t xml:space="preserve">Advocate of the ACT is now only reporting on individual advocacy, not systemic. </w:t>
      </w:r>
      <w:r w:rsidR="005E1840">
        <w:t xml:space="preserve"> </w:t>
      </w:r>
      <w:r w:rsidR="00C67E97">
        <w:t xml:space="preserve">Previously this was a combined measure for both forms of advocacy. </w:t>
      </w:r>
      <w:r w:rsidR="0089430F">
        <w:t>2012-13 target amended by s19D instrument NI2013-37 Amendment of Performance Criteria.</w:t>
      </w:r>
    </w:p>
    <w:p w:rsidR="00C67E97" w:rsidRDefault="00C67E97" w:rsidP="00C258E6">
      <w:pPr>
        <w:pStyle w:val="AINotes"/>
        <w:spacing w:after="60"/>
      </w:pPr>
      <w:r w:rsidRPr="007B611C">
        <w:t>Victim Support ACT has implemented an Early Intervention Team (EIT).  This team has been purely set up to assist and respond to new referrals in high volume and do not carry a case management load.  The success of the EIT has resulted in a positive variance.</w:t>
      </w:r>
    </w:p>
    <w:p w:rsidR="001F07B8" w:rsidRDefault="001F07B8" w:rsidP="001F07B8">
      <w:pPr>
        <w:pStyle w:val="AINotes"/>
        <w:numPr>
          <w:ilvl w:val="0"/>
          <w:numId w:val="0"/>
        </w:numPr>
        <w:spacing w:after="60"/>
        <w:ind w:left="357"/>
      </w:pPr>
    </w:p>
    <w:tbl>
      <w:tblPr>
        <w:tblW w:w="9356" w:type="dxa"/>
        <w:jc w:val="center"/>
        <w:tblLayout w:type="fixed"/>
        <w:tblLook w:val="0000"/>
      </w:tblPr>
      <w:tblGrid>
        <w:gridCol w:w="5066"/>
        <w:gridCol w:w="1430"/>
        <w:gridCol w:w="1430"/>
        <w:gridCol w:w="1430"/>
      </w:tblGrid>
      <w:tr w:rsidR="00C67E97" w:rsidTr="00280C37">
        <w:trPr>
          <w:jc w:val="center"/>
        </w:trPr>
        <w:tc>
          <w:tcPr>
            <w:tcW w:w="5066" w:type="dxa"/>
            <w:tcBorders>
              <w:top w:val="single" w:sz="4" w:space="0" w:color="auto"/>
              <w:left w:val="nil"/>
              <w:bottom w:val="single" w:sz="4" w:space="0" w:color="auto"/>
              <w:right w:val="nil"/>
            </w:tcBorders>
          </w:tcPr>
          <w:p w:rsidR="00C67E97" w:rsidRDefault="00C67E97" w:rsidP="0072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30" w:type="dxa"/>
            <w:tcBorders>
              <w:top w:val="single" w:sz="4" w:space="0" w:color="auto"/>
              <w:left w:val="nil"/>
              <w:bottom w:val="single" w:sz="4" w:space="0" w:color="auto"/>
              <w:right w:val="nil"/>
            </w:tcBorders>
          </w:tcPr>
          <w:p w:rsidR="00C67E97"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2012-13</w:t>
            </w:r>
            <w:r>
              <w:br/>
              <w:t>Targets</w:t>
            </w:r>
          </w:p>
        </w:tc>
        <w:tc>
          <w:tcPr>
            <w:tcW w:w="1430" w:type="dxa"/>
            <w:tcBorders>
              <w:top w:val="single" w:sz="4" w:space="0" w:color="auto"/>
              <w:left w:val="nil"/>
              <w:bottom w:val="single" w:sz="4" w:space="0" w:color="auto"/>
              <w:right w:val="nil"/>
            </w:tcBorders>
          </w:tcPr>
          <w:p w:rsidR="00C67E97"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2012-13</w:t>
            </w:r>
            <w:r>
              <w:br/>
              <w:t>Est. Outcome</w:t>
            </w:r>
          </w:p>
        </w:tc>
        <w:tc>
          <w:tcPr>
            <w:tcW w:w="1430" w:type="dxa"/>
            <w:tcBorders>
              <w:top w:val="single" w:sz="4" w:space="0" w:color="auto"/>
              <w:left w:val="nil"/>
              <w:bottom w:val="single" w:sz="4" w:space="0" w:color="auto"/>
              <w:right w:val="nil"/>
            </w:tcBorders>
          </w:tcPr>
          <w:p w:rsidR="00C67E97"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2013-14</w:t>
            </w:r>
            <w:r>
              <w:br/>
              <w:t>Targets</w:t>
            </w:r>
          </w:p>
        </w:tc>
      </w:tr>
      <w:tr w:rsidR="00C67E97" w:rsidTr="005E1840">
        <w:trPr>
          <w:jc w:val="center"/>
        </w:trPr>
        <w:tc>
          <w:tcPr>
            <w:tcW w:w="5066" w:type="dxa"/>
            <w:tcBorders>
              <w:top w:val="single" w:sz="4" w:space="0" w:color="auto"/>
              <w:left w:val="nil"/>
              <w:bottom w:val="single" w:sz="4" w:space="0" w:color="auto"/>
              <w:right w:val="nil"/>
            </w:tcBorders>
            <w:vAlign w:val="center"/>
          </w:tcPr>
          <w:p w:rsidR="00C67E97"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Output 1.6:  Electoral Services</w:t>
            </w:r>
          </w:p>
        </w:tc>
        <w:tc>
          <w:tcPr>
            <w:tcW w:w="1430" w:type="dxa"/>
            <w:tcBorders>
              <w:top w:val="single" w:sz="4" w:space="0" w:color="auto"/>
              <w:left w:val="nil"/>
              <w:bottom w:val="single" w:sz="4" w:space="0" w:color="auto"/>
              <w:right w:val="nil"/>
            </w:tcBorders>
            <w:vAlign w:val="center"/>
          </w:tcPr>
          <w:p w:rsidR="00C67E97"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30" w:type="dxa"/>
            <w:tcBorders>
              <w:top w:val="single" w:sz="4" w:space="0" w:color="auto"/>
              <w:left w:val="nil"/>
              <w:bottom w:val="single" w:sz="4" w:space="0" w:color="auto"/>
              <w:right w:val="nil"/>
            </w:tcBorders>
            <w:vAlign w:val="center"/>
          </w:tcPr>
          <w:p w:rsidR="00C67E97"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30" w:type="dxa"/>
            <w:tcBorders>
              <w:top w:val="single" w:sz="4" w:space="0" w:color="auto"/>
              <w:left w:val="nil"/>
              <w:bottom w:val="single" w:sz="4" w:space="0" w:color="auto"/>
              <w:right w:val="nil"/>
            </w:tcBorders>
            <w:vAlign w:val="center"/>
          </w:tcPr>
          <w:p w:rsidR="00C67E97"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C67E97" w:rsidRPr="00475813" w:rsidTr="005E1840">
        <w:trPr>
          <w:jc w:val="center"/>
        </w:trPr>
        <w:tc>
          <w:tcPr>
            <w:tcW w:w="5066" w:type="dxa"/>
            <w:tcBorders>
              <w:top w:val="nil"/>
              <w:left w:val="nil"/>
              <w:right w:val="nil"/>
            </w:tcBorders>
          </w:tcPr>
          <w:p w:rsidR="00C67E97" w:rsidRPr="00475813" w:rsidRDefault="00C67E97" w:rsidP="00180889">
            <w:pPr>
              <w:pStyle w:val="Tabletextindenta"/>
              <w:numPr>
                <w:ilvl w:val="0"/>
                <w:numId w:val="61"/>
              </w:numPr>
              <w:spacing w:before="10" w:after="10"/>
            </w:pPr>
            <w:r w:rsidRPr="00475813">
              <w:t>High level of voter turnout at ACT Legislative Assembly elections</w:t>
            </w:r>
            <w:r w:rsidRPr="00A2331E">
              <w:rPr>
                <w:vertAlign w:val="superscript"/>
              </w:rPr>
              <w:t>1,2</w:t>
            </w:r>
          </w:p>
        </w:tc>
        <w:tc>
          <w:tcPr>
            <w:tcW w:w="1430" w:type="dxa"/>
            <w:tcBorders>
              <w:top w:val="nil"/>
              <w:left w:val="nil"/>
              <w:right w:val="nil"/>
            </w:tcBorders>
          </w:tcPr>
          <w:p w:rsidR="00C67E97" w:rsidRPr="0047581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vertAlign w:val="superscript"/>
              </w:rPr>
            </w:pPr>
          </w:p>
        </w:tc>
        <w:tc>
          <w:tcPr>
            <w:tcW w:w="1430" w:type="dxa"/>
            <w:tcBorders>
              <w:top w:val="single" w:sz="4" w:space="0" w:color="auto"/>
              <w:left w:val="nil"/>
              <w:right w:val="nil"/>
            </w:tcBorders>
            <w:shd w:val="clear" w:color="auto" w:fill="auto"/>
          </w:tcPr>
          <w:p w:rsidR="00C67E97" w:rsidRPr="0007776C"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p>
        </w:tc>
        <w:tc>
          <w:tcPr>
            <w:tcW w:w="1430" w:type="dxa"/>
            <w:tcBorders>
              <w:top w:val="single" w:sz="4" w:space="0" w:color="auto"/>
              <w:left w:val="nil"/>
              <w:right w:val="nil"/>
            </w:tcBorders>
            <w:shd w:val="clear" w:color="auto" w:fill="auto"/>
          </w:tcPr>
          <w:p w:rsidR="00C67E97" w:rsidRPr="0047581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highlight w:val="yellow"/>
                <w:vertAlign w:val="superscript"/>
              </w:rPr>
            </w:pPr>
          </w:p>
        </w:tc>
      </w:tr>
      <w:tr w:rsidR="005E1840" w:rsidRPr="005E1840" w:rsidTr="005E1840">
        <w:trPr>
          <w:jc w:val="center"/>
        </w:trPr>
        <w:tc>
          <w:tcPr>
            <w:tcW w:w="5066" w:type="dxa"/>
            <w:tcBorders>
              <w:top w:val="nil"/>
              <w:left w:val="nil"/>
              <w:right w:val="nil"/>
            </w:tcBorders>
          </w:tcPr>
          <w:p w:rsidR="005E1840" w:rsidRPr="00475813" w:rsidRDefault="005E1840" w:rsidP="00180889">
            <w:pPr>
              <w:pStyle w:val="AIBlurb0"/>
              <w:numPr>
                <w:ilvl w:val="1"/>
                <w:numId w:val="37"/>
              </w:numPr>
              <w:tabs>
                <w:tab w:val="left" w:pos="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 w:after="10"/>
              <w:jc w:val="left"/>
            </w:pPr>
            <w:r w:rsidRPr="00C774B9">
              <w:t>Turnout as a percentage of enrolment</w:t>
            </w:r>
          </w:p>
        </w:tc>
        <w:tc>
          <w:tcPr>
            <w:tcW w:w="1430" w:type="dxa"/>
            <w:tcBorders>
              <w:top w:val="nil"/>
              <w:left w:val="nil"/>
              <w:right w:val="nil"/>
            </w:tcBorders>
          </w:tcPr>
          <w:p w:rsidR="005E1840" w:rsidRPr="00475813" w:rsidRDefault="005E1840"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vertAlign w:val="superscript"/>
              </w:rPr>
            </w:pPr>
            <w:r w:rsidRPr="005E1840">
              <w:t>&gt;92% of eligible population</w:t>
            </w:r>
          </w:p>
        </w:tc>
        <w:tc>
          <w:tcPr>
            <w:tcW w:w="1430" w:type="dxa"/>
            <w:tcBorders>
              <w:left w:val="nil"/>
              <w:right w:val="nil"/>
            </w:tcBorders>
            <w:shd w:val="clear" w:color="auto" w:fill="auto"/>
          </w:tcPr>
          <w:p w:rsidR="005E1840" w:rsidRPr="0007776C" w:rsidRDefault="005E1840"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5E1840">
              <w:t>89%</w:t>
            </w:r>
          </w:p>
        </w:tc>
        <w:tc>
          <w:tcPr>
            <w:tcW w:w="1430" w:type="dxa"/>
            <w:tcBorders>
              <w:left w:val="nil"/>
              <w:right w:val="nil"/>
            </w:tcBorders>
            <w:shd w:val="clear" w:color="auto" w:fill="auto"/>
          </w:tcPr>
          <w:p w:rsidR="005E1840" w:rsidRPr="005E1840" w:rsidRDefault="005E1840"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5E1840">
              <w:t>n/a</w:t>
            </w:r>
          </w:p>
        </w:tc>
      </w:tr>
      <w:tr w:rsidR="005E1840" w:rsidRPr="00475813" w:rsidTr="005E1840">
        <w:trPr>
          <w:jc w:val="center"/>
        </w:trPr>
        <w:tc>
          <w:tcPr>
            <w:tcW w:w="5066" w:type="dxa"/>
            <w:tcBorders>
              <w:top w:val="nil"/>
              <w:left w:val="nil"/>
              <w:right w:val="nil"/>
            </w:tcBorders>
          </w:tcPr>
          <w:p w:rsidR="005E1840" w:rsidRPr="00475813" w:rsidRDefault="005E1840" w:rsidP="00180889">
            <w:pPr>
              <w:pStyle w:val="AIBlurb0"/>
              <w:numPr>
                <w:ilvl w:val="1"/>
                <w:numId w:val="37"/>
              </w:numPr>
              <w:tabs>
                <w:tab w:val="left" w:pos="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 w:after="10"/>
              <w:ind w:left="709" w:hanging="357"/>
              <w:jc w:val="left"/>
            </w:pPr>
            <w:r w:rsidRPr="005E1840">
              <w:t>Turnout as a percentage of eligible elector population</w:t>
            </w:r>
          </w:p>
        </w:tc>
        <w:tc>
          <w:tcPr>
            <w:tcW w:w="1430" w:type="dxa"/>
            <w:tcBorders>
              <w:top w:val="nil"/>
              <w:left w:val="nil"/>
              <w:right w:val="nil"/>
            </w:tcBorders>
          </w:tcPr>
          <w:p w:rsidR="005E1840" w:rsidRPr="005E1840" w:rsidRDefault="005E1840"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5E1840">
              <w:t>&gt;88% of eligible population</w:t>
            </w:r>
          </w:p>
        </w:tc>
        <w:tc>
          <w:tcPr>
            <w:tcW w:w="1430" w:type="dxa"/>
            <w:tcBorders>
              <w:left w:val="nil"/>
              <w:right w:val="nil"/>
            </w:tcBorders>
            <w:shd w:val="clear" w:color="auto" w:fill="auto"/>
          </w:tcPr>
          <w:p w:rsidR="005E1840" w:rsidRPr="0007776C" w:rsidRDefault="005E1840"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t>84%</w:t>
            </w:r>
          </w:p>
        </w:tc>
        <w:tc>
          <w:tcPr>
            <w:tcW w:w="1430" w:type="dxa"/>
            <w:tcBorders>
              <w:left w:val="nil"/>
              <w:right w:val="nil"/>
            </w:tcBorders>
            <w:shd w:val="clear" w:color="auto" w:fill="auto"/>
          </w:tcPr>
          <w:p w:rsidR="005E1840" w:rsidRPr="005E1840" w:rsidRDefault="005E1840"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5E1840">
              <w:t>n/a</w:t>
            </w:r>
          </w:p>
        </w:tc>
      </w:tr>
      <w:tr w:rsidR="005E1840" w:rsidRPr="00475813" w:rsidTr="005E1840">
        <w:trPr>
          <w:jc w:val="center"/>
        </w:trPr>
        <w:tc>
          <w:tcPr>
            <w:tcW w:w="5066" w:type="dxa"/>
            <w:tcBorders>
              <w:top w:val="nil"/>
              <w:left w:val="nil"/>
              <w:right w:val="nil"/>
            </w:tcBorders>
          </w:tcPr>
          <w:p w:rsidR="005E1840" w:rsidRPr="005E1840" w:rsidRDefault="005E1840" w:rsidP="00180889">
            <w:pPr>
              <w:pStyle w:val="Tabletextindenta"/>
              <w:spacing w:before="10" w:after="10"/>
            </w:pPr>
            <w:r>
              <w:t>Timely finalisation of election result of Legislative Assembly election</w:t>
            </w:r>
            <w:r>
              <w:rPr>
                <w:sz w:val="18"/>
                <w:vertAlign w:val="superscript"/>
              </w:rPr>
              <w:t>1,3</w:t>
            </w:r>
          </w:p>
        </w:tc>
        <w:tc>
          <w:tcPr>
            <w:tcW w:w="1430" w:type="dxa"/>
            <w:tcBorders>
              <w:top w:val="nil"/>
              <w:left w:val="nil"/>
              <w:right w:val="nil"/>
            </w:tcBorders>
          </w:tcPr>
          <w:p w:rsidR="005E1840" w:rsidRPr="005E1840" w:rsidRDefault="005E1840"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5E1840">
              <w:t>&lt;14 days from polling day</w:t>
            </w:r>
          </w:p>
        </w:tc>
        <w:tc>
          <w:tcPr>
            <w:tcW w:w="1430" w:type="dxa"/>
            <w:tcBorders>
              <w:left w:val="nil"/>
              <w:right w:val="nil"/>
            </w:tcBorders>
            <w:shd w:val="clear" w:color="auto" w:fill="auto"/>
          </w:tcPr>
          <w:p w:rsidR="005E1840" w:rsidRDefault="005E1840"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t>7</w:t>
            </w:r>
          </w:p>
        </w:tc>
        <w:tc>
          <w:tcPr>
            <w:tcW w:w="1430" w:type="dxa"/>
            <w:tcBorders>
              <w:left w:val="nil"/>
              <w:right w:val="nil"/>
            </w:tcBorders>
            <w:shd w:val="clear" w:color="auto" w:fill="auto"/>
          </w:tcPr>
          <w:p w:rsidR="005E1840" w:rsidRPr="005E1840" w:rsidRDefault="005E1840"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t>n/a</w:t>
            </w:r>
          </w:p>
        </w:tc>
      </w:tr>
      <w:tr w:rsidR="005E1840" w:rsidRPr="00475813" w:rsidTr="005E1840">
        <w:trPr>
          <w:jc w:val="center"/>
        </w:trPr>
        <w:tc>
          <w:tcPr>
            <w:tcW w:w="5066" w:type="dxa"/>
            <w:tcBorders>
              <w:left w:val="nil"/>
              <w:bottom w:val="single" w:sz="4" w:space="0" w:color="auto"/>
              <w:right w:val="nil"/>
            </w:tcBorders>
          </w:tcPr>
          <w:p w:rsidR="005E1840" w:rsidRDefault="005E1840" w:rsidP="00180889">
            <w:pPr>
              <w:pStyle w:val="Tabletextindenta"/>
              <w:spacing w:before="10" w:after="10"/>
            </w:pPr>
            <w:r w:rsidRPr="00475813">
              <w:t>High level of electoral enrolment</w:t>
            </w:r>
            <w:r w:rsidRPr="00475813">
              <w:rPr>
                <w:sz w:val="18"/>
                <w:vertAlign w:val="superscript"/>
              </w:rPr>
              <w:t>4</w:t>
            </w:r>
          </w:p>
        </w:tc>
        <w:tc>
          <w:tcPr>
            <w:tcW w:w="1430" w:type="dxa"/>
            <w:tcBorders>
              <w:left w:val="nil"/>
              <w:bottom w:val="single" w:sz="4" w:space="0" w:color="auto"/>
              <w:right w:val="nil"/>
            </w:tcBorders>
          </w:tcPr>
          <w:p w:rsidR="005E1840" w:rsidRPr="005E1840" w:rsidRDefault="005E1840"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475813">
              <w:t>&gt;95% of eligible population</w:t>
            </w:r>
          </w:p>
        </w:tc>
        <w:tc>
          <w:tcPr>
            <w:tcW w:w="1430" w:type="dxa"/>
            <w:tcBorders>
              <w:left w:val="nil"/>
              <w:bottom w:val="single" w:sz="4" w:space="0" w:color="auto"/>
              <w:right w:val="nil"/>
            </w:tcBorders>
            <w:shd w:val="clear" w:color="auto" w:fill="auto"/>
          </w:tcPr>
          <w:p w:rsidR="005E1840" w:rsidRDefault="005E1840"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t>94%</w:t>
            </w:r>
          </w:p>
        </w:tc>
        <w:tc>
          <w:tcPr>
            <w:tcW w:w="1430" w:type="dxa"/>
            <w:tcBorders>
              <w:left w:val="nil"/>
              <w:bottom w:val="single" w:sz="4" w:space="0" w:color="auto"/>
              <w:right w:val="nil"/>
            </w:tcBorders>
            <w:shd w:val="clear" w:color="auto" w:fill="auto"/>
          </w:tcPr>
          <w:p w:rsidR="005E1840" w:rsidRDefault="005E1840"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5E1840">
              <w:t>&gt;95% of eligible population</w:t>
            </w:r>
          </w:p>
        </w:tc>
      </w:tr>
    </w:tbl>
    <w:p w:rsidR="00C67E97" w:rsidRDefault="00C67E97" w:rsidP="00C67E97">
      <w:pPr>
        <w:pStyle w:val="NoteHeading0"/>
      </w:pPr>
      <w:r>
        <w:t>Notes:</w:t>
      </w:r>
    </w:p>
    <w:p w:rsidR="00C67E97" w:rsidRPr="00C774B9" w:rsidRDefault="00C67E97" w:rsidP="0036631B">
      <w:pPr>
        <w:pStyle w:val="NoteText"/>
        <w:numPr>
          <w:ilvl w:val="0"/>
          <w:numId w:val="39"/>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C774B9">
        <w:t xml:space="preserve">These measures apply only in an election year.  </w:t>
      </w:r>
      <w:r>
        <w:t>Notes</w:t>
      </w:r>
      <w:r w:rsidRPr="00C774B9">
        <w:t xml:space="preserve"> 2 and 3 below discuss </w:t>
      </w:r>
      <w:proofErr w:type="gramStart"/>
      <w:r w:rsidRPr="00C774B9">
        <w:t>the  targets</w:t>
      </w:r>
      <w:proofErr w:type="gramEnd"/>
      <w:r w:rsidRPr="00C774B9">
        <w:t xml:space="preserve"> for each measure.</w:t>
      </w:r>
    </w:p>
    <w:p w:rsidR="00C67E97" w:rsidRPr="00C774B9" w:rsidRDefault="006C7DCC" w:rsidP="0036631B">
      <w:pPr>
        <w:pStyle w:val="NoteText"/>
        <w:numPr>
          <w:ilvl w:val="0"/>
          <w:numId w:val="39"/>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Targets </w:t>
      </w:r>
      <w:r w:rsidR="00C67E97" w:rsidRPr="00C774B9">
        <w:t>used in 2012-13:</w:t>
      </w:r>
    </w:p>
    <w:p w:rsidR="00C67E97" w:rsidRPr="00C774B9" w:rsidRDefault="00C67E97" w:rsidP="0036631B">
      <w:pPr>
        <w:pStyle w:val="NoteText"/>
        <w:numPr>
          <w:ilvl w:val="0"/>
          <w:numId w:val="38"/>
        </w:num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C774B9">
        <w:t xml:space="preserve">Turnout as a percentage of enrolment &gt; 92% </w:t>
      </w:r>
      <w:r w:rsidRPr="00C774B9">
        <w:softHyphen/>
        <w:t xml:space="preserve"> the same measure was used in the 2008-09 election year.</w:t>
      </w:r>
    </w:p>
    <w:p w:rsidR="00C67E97" w:rsidRPr="00C774B9" w:rsidRDefault="00C67E97" w:rsidP="0036631B">
      <w:pPr>
        <w:pStyle w:val="NoteText"/>
        <w:numPr>
          <w:ilvl w:val="0"/>
          <w:numId w:val="38"/>
        </w:num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C774B9">
        <w:t xml:space="preserve">Turnout as a percentage of eligible elector population &gt; 88% </w:t>
      </w:r>
      <w:r w:rsidRPr="00C774B9">
        <w:softHyphen/>
        <w:t xml:space="preserve"> </w:t>
      </w:r>
      <w:r w:rsidR="008E7587">
        <w:t xml:space="preserve">is </w:t>
      </w:r>
      <w:r w:rsidRPr="00C774B9">
        <w:t>a new measure</w:t>
      </w:r>
      <w:r w:rsidR="008E7587">
        <w:t xml:space="preserve"> for the 2012 election</w:t>
      </w:r>
      <w:r w:rsidRPr="00C774B9">
        <w:t>.</w:t>
      </w:r>
    </w:p>
    <w:p w:rsidR="00C258E6" w:rsidRDefault="00C67E97" w:rsidP="0036631B">
      <w:pPr>
        <w:pStyle w:val="NoteText"/>
        <w:numPr>
          <w:ilvl w:val="0"/>
          <w:numId w:val="39"/>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C774B9">
        <w:t xml:space="preserve">Target revised to “&lt; 14 days from polling day”, replacing the 2008-09 election year </w:t>
      </w:r>
      <w:proofErr w:type="gramStart"/>
      <w:r w:rsidRPr="00C774B9">
        <w:t>target</w:t>
      </w:r>
      <w:proofErr w:type="gramEnd"/>
      <w:r w:rsidRPr="00C774B9">
        <w:t xml:space="preserve"> of “&lt; 3 weeks from polling day”.</w:t>
      </w:r>
    </w:p>
    <w:p w:rsidR="00C258E6" w:rsidRDefault="00C258E6" w:rsidP="0036631B">
      <w:pPr>
        <w:rPr>
          <w:iCs/>
          <w:sz w:val="16"/>
        </w:rPr>
      </w:pPr>
      <w:r>
        <w:br w:type="page"/>
      </w:r>
    </w:p>
    <w:p w:rsidR="00C258E6" w:rsidRPr="00D325FA" w:rsidRDefault="00C258E6" w:rsidP="00C258E6">
      <w:pPr>
        <w:pStyle w:val="Heading3"/>
        <w:spacing w:before="0"/>
      </w:pPr>
      <w:proofErr w:type="gramStart"/>
      <w:r w:rsidRPr="00D325FA">
        <w:lastRenderedPageBreak/>
        <w:t>Accountability Indicators</w:t>
      </w:r>
      <w:r>
        <w:t xml:space="preserve"> cont.</w:t>
      </w:r>
      <w:proofErr w:type="gramEnd"/>
    </w:p>
    <w:p w:rsidR="00C67E97" w:rsidRDefault="00C67E97" w:rsidP="00A2331E">
      <w:pPr>
        <w:pStyle w:val="NoteText"/>
        <w:numPr>
          <w:ilvl w:val="0"/>
          <w:numId w:val="39"/>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60"/>
      </w:pPr>
      <w:r w:rsidRPr="00C774B9">
        <w:t>Eligible elector population (EEP) is calculated every quarter by the Australian Electoral Commission, using base data provided by the Australian Bureau of Statistics and applying a method developed by the AEC in conjunction with the ABS.  The EEP is an estimate of the number of persons who are eligible to be enrolled at any point in time, and is calculated using post-</w:t>
      </w:r>
      <w:proofErr w:type="spellStart"/>
      <w:r w:rsidRPr="00C774B9">
        <w:t>censal</w:t>
      </w:r>
      <w:proofErr w:type="spellEnd"/>
      <w:r w:rsidRPr="00C774B9">
        <w:t xml:space="preserve"> estimates based on the latest census data updated by birth and death registrations, and estimated interstate and overseas migration.  The estimate is recalculated after each census and previous EEP estimates revised accordingly.</w:t>
      </w:r>
    </w:p>
    <w:p w:rsidR="001F07B8" w:rsidRDefault="001F07B8" w:rsidP="001F07B8">
      <w:pPr>
        <w:pStyle w:val="NoteText"/>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60"/>
        <w:ind w:left="357"/>
      </w:pPr>
    </w:p>
    <w:tbl>
      <w:tblPr>
        <w:tblW w:w="9356" w:type="dxa"/>
        <w:tblLayout w:type="fixed"/>
        <w:tblLook w:val="0000"/>
      </w:tblPr>
      <w:tblGrid>
        <w:gridCol w:w="5066"/>
        <w:gridCol w:w="1430"/>
        <w:gridCol w:w="1430"/>
        <w:gridCol w:w="1430"/>
      </w:tblGrid>
      <w:tr w:rsidR="00C67E97" w:rsidRPr="005D2BC3" w:rsidTr="00BD272A">
        <w:tc>
          <w:tcPr>
            <w:tcW w:w="5066" w:type="dxa"/>
            <w:tcBorders>
              <w:top w:val="single" w:sz="4" w:space="0" w:color="auto"/>
              <w:left w:val="nil"/>
              <w:bottom w:val="single" w:sz="4" w:space="0" w:color="auto"/>
              <w:right w:val="nil"/>
            </w:tcBorders>
          </w:tcPr>
          <w:p w:rsidR="00C67E97" w:rsidRPr="005D2BC3" w:rsidRDefault="00C67E97" w:rsidP="0072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20"/>
              </w:rPr>
            </w:pPr>
            <w:bookmarkStart w:id="11" w:name="_Hlk291150485"/>
          </w:p>
        </w:tc>
        <w:tc>
          <w:tcPr>
            <w:tcW w:w="1430" w:type="dxa"/>
            <w:tcBorders>
              <w:top w:val="single" w:sz="4" w:space="0" w:color="auto"/>
              <w:left w:val="nil"/>
              <w:bottom w:val="single" w:sz="4" w:space="0" w:color="auto"/>
              <w:right w:val="nil"/>
            </w:tcBorders>
          </w:tcPr>
          <w:p w:rsidR="00C67E97" w:rsidRPr="005D2BC3"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r>
              <w:rPr>
                <w:rFonts w:cs="Calibri"/>
              </w:rPr>
              <w:t>2012-13</w:t>
            </w:r>
            <w:r w:rsidRPr="005D2BC3">
              <w:rPr>
                <w:rFonts w:cs="Calibri"/>
              </w:rPr>
              <w:br/>
              <w:t>Targets</w:t>
            </w:r>
          </w:p>
        </w:tc>
        <w:tc>
          <w:tcPr>
            <w:tcW w:w="1430" w:type="dxa"/>
            <w:tcBorders>
              <w:top w:val="single" w:sz="4" w:space="0" w:color="auto"/>
              <w:left w:val="nil"/>
              <w:bottom w:val="single" w:sz="4" w:space="0" w:color="auto"/>
              <w:right w:val="nil"/>
            </w:tcBorders>
          </w:tcPr>
          <w:p w:rsidR="00C67E97" w:rsidRPr="005D2BC3"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r>
              <w:rPr>
                <w:rFonts w:cs="Calibri"/>
              </w:rPr>
              <w:t>2012-13</w:t>
            </w:r>
            <w:r w:rsidRPr="005D2BC3">
              <w:rPr>
                <w:rFonts w:cs="Calibri"/>
              </w:rPr>
              <w:br/>
              <w:t>Est. Outcome</w:t>
            </w:r>
          </w:p>
        </w:tc>
        <w:tc>
          <w:tcPr>
            <w:tcW w:w="1430" w:type="dxa"/>
            <w:tcBorders>
              <w:top w:val="single" w:sz="4" w:space="0" w:color="auto"/>
              <w:left w:val="nil"/>
              <w:bottom w:val="single" w:sz="4" w:space="0" w:color="auto"/>
              <w:right w:val="nil"/>
            </w:tcBorders>
          </w:tcPr>
          <w:p w:rsidR="00C67E97" w:rsidRPr="005D2BC3"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r>
              <w:rPr>
                <w:rFonts w:cs="Calibri"/>
              </w:rPr>
              <w:t>2013-14</w:t>
            </w:r>
            <w:r w:rsidRPr="005D2BC3">
              <w:rPr>
                <w:rFonts w:cs="Calibri"/>
              </w:rPr>
              <w:br/>
              <w:t>Targets</w:t>
            </w:r>
          </w:p>
        </w:tc>
      </w:tr>
      <w:bookmarkEnd w:id="11"/>
      <w:tr w:rsidR="00C67E97" w:rsidRPr="005D2BC3" w:rsidTr="00BD272A">
        <w:tc>
          <w:tcPr>
            <w:tcW w:w="5066" w:type="dxa"/>
            <w:tcBorders>
              <w:top w:val="single" w:sz="4" w:space="0" w:color="auto"/>
              <w:left w:val="nil"/>
              <w:bottom w:val="single" w:sz="4" w:space="0" w:color="auto"/>
              <w:right w:val="nil"/>
            </w:tcBorders>
          </w:tcPr>
          <w:p w:rsidR="00C67E97" w:rsidRPr="005D2BC3"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r w:rsidRPr="005D2BC3">
              <w:rPr>
                <w:rFonts w:cs="Calibri"/>
              </w:rPr>
              <w:t xml:space="preserve">Output 1.7:  Regulatory </w:t>
            </w:r>
            <w:r>
              <w:rPr>
                <w:rFonts w:cs="Calibri"/>
              </w:rPr>
              <w:t xml:space="preserve">and Transport </w:t>
            </w:r>
            <w:r w:rsidRPr="005D2BC3">
              <w:rPr>
                <w:rFonts w:cs="Calibri"/>
              </w:rPr>
              <w:t>Services</w:t>
            </w:r>
          </w:p>
        </w:tc>
        <w:tc>
          <w:tcPr>
            <w:tcW w:w="1430" w:type="dxa"/>
            <w:tcBorders>
              <w:top w:val="single" w:sz="4" w:space="0" w:color="auto"/>
              <w:left w:val="nil"/>
              <w:bottom w:val="single" w:sz="4" w:space="0" w:color="auto"/>
              <w:right w:val="nil"/>
            </w:tcBorders>
          </w:tcPr>
          <w:p w:rsidR="00C67E97" w:rsidRPr="005D2BC3"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highlight w:val="yellow"/>
                <w:shd w:val="clear" w:color="auto" w:fill="FFFF00"/>
              </w:rPr>
            </w:pPr>
          </w:p>
        </w:tc>
        <w:tc>
          <w:tcPr>
            <w:tcW w:w="1430" w:type="dxa"/>
            <w:tcBorders>
              <w:top w:val="single" w:sz="4" w:space="0" w:color="auto"/>
              <w:left w:val="nil"/>
              <w:bottom w:val="single" w:sz="4" w:space="0" w:color="auto"/>
              <w:right w:val="nil"/>
            </w:tcBorders>
          </w:tcPr>
          <w:p w:rsidR="00C67E97" w:rsidRPr="005D2BC3"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highlight w:val="yellow"/>
              </w:rPr>
            </w:pPr>
          </w:p>
        </w:tc>
        <w:tc>
          <w:tcPr>
            <w:tcW w:w="1430" w:type="dxa"/>
            <w:tcBorders>
              <w:top w:val="single" w:sz="4" w:space="0" w:color="auto"/>
              <w:left w:val="nil"/>
              <w:bottom w:val="single" w:sz="4" w:space="0" w:color="auto"/>
              <w:right w:val="nil"/>
            </w:tcBorders>
          </w:tcPr>
          <w:p w:rsidR="00C67E97" w:rsidRPr="005D2BC3"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highlight w:val="yellow"/>
                <w:shd w:val="clear" w:color="auto" w:fill="FFFF00"/>
              </w:rPr>
            </w:pPr>
          </w:p>
        </w:tc>
      </w:tr>
      <w:tr w:rsidR="00C67E97" w:rsidRPr="005D2BC3" w:rsidTr="00BD272A">
        <w:tc>
          <w:tcPr>
            <w:tcW w:w="5066" w:type="dxa"/>
            <w:tcBorders>
              <w:top w:val="nil"/>
              <w:left w:val="nil"/>
              <w:bottom w:val="nil"/>
              <w:right w:val="nil"/>
            </w:tcBorders>
          </w:tcPr>
          <w:p w:rsidR="00C67E97" w:rsidRPr="005D2BC3" w:rsidRDefault="00C67E97" w:rsidP="00180889">
            <w:pPr>
              <w:pStyle w:val="Tabletextindenta"/>
              <w:numPr>
                <w:ilvl w:val="0"/>
                <w:numId w:val="62"/>
              </w:numPr>
              <w:spacing w:before="10" w:after="10"/>
            </w:pPr>
            <w:r w:rsidRPr="005D2BC3">
              <w:t>Accurate recording of Registrar-General data - percentage of registrations / products that are fully compliant with the relevant legislation</w:t>
            </w:r>
          </w:p>
        </w:tc>
        <w:tc>
          <w:tcPr>
            <w:tcW w:w="1430" w:type="dxa"/>
            <w:tcBorders>
              <w:top w:val="nil"/>
              <w:left w:val="nil"/>
              <w:bottom w:val="nil"/>
              <w:right w:val="nil"/>
            </w:tcBorders>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5D2BC3">
              <w:rPr>
                <w:rFonts w:cs="Calibri"/>
                <w:szCs w:val="20"/>
              </w:rPr>
              <w:t>95%</w:t>
            </w:r>
          </w:p>
        </w:tc>
        <w:tc>
          <w:tcPr>
            <w:tcW w:w="1430" w:type="dxa"/>
            <w:tcBorders>
              <w:top w:val="nil"/>
              <w:left w:val="nil"/>
              <w:bottom w:val="nil"/>
              <w:right w:val="nil"/>
            </w:tcBorders>
            <w:shd w:val="clear" w:color="auto" w:fill="auto"/>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99%</w:t>
            </w:r>
          </w:p>
        </w:tc>
        <w:tc>
          <w:tcPr>
            <w:tcW w:w="1430" w:type="dxa"/>
            <w:tcBorders>
              <w:top w:val="nil"/>
              <w:left w:val="nil"/>
              <w:bottom w:val="nil"/>
              <w:right w:val="nil"/>
            </w:tcBorders>
            <w:shd w:val="clear" w:color="auto" w:fill="auto"/>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5D2BC3">
              <w:rPr>
                <w:rFonts w:cs="Calibri"/>
                <w:szCs w:val="20"/>
              </w:rPr>
              <w:t>95%</w:t>
            </w:r>
          </w:p>
        </w:tc>
      </w:tr>
      <w:tr w:rsidR="00C67E97" w:rsidRPr="005D2BC3" w:rsidTr="00BD272A">
        <w:tc>
          <w:tcPr>
            <w:tcW w:w="5066" w:type="dxa"/>
            <w:tcBorders>
              <w:top w:val="nil"/>
              <w:left w:val="nil"/>
              <w:bottom w:val="nil"/>
              <w:right w:val="nil"/>
            </w:tcBorders>
          </w:tcPr>
          <w:p w:rsidR="00C67E97" w:rsidRPr="005D2BC3" w:rsidRDefault="00C67E97" w:rsidP="00180889">
            <w:pPr>
              <w:pStyle w:val="Tabletextindenta"/>
              <w:spacing w:before="10" w:after="10"/>
            </w:pPr>
            <w:r w:rsidRPr="005D2BC3">
              <w:t xml:space="preserve">High level of compliance with regulatory schemes </w:t>
            </w:r>
          </w:p>
        </w:tc>
        <w:tc>
          <w:tcPr>
            <w:tcW w:w="1430" w:type="dxa"/>
            <w:tcBorders>
              <w:top w:val="nil"/>
              <w:left w:val="nil"/>
              <w:bottom w:val="nil"/>
              <w:right w:val="nil"/>
            </w:tcBorders>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shd w:val="clear" w:color="auto" w:fill="FFFF00"/>
              </w:rPr>
            </w:pPr>
          </w:p>
        </w:tc>
        <w:tc>
          <w:tcPr>
            <w:tcW w:w="1430" w:type="dxa"/>
            <w:tcBorders>
              <w:top w:val="nil"/>
              <w:left w:val="nil"/>
              <w:right w:val="nil"/>
            </w:tcBorders>
            <w:shd w:val="clear" w:color="auto" w:fill="auto"/>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shd w:val="clear" w:color="auto" w:fill="FFFF00"/>
              </w:rPr>
            </w:pPr>
          </w:p>
        </w:tc>
        <w:tc>
          <w:tcPr>
            <w:tcW w:w="1430" w:type="dxa"/>
            <w:tcBorders>
              <w:top w:val="nil"/>
              <w:left w:val="nil"/>
              <w:bottom w:val="nil"/>
              <w:right w:val="nil"/>
            </w:tcBorders>
            <w:shd w:val="clear" w:color="auto" w:fill="auto"/>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shd w:val="clear" w:color="auto" w:fill="FFFF00"/>
              </w:rPr>
            </w:pPr>
          </w:p>
        </w:tc>
      </w:tr>
      <w:tr w:rsidR="00C67E97" w:rsidRPr="005D2BC3" w:rsidTr="00BD272A">
        <w:tc>
          <w:tcPr>
            <w:tcW w:w="5066" w:type="dxa"/>
            <w:tcBorders>
              <w:top w:val="nil"/>
              <w:left w:val="nil"/>
              <w:bottom w:val="nil"/>
              <w:right w:val="nil"/>
            </w:tcBorders>
          </w:tcPr>
          <w:p w:rsidR="00C67E97" w:rsidRPr="005D2BC3" w:rsidRDefault="00C67E97" w:rsidP="00180889">
            <w:pPr>
              <w:pStyle w:val="AIBlurb0"/>
              <w:numPr>
                <w:ilvl w:val="1"/>
                <w:numId w:val="7"/>
              </w:numPr>
              <w:tabs>
                <w:tab w:val="left" w:pos="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jc w:val="left"/>
              <w:rPr>
                <w:rFonts w:cs="Calibri"/>
              </w:rPr>
            </w:pPr>
            <w:r>
              <w:rPr>
                <w:rFonts w:cs="Calibri"/>
              </w:rPr>
              <w:t>Percentage</w:t>
            </w:r>
            <w:r w:rsidRPr="005D2BC3">
              <w:rPr>
                <w:rFonts w:cs="Calibri"/>
              </w:rPr>
              <w:t xml:space="preserve"> of individuals / businesses / workplaces that comply with relevant legislation</w:t>
            </w:r>
            <w:r w:rsidRPr="005D2BC3">
              <w:rPr>
                <w:rFonts w:cs="Calibri"/>
                <w:vertAlign w:val="superscript"/>
              </w:rPr>
              <w:t>1</w:t>
            </w:r>
            <w:r w:rsidR="002C496F">
              <w:rPr>
                <w:rFonts w:cs="Calibri"/>
                <w:vertAlign w:val="superscript"/>
              </w:rPr>
              <w:t>,4</w:t>
            </w:r>
          </w:p>
        </w:tc>
        <w:tc>
          <w:tcPr>
            <w:tcW w:w="1430" w:type="dxa"/>
            <w:tcBorders>
              <w:top w:val="nil"/>
              <w:left w:val="nil"/>
              <w:bottom w:val="nil"/>
              <w:right w:val="nil"/>
            </w:tcBorders>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5D2BC3">
              <w:rPr>
                <w:rFonts w:cs="Calibri"/>
                <w:szCs w:val="20"/>
              </w:rPr>
              <w:t>80%</w:t>
            </w:r>
          </w:p>
        </w:tc>
        <w:tc>
          <w:tcPr>
            <w:tcW w:w="1430" w:type="dxa"/>
            <w:tcBorders>
              <w:top w:val="nil"/>
              <w:left w:val="nil"/>
              <w:right w:val="nil"/>
            </w:tcBorders>
            <w:shd w:val="clear" w:color="auto" w:fill="auto"/>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86%</w:t>
            </w:r>
          </w:p>
        </w:tc>
        <w:tc>
          <w:tcPr>
            <w:tcW w:w="1430" w:type="dxa"/>
            <w:tcBorders>
              <w:top w:val="nil"/>
              <w:left w:val="nil"/>
              <w:bottom w:val="nil"/>
              <w:right w:val="nil"/>
            </w:tcBorders>
            <w:shd w:val="clear" w:color="auto" w:fill="auto"/>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n/a</w:t>
            </w:r>
          </w:p>
        </w:tc>
      </w:tr>
      <w:tr w:rsidR="00C67E97" w:rsidRPr="005D2BC3" w:rsidTr="00BD272A">
        <w:tc>
          <w:tcPr>
            <w:tcW w:w="5066" w:type="dxa"/>
            <w:tcBorders>
              <w:top w:val="nil"/>
              <w:left w:val="nil"/>
              <w:bottom w:val="nil"/>
              <w:right w:val="nil"/>
            </w:tcBorders>
          </w:tcPr>
          <w:p w:rsidR="00C67E97" w:rsidRPr="005D2BC3" w:rsidRDefault="00C67E97" w:rsidP="00D75E65">
            <w:pPr>
              <w:pStyle w:val="AIBlurb0"/>
              <w:numPr>
                <w:ilvl w:val="1"/>
                <w:numId w:val="7"/>
              </w:numPr>
              <w:tabs>
                <w:tab w:val="left" w:pos="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jc w:val="left"/>
              <w:rPr>
                <w:rFonts w:cs="Calibri"/>
              </w:rPr>
            </w:pPr>
            <w:r>
              <w:rPr>
                <w:rFonts w:cs="Calibri"/>
              </w:rPr>
              <w:t>Percentage</w:t>
            </w:r>
            <w:r w:rsidRPr="005D2BC3">
              <w:rPr>
                <w:rFonts w:cs="Calibri"/>
              </w:rPr>
              <w:t xml:space="preserve"> of workplaces that comply with OHS legislation</w:t>
            </w:r>
            <w:r w:rsidRPr="005D2BC3">
              <w:rPr>
                <w:rFonts w:cs="Calibri"/>
                <w:vertAlign w:val="superscript"/>
              </w:rPr>
              <w:t>2</w:t>
            </w:r>
            <w:r w:rsidR="002C496F">
              <w:rPr>
                <w:rFonts w:cs="Calibri"/>
                <w:vertAlign w:val="superscript"/>
              </w:rPr>
              <w:t>,4</w:t>
            </w:r>
          </w:p>
        </w:tc>
        <w:tc>
          <w:tcPr>
            <w:tcW w:w="1430" w:type="dxa"/>
            <w:tcBorders>
              <w:top w:val="nil"/>
              <w:left w:val="nil"/>
              <w:bottom w:val="nil"/>
              <w:right w:val="nil"/>
            </w:tcBorders>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5</w:t>
            </w:r>
            <w:r w:rsidRPr="005D2BC3">
              <w:rPr>
                <w:rFonts w:cs="Calibri"/>
                <w:szCs w:val="20"/>
              </w:rPr>
              <w:t>0%</w:t>
            </w:r>
          </w:p>
        </w:tc>
        <w:tc>
          <w:tcPr>
            <w:tcW w:w="1430" w:type="dxa"/>
            <w:tcBorders>
              <w:top w:val="nil"/>
              <w:left w:val="nil"/>
              <w:bottom w:val="nil"/>
              <w:right w:val="nil"/>
            </w:tcBorders>
            <w:shd w:val="clear" w:color="auto" w:fill="auto"/>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32%</w:t>
            </w:r>
          </w:p>
        </w:tc>
        <w:tc>
          <w:tcPr>
            <w:tcW w:w="1430" w:type="dxa"/>
            <w:tcBorders>
              <w:top w:val="nil"/>
              <w:left w:val="nil"/>
              <w:bottom w:val="nil"/>
              <w:right w:val="nil"/>
            </w:tcBorders>
            <w:shd w:val="clear" w:color="auto" w:fill="auto"/>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n/a</w:t>
            </w:r>
          </w:p>
        </w:tc>
      </w:tr>
      <w:tr w:rsidR="00C67E97" w:rsidRPr="005D2BC3" w:rsidTr="00BD272A">
        <w:tc>
          <w:tcPr>
            <w:tcW w:w="5066" w:type="dxa"/>
            <w:tcBorders>
              <w:top w:val="nil"/>
              <w:left w:val="nil"/>
              <w:bottom w:val="nil"/>
              <w:right w:val="nil"/>
            </w:tcBorders>
          </w:tcPr>
          <w:p w:rsidR="00C67E97" w:rsidRPr="005D2BC3" w:rsidRDefault="00C67E97" w:rsidP="00E966BD">
            <w:pPr>
              <w:pStyle w:val="AIBlurb0"/>
              <w:numPr>
                <w:ilvl w:val="1"/>
                <w:numId w:val="7"/>
              </w:numPr>
              <w:tabs>
                <w:tab w:val="left" w:pos="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jc w:val="left"/>
              <w:rPr>
                <w:rFonts w:cs="Calibri"/>
              </w:rPr>
            </w:pPr>
            <w:r>
              <w:rPr>
                <w:rFonts w:cs="Calibri"/>
              </w:rPr>
              <w:t>Percentage</w:t>
            </w:r>
            <w:r w:rsidRPr="005D2BC3">
              <w:rPr>
                <w:rFonts w:cs="Calibri"/>
              </w:rPr>
              <w:t xml:space="preserve"> of workplaces that have a compliant workers’ compensation policy</w:t>
            </w:r>
            <w:r w:rsidR="009F1539" w:rsidRPr="009F1539">
              <w:rPr>
                <w:rFonts w:cs="Calibri"/>
                <w:vertAlign w:val="superscript"/>
              </w:rPr>
              <w:t>3</w:t>
            </w:r>
            <w:r w:rsidR="002C496F">
              <w:rPr>
                <w:rFonts w:cs="Calibri"/>
                <w:vertAlign w:val="superscript"/>
              </w:rPr>
              <w:t>,4</w:t>
            </w:r>
          </w:p>
        </w:tc>
        <w:tc>
          <w:tcPr>
            <w:tcW w:w="1430" w:type="dxa"/>
            <w:tcBorders>
              <w:top w:val="nil"/>
              <w:left w:val="nil"/>
              <w:bottom w:val="nil"/>
              <w:right w:val="nil"/>
            </w:tcBorders>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5D2BC3">
              <w:rPr>
                <w:rFonts w:cs="Calibri"/>
                <w:szCs w:val="20"/>
              </w:rPr>
              <w:t>80%</w:t>
            </w:r>
          </w:p>
        </w:tc>
        <w:tc>
          <w:tcPr>
            <w:tcW w:w="1430" w:type="dxa"/>
            <w:tcBorders>
              <w:top w:val="nil"/>
              <w:left w:val="nil"/>
              <w:bottom w:val="nil"/>
              <w:right w:val="nil"/>
            </w:tcBorders>
            <w:shd w:val="clear" w:color="auto" w:fill="auto"/>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95%</w:t>
            </w:r>
          </w:p>
        </w:tc>
        <w:tc>
          <w:tcPr>
            <w:tcW w:w="1430" w:type="dxa"/>
            <w:tcBorders>
              <w:top w:val="nil"/>
              <w:left w:val="nil"/>
              <w:bottom w:val="nil"/>
              <w:right w:val="nil"/>
            </w:tcBorders>
            <w:shd w:val="clear" w:color="auto" w:fill="auto"/>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n/a</w:t>
            </w:r>
          </w:p>
        </w:tc>
      </w:tr>
      <w:tr w:rsidR="00C67E97" w:rsidRPr="005D2BC3" w:rsidTr="00BD272A">
        <w:tc>
          <w:tcPr>
            <w:tcW w:w="5066" w:type="dxa"/>
            <w:tcBorders>
              <w:top w:val="nil"/>
              <w:left w:val="nil"/>
              <w:bottom w:val="nil"/>
              <w:right w:val="nil"/>
            </w:tcBorders>
          </w:tcPr>
          <w:p w:rsidR="00C67E97" w:rsidRPr="005D2BC3" w:rsidRDefault="00C67E97" w:rsidP="00180889">
            <w:pPr>
              <w:pStyle w:val="Tabletextindenta"/>
              <w:spacing w:before="10" w:after="10"/>
            </w:pPr>
            <w:r>
              <w:t xml:space="preserve">Percentage of licence applications finalised within </w:t>
            </w:r>
            <w:r w:rsidR="00C367E9">
              <w:t xml:space="preserve">customer commitment </w:t>
            </w:r>
            <w:r>
              <w:t xml:space="preserve"> standards</w:t>
            </w:r>
          </w:p>
        </w:tc>
        <w:tc>
          <w:tcPr>
            <w:tcW w:w="1430" w:type="dxa"/>
            <w:tcBorders>
              <w:top w:val="nil"/>
              <w:left w:val="nil"/>
              <w:bottom w:val="nil"/>
              <w:right w:val="nil"/>
            </w:tcBorders>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shd w:val="clear" w:color="auto" w:fill="FFFF00"/>
              </w:rPr>
            </w:pPr>
          </w:p>
        </w:tc>
        <w:tc>
          <w:tcPr>
            <w:tcW w:w="1430" w:type="dxa"/>
            <w:tcBorders>
              <w:top w:val="nil"/>
              <w:left w:val="nil"/>
              <w:right w:val="nil"/>
            </w:tcBorders>
            <w:shd w:val="clear" w:color="auto" w:fill="auto"/>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shd w:val="clear" w:color="auto" w:fill="FFFF00"/>
              </w:rPr>
            </w:pPr>
          </w:p>
        </w:tc>
        <w:tc>
          <w:tcPr>
            <w:tcW w:w="1430" w:type="dxa"/>
            <w:tcBorders>
              <w:top w:val="nil"/>
              <w:left w:val="nil"/>
              <w:bottom w:val="nil"/>
              <w:right w:val="nil"/>
            </w:tcBorders>
            <w:shd w:val="clear" w:color="auto" w:fill="auto"/>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shd w:val="clear" w:color="auto" w:fill="FFFF00"/>
              </w:rPr>
            </w:pPr>
          </w:p>
        </w:tc>
      </w:tr>
      <w:tr w:rsidR="00C67E97" w:rsidRPr="001A4D78" w:rsidTr="00BD272A">
        <w:tc>
          <w:tcPr>
            <w:tcW w:w="5066" w:type="dxa"/>
            <w:tcBorders>
              <w:top w:val="nil"/>
              <w:left w:val="nil"/>
              <w:bottom w:val="nil"/>
              <w:right w:val="nil"/>
            </w:tcBorders>
          </w:tcPr>
          <w:p w:rsidR="00C67E97" w:rsidRPr="00953173" w:rsidRDefault="00C67E97" w:rsidP="00180889">
            <w:pPr>
              <w:pStyle w:val="AIBlurb0"/>
              <w:numPr>
                <w:ilvl w:val="1"/>
                <w:numId w:val="7"/>
              </w:numPr>
              <w:tabs>
                <w:tab w:val="left" w:pos="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jc w:val="left"/>
              <w:rPr>
                <w:rFonts w:cs="Calibri"/>
              </w:rPr>
            </w:pPr>
            <w:r w:rsidRPr="00953173">
              <w:rPr>
                <w:rFonts w:cs="Calibri"/>
              </w:rPr>
              <w:t xml:space="preserve">Percentage of registrations under the </w:t>
            </w:r>
            <w:r w:rsidRPr="006B5B16">
              <w:rPr>
                <w:rFonts w:cs="Calibri"/>
                <w:i/>
              </w:rPr>
              <w:t>Working with Vulnerable People (Background Checking) Act 2011</w:t>
            </w:r>
            <w:r w:rsidRPr="00953173">
              <w:rPr>
                <w:rFonts w:cs="Calibri"/>
              </w:rPr>
              <w:t>, completed within 5 business days</w:t>
            </w:r>
            <w:r w:rsidR="002C496F">
              <w:rPr>
                <w:rFonts w:cs="Calibri"/>
                <w:vertAlign w:val="superscript"/>
              </w:rPr>
              <w:t>5</w:t>
            </w:r>
          </w:p>
        </w:tc>
        <w:tc>
          <w:tcPr>
            <w:tcW w:w="1430" w:type="dxa"/>
            <w:tcBorders>
              <w:top w:val="nil"/>
              <w:left w:val="nil"/>
              <w:bottom w:val="nil"/>
              <w:right w:val="nil"/>
            </w:tcBorders>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n/a</w:t>
            </w:r>
          </w:p>
        </w:tc>
        <w:tc>
          <w:tcPr>
            <w:tcW w:w="1430" w:type="dxa"/>
            <w:tcBorders>
              <w:top w:val="nil"/>
              <w:left w:val="nil"/>
              <w:right w:val="nil"/>
            </w:tcBorders>
            <w:shd w:val="clear" w:color="auto" w:fill="auto"/>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n/a</w:t>
            </w:r>
          </w:p>
        </w:tc>
        <w:tc>
          <w:tcPr>
            <w:tcW w:w="1430" w:type="dxa"/>
            <w:tcBorders>
              <w:top w:val="nil"/>
              <w:left w:val="nil"/>
              <w:bottom w:val="nil"/>
              <w:right w:val="nil"/>
            </w:tcBorders>
            <w:shd w:val="clear" w:color="auto" w:fill="auto"/>
          </w:tcPr>
          <w:p w:rsidR="00C67E97" w:rsidRPr="001A4D78"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1A4D78">
              <w:rPr>
                <w:rFonts w:cs="Calibri"/>
                <w:szCs w:val="20"/>
              </w:rPr>
              <w:t>60%</w:t>
            </w:r>
          </w:p>
        </w:tc>
      </w:tr>
      <w:tr w:rsidR="00C67E97" w:rsidRPr="005D2BC3" w:rsidTr="00BD272A">
        <w:tc>
          <w:tcPr>
            <w:tcW w:w="5066" w:type="dxa"/>
            <w:tcBorders>
              <w:top w:val="nil"/>
              <w:left w:val="nil"/>
              <w:bottom w:val="nil"/>
              <w:right w:val="nil"/>
            </w:tcBorders>
          </w:tcPr>
          <w:p w:rsidR="00C67E97" w:rsidRPr="005D2BC3" w:rsidRDefault="00C67E97" w:rsidP="00180889">
            <w:pPr>
              <w:pStyle w:val="AIBlurb0"/>
              <w:numPr>
                <w:ilvl w:val="1"/>
                <w:numId w:val="7"/>
              </w:numPr>
              <w:tabs>
                <w:tab w:val="left" w:pos="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jc w:val="left"/>
              <w:rPr>
                <w:rFonts w:cs="Calibri"/>
              </w:rPr>
            </w:pPr>
            <w:r>
              <w:rPr>
                <w:rFonts w:cs="Calibri"/>
              </w:rPr>
              <w:t>Pe</w:t>
            </w:r>
            <w:r w:rsidRPr="00953173">
              <w:rPr>
                <w:rFonts w:cs="Calibri"/>
              </w:rPr>
              <w:t>rcentage of the Second and Subsequent Years Security Licence Applications processed within 5 business days</w:t>
            </w:r>
            <w:r w:rsidR="002C496F">
              <w:rPr>
                <w:rFonts w:cs="Calibri"/>
                <w:vertAlign w:val="superscript"/>
              </w:rPr>
              <w:t>5</w:t>
            </w:r>
          </w:p>
        </w:tc>
        <w:tc>
          <w:tcPr>
            <w:tcW w:w="1430" w:type="dxa"/>
            <w:tcBorders>
              <w:top w:val="nil"/>
              <w:left w:val="nil"/>
              <w:bottom w:val="nil"/>
              <w:right w:val="nil"/>
            </w:tcBorders>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n/a</w:t>
            </w:r>
          </w:p>
        </w:tc>
        <w:tc>
          <w:tcPr>
            <w:tcW w:w="1430" w:type="dxa"/>
            <w:tcBorders>
              <w:top w:val="nil"/>
              <w:left w:val="nil"/>
              <w:right w:val="nil"/>
            </w:tcBorders>
            <w:shd w:val="clear" w:color="auto" w:fill="auto"/>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n/a</w:t>
            </w:r>
          </w:p>
        </w:tc>
        <w:tc>
          <w:tcPr>
            <w:tcW w:w="1430" w:type="dxa"/>
            <w:tcBorders>
              <w:top w:val="nil"/>
              <w:left w:val="nil"/>
              <w:bottom w:val="nil"/>
              <w:right w:val="nil"/>
            </w:tcBorders>
            <w:shd w:val="clear" w:color="auto" w:fill="auto"/>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95%</w:t>
            </w:r>
          </w:p>
        </w:tc>
      </w:tr>
      <w:tr w:rsidR="00C67E97" w:rsidRPr="005D2BC3" w:rsidTr="00BD272A">
        <w:tc>
          <w:tcPr>
            <w:tcW w:w="5066" w:type="dxa"/>
            <w:tcBorders>
              <w:top w:val="nil"/>
              <w:left w:val="nil"/>
              <w:bottom w:val="nil"/>
              <w:right w:val="nil"/>
            </w:tcBorders>
          </w:tcPr>
          <w:p w:rsidR="00C67E97" w:rsidRPr="005D2BC3" w:rsidRDefault="00C67E97" w:rsidP="00180889">
            <w:pPr>
              <w:pStyle w:val="Tabletextindenta"/>
              <w:spacing w:before="10" w:after="10"/>
            </w:pPr>
            <w:r w:rsidRPr="005D2BC3">
              <w:t>High level of reviewable decisions supported by external review</w:t>
            </w:r>
          </w:p>
        </w:tc>
        <w:tc>
          <w:tcPr>
            <w:tcW w:w="1430" w:type="dxa"/>
            <w:tcBorders>
              <w:top w:val="nil"/>
              <w:left w:val="nil"/>
              <w:bottom w:val="nil"/>
              <w:right w:val="nil"/>
            </w:tcBorders>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5D2BC3">
              <w:rPr>
                <w:rFonts w:cs="Calibri"/>
                <w:szCs w:val="20"/>
              </w:rPr>
              <w:t>95%</w:t>
            </w:r>
          </w:p>
        </w:tc>
        <w:tc>
          <w:tcPr>
            <w:tcW w:w="1430" w:type="dxa"/>
            <w:tcBorders>
              <w:top w:val="nil"/>
              <w:left w:val="nil"/>
              <w:bottom w:val="nil"/>
              <w:right w:val="nil"/>
            </w:tcBorders>
            <w:shd w:val="clear" w:color="auto" w:fill="auto"/>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99%</w:t>
            </w:r>
          </w:p>
        </w:tc>
        <w:tc>
          <w:tcPr>
            <w:tcW w:w="1430" w:type="dxa"/>
            <w:tcBorders>
              <w:top w:val="nil"/>
              <w:left w:val="nil"/>
              <w:bottom w:val="nil"/>
              <w:right w:val="nil"/>
            </w:tcBorders>
            <w:shd w:val="clear" w:color="auto" w:fill="auto"/>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5D2BC3">
              <w:rPr>
                <w:rFonts w:cs="Calibri"/>
                <w:szCs w:val="20"/>
              </w:rPr>
              <w:t>95%</w:t>
            </w:r>
          </w:p>
        </w:tc>
      </w:tr>
      <w:tr w:rsidR="00C67E97" w:rsidRPr="005D2BC3" w:rsidTr="00BD272A">
        <w:tc>
          <w:tcPr>
            <w:tcW w:w="5066" w:type="dxa"/>
            <w:tcBorders>
              <w:top w:val="nil"/>
              <w:left w:val="nil"/>
              <w:bottom w:val="nil"/>
              <w:right w:val="nil"/>
            </w:tcBorders>
          </w:tcPr>
          <w:p w:rsidR="00C67E97" w:rsidRPr="005D2BC3" w:rsidRDefault="00C67E97" w:rsidP="00180889">
            <w:pPr>
              <w:pStyle w:val="Tabletextindenta"/>
              <w:spacing w:before="10" w:after="10"/>
            </w:pPr>
            <w:r>
              <w:t xml:space="preserve">Number of notices issued by </w:t>
            </w:r>
            <w:proofErr w:type="spellStart"/>
            <w:r>
              <w:t>WorkSafe</w:t>
            </w:r>
            <w:proofErr w:type="spellEnd"/>
            <w:r>
              <w:t xml:space="preserve"> ACT</w:t>
            </w:r>
            <w:r w:rsidR="002C496F">
              <w:rPr>
                <w:vertAlign w:val="superscript"/>
              </w:rPr>
              <w:t>5</w:t>
            </w:r>
          </w:p>
        </w:tc>
        <w:tc>
          <w:tcPr>
            <w:tcW w:w="1430" w:type="dxa"/>
            <w:tcBorders>
              <w:top w:val="nil"/>
              <w:left w:val="nil"/>
              <w:bottom w:val="nil"/>
              <w:right w:val="nil"/>
            </w:tcBorders>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n/a</w:t>
            </w:r>
          </w:p>
        </w:tc>
        <w:tc>
          <w:tcPr>
            <w:tcW w:w="1430" w:type="dxa"/>
            <w:tcBorders>
              <w:top w:val="nil"/>
              <w:left w:val="nil"/>
              <w:bottom w:val="nil"/>
              <w:right w:val="nil"/>
            </w:tcBorders>
            <w:shd w:val="clear" w:color="auto" w:fill="auto"/>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n/a</w:t>
            </w:r>
          </w:p>
        </w:tc>
        <w:tc>
          <w:tcPr>
            <w:tcW w:w="1430" w:type="dxa"/>
            <w:tcBorders>
              <w:top w:val="nil"/>
              <w:left w:val="nil"/>
              <w:bottom w:val="nil"/>
              <w:right w:val="nil"/>
            </w:tcBorders>
            <w:shd w:val="clear" w:color="auto" w:fill="auto"/>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750</w:t>
            </w:r>
          </w:p>
        </w:tc>
      </w:tr>
      <w:tr w:rsidR="00C67E97" w:rsidRPr="005D2BC3" w:rsidTr="00BD272A">
        <w:tc>
          <w:tcPr>
            <w:tcW w:w="5066" w:type="dxa"/>
            <w:tcBorders>
              <w:top w:val="nil"/>
              <w:left w:val="nil"/>
              <w:bottom w:val="nil"/>
              <w:right w:val="nil"/>
            </w:tcBorders>
          </w:tcPr>
          <w:p w:rsidR="00C67E97" w:rsidRPr="005D2BC3" w:rsidRDefault="00C67E97" w:rsidP="00180889">
            <w:pPr>
              <w:pStyle w:val="Tabletextindenta"/>
              <w:spacing w:before="10" w:after="10"/>
            </w:pPr>
            <w:r>
              <w:t>Percentage of proactive inspection programs conducted in accordance with the annual program targets</w:t>
            </w:r>
          </w:p>
        </w:tc>
        <w:tc>
          <w:tcPr>
            <w:tcW w:w="1430" w:type="dxa"/>
            <w:tcBorders>
              <w:top w:val="nil"/>
              <w:left w:val="nil"/>
              <w:bottom w:val="nil"/>
              <w:right w:val="nil"/>
            </w:tcBorders>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shd w:val="clear" w:color="auto" w:fill="FFFF00"/>
              </w:rPr>
            </w:pPr>
          </w:p>
        </w:tc>
        <w:tc>
          <w:tcPr>
            <w:tcW w:w="1430" w:type="dxa"/>
            <w:tcBorders>
              <w:top w:val="nil"/>
              <w:left w:val="nil"/>
              <w:right w:val="nil"/>
            </w:tcBorders>
            <w:shd w:val="clear" w:color="auto" w:fill="auto"/>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shd w:val="clear" w:color="auto" w:fill="FFFF00"/>
              </w:rPr>
            </w:pPr>
          </w:p>
        </w:tc>
        <w:tc>
          <w:tcPr>
            <w:tcW w:w="1430" w:type="dxa"/>
            <w:tcBorders>
              <w:top w:val="nil"/>
              <w:left w:val="nil"/>
              <w:bottom w:val="nil"/>
              <w:right w:val="nil"/>
            </w:tcBorders>
            <w:shd w:val="clear" w:color="auto" w:fill="auto"/>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shd w:val="clear" w:color="auto" w:fill="FFFF00"/>
              </w:rPr>
            </w:pPr>
          </w:p>
        </w:tc>
      </w:tr>
      <w:tr w:rsidR="00C67E97" w:rsidRPr="005D2BC3" w:rsidTr="00BD272A">
        <w:tc>
          <w:tcPr>
            <w:tcW w:w="5066" w:type="dxa"/>
            <w:tcBorders>
              <w:top w:val="nil"/>
              <w:left w:val="nil"/>
              <w:bottom w:val="nil"/>
              <w:right w:val="nil"/>
            </w:tcBorders>
          </w:tcPr>
          <w:p w:rsidR="00C67E97" w:rsidRPr="007856E8" w:rsidRDefault="00C67E97" w:rsidP="007856E8">
            <w:pPr>
              <w:pStyle w:val="AIBlurb0"/>
              <w:numPr>
                <w:ilvl w:val="1"/>
                <w:numId w:val="7"/>
              </w:numPr>
              <w:tabs>
                <w:tab w:val="left" w:pos="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jc w:val="left"/>
              <w:rPr>
                <w:rFonts w:cs="Calibri"/>
              </w:rPr>
            </w:pPr>
            <w:r w:rsidRPr="007856E8">
              <w:rPr>
                <w:rFonts w:cs="Calibri"/>
              </w:rPr>
              <w:t xml:space="preserve">Proactive inspection programs conducted by </w:t>
            </w:r>
            <w:proofErr w:type="spellStart"/>
            <w:r w:rsidRPr="007856E8">
              <w:rPr>
                <w:rFonts w:cs="Calibri"/>
              </w:rPr>
              <w:t>WorkSafe</w:t>
            </w:r>
            <w:proofErr w:type="spellEnd"/>
            <w:r w:rsidRPr="007856E8">
              <w:rPr>
                <w:rFonts w:cs="Calibri"/>
              </w:rPr>
              <w:t xml:space="preserve"> ACT</w:t>
            </w:r>
            <w:r w:rsidR="007856E8">
              <w:rPr>
                <w:rFonts w:cs="Calibri"/>
                <w:vertAlign w:val="superscript"/>
              </w:rPr>
              <w:t>5</w:t>
            </w:r>
          </w:p>
        </w:tc>
        <w:tc>
          <w:tcPr>
            <w:tcW w:w="1430" w:type="dxa"/>
            <w:tcBorders>
              <w:top w:val="nil"/>
              <w:left w:val="nil"/>
              <w:bottom w:val="nil"/>
              <w:right w:val="nil"/>
            </w:tcBorders>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n/a</w:t>
            </w:r>
          </w:p>
        </w:tc>
        <w:tc>
          <w:tcPr>
            <w:tcW w:w="1430" w:type="dxa"/>
            <w:tcBorders>
              <w:top w:val="nil"/>
              <w:left w:val="nil"/>
              <w:right w:val="nil"/>
            </w:tcBorders>
            <w:shd w:val="clear" w:color="auto" w:fill="auto"/>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n/a</w:t>
            </w:r>
          </w:p>
        </w:tc>
        <w:tc>
          <w:tcPr>
            <w:tcW w:w="1430" w:type="dxa"/>
            <w:tcBorders>
              <w:top w:val="nil"/>
              <w:left w:val="nil"/>
              <w:bottom w:val="nil"/>
              <w:right w:val="nil"/>
            </w:tcBorders>
            <w:shd w:val="clear" w:color="auto" w:fill="auto"/>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100</w:t>
            </w:r>
            <w:r w:rsidRPr="005D2BC3">
              <w:rPr>
                <w:rFonts w:cs="Calibri"/>
                <w:szCs w:val="20"/>
              </w:rPr>
              <w:t>%</w:t>
            </w:r>
          </w:p>
        </w:tc>
      </w:tr>
      <w:tr w:rsidR="00C67E97" w:rsidRPr="005D2BC3" w:rsidTr="00BD272A">
        <w:tc>
          <w:tcPr>
            <w:tcW w:w="5066" w:type="dxa"/>
            <w:tcBorders>
              <w:top w:val="nil"/>
              <w:left w:val="nil"/>
              <w:bottom w:val="nil"/>
              <w:right w:val="nil"/>
            </w:tcBorders>
          </w:tcPr>
          <w:p w:rsidR="00C67E97" w:rsidRPr="003D555C" w:rsidRDefault="00C67E97" w:rsidP="007856E8">
            <w:pPr>
              <w:pStyle w:val="AIBlurb0"/>
              <w:numPr>
                <w:ilvl w:val="1"/>
                <w:numId w:val="7"/>
              </w:numPr>
              <w:tabs>
                <w:tab w:val="left" w:pos="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jc w:val="left"/>
              <w:rPr>
                <w:rFonts w:cs="Calibri"/>
              </w:rPr>
            </w:pPr>
            <w:r w:rsidRPr="003D555C">
              <w:rPr>
                <w:rFonts w:cs="Calibri"/>
              </w:rPr>
              <w:t>Proactive inspection programs conducted by Registration and Fair Trading (</w:t>
            </w:r>
            <w:proofErr w:type="spellStart"/>
            <w:r w:rsidRPr="003D555C">
              <w:rPr>
                <w:rFonts w:cs="Calibri"/>
              </w:rPr>
              <w:t>RaFT</w:t>
            </w:r>
            <w:proofErr w:type="spellEnd"/>
            <w:r w:rsidRPr="003D555C">
              <w:rPr>
                <w:rFonts w:cs="Calibri"/>
              </w:rPr>
              <w:t>)</w:t>
            </w:r>
            <w:r w:rsidR="007856E8">
              <w:rPr>
                <w:rFonts w:cs="Calibri"/>
                <w:vertAlign w:val="superscript"/>
              </w:rPr>
              <w:t xml:space="preserve"> 5</w:t>
            </w:r>
          </w:p>
        </w:tc>
        <w:tc>
          <w:tcPr>
            <w:tcW w:w="1430" w:type="dxa"/>
            <w:tcBorders>
              <w:top w:val="nil"/>
              <w:left w:val="nil"/>
              <w:bottom w:val="nil"/>
              <w:right w:val="nil"/>
            </w:tcBorders>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n/a</w:t>
            </w:r>
          </w:p>
        </w:tc>
        <w:tc>
          <w:tcPr>
            <w:tcW w:w="1430" w:type="dxa"/>
            <w:tcBorders>
              <w:top w:val="nil"/>
              <w:left w:val="nil"/>
              <w:bottom w:val="nil"/>
              <w:right w:val="nil"/>
            </w:tcBorders>
            <w:shd w:val="clear" w:color="auto" w:fill="auto"/>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n/a</w:t>
            </w:r>
          </w:p>
        </w:tc>
        <w:tc>
          <w:tcPr>
            <w:tcW w:w="1430" w:type="dxa"/>
            <w:tcBorders>
              <w:top w:val="nil"/>
              <w:left w:val="nil"/>
              <w:bottom w:val="nil"/>
              <w:right w:val="nil"/>
            </w:tcBorders>
            <w:shd w:val="clear" w:color="auto" w:fill="auto"/>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100</w:t>
            </w:r>
            <w:r w:rsidRPr="005D2BC3">
              <w:rPr>
                <w:rFonts w:cs="Calibri"/>
                <w:szCs w:val="20"/>
              </w:rPr>
              <w:t>%</w:t>
            </w:r>
          </w:p>
        </w:tc>
      </w:tr>
      <w:tr w:rsidR="00C67E97" w:rsidRPr="005D2BC3" w:rsidTr="00BD272A">
        <w:tc>
          <w:tcPr>
            <w:tcW w:w="5066" w:type="dxa"/>
            <w:tcBorders>
              <w:top w:val="nil"/>
              <w:left w:val="nil"/>
              <w:bottom w:val="nil"/>
              <w:right w:val="nil"/>
            </w:tcBorders>
          </w:tcPr>
          <w:p w:rsidR="00C67E97" w:rsidRPr="005D2BC3" w:rsidRDefault="00C67E97" w:rsidP="00180889">
            <w:pPr>
              <w:pStyle w:val="Tabletextindenta"/>
              <w:spacing w:before="10" w:after="10"/>
            </w:pPr>
            <w:r>
              <w:t>Percentage o</w:t>
            </w:r>
            <w:r w:rsidRPr="00AC0E4A">
              <w:t>f education activities conducted</w:t>
            </w:r>
            <w:r>
              <w:t xml:space="preserve"> </w:t>
            </w:r>
            <w:r w:rsidRPr="00AC0E4A">
              <w:t>in accordance with annual program targets</w:t>
            </w:r>
            <w:r w:rsidR="002C496F">
              <w:rPr>
                <w:vertAlign w:val="superscript"/>
              </w:rPr>
              <w:t>5</w:t>
            </w:r>
          </w:p>
        </w:tc>
        <w:tc>
          <w:tcPr>
            <w:tcW w:w="1430" w:type="dxa"/>
            <w:tcBorders>
              <w:top w:val="nil"/>
              <w:left w:val="nil"/>
              <w:bottom w:val="nil"/>
              <w:right w:val="nil"/>
            </w:tcBorders>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n/a</w:t>
            </w:r>
          </w:p>
        </w:tc>
        <w:tc>
          <w:tcPr>
            <w:tcW w:w="1430" w:type="dxa"/>
            <w:tcBorders>
              <w:top w:val="nil"/>
              <w:left w:val="nil"/>
              <w:bottom w:val="nil"/>
              <w:right w:val="nil"/>
            </w:tcBorders>
            <w:shd w:val="clear" w:color="auto" w:fill="auto"/>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n/a</w:t>
            </w:r>
          </w:p>
        </w:tc>
        <w:tc>
          <w:tcPr>
            <w:tcW w:w="1430" w:type="dxa"/>
            <w:tcBorders>
              <w:top w:val="nil"/>
              <w:left w:val="nil"/>
              <w:bottom w:val="nil"/>
              <w:right w:val="nil"/>
            </w:tcBorders>
            <w:shd w:val="clear" w:color="auto" w:fill="auto"/>
          </w:tcPr>
          <w:p w:rsidR="00C67E97" w:rsidRPr="005D2BC3"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100%</w:t>
            </w:r>
          </w:p>
        </w:tc>
      </w:tr>
      <w:tr w:rsidR="00C67E97" w:rsidRPr="009966FD" w:rsidTr="00BD272A">
        <w:tc>
          <w:tcPr>
            <w:tcW w:w="5066" w:type="dxa"/>
          </w:tcPr>
          <w:p w:rsidR="00C67E97" w:rsidRPr="009966FD" w:rsidRDefault="00C67E97" w:rsidP="00180889">
            <w:pPr>
              <w:pStyle w:val="Tabletextindenta"/>
              <w:spacing w:before="10" w:after="10"/>
            </w:pPr>
            <w:r w:rsidRPr="009966FD">
              <w:t>Taxi cab waiting times within required standard</w:t>
            </w:r>
          </w:p>
        </w:tc>
        <w:tc>
          <w:tcPr>
            <w:tcW w:w="1430" w:type="dxa"/>
            <w:shd w:val="clear" w:color="auto" w:fill="auto"/>
          </w:tcPr>
          <w:p w:rsidR="00C67E97" w:rsidRPr="009966FD" w:rsidRDefault="00C67E97" w:rsidP="00180889">
            <w:pPr>
              <w:pStyle w:val="AITableText"/>
              <w:spacing w:before="10" w:after="10"/>
            </w:pPr>
            <w:r w:rsidRPr="009966FD">
              <w:t>100%</w:t>
            </w:r>
          </w:p>
        </w:tc>
        <w:tc>
          <w:tcPr>
            <w:tcW w:w="1430" w:type="dxa"/>
            <w:shd w:val="clear" w:color="auto" w:fill="auto"/>
          </w:tcPr>
          <w:p w:rsidR="00C67E97" w:rsidRPr="009966FD" w:rsidRDefault="00C67E97" w:rsidP="00180889">
            <w:pPr>
              <w:pStyle w:val="AITableText"/>
              <w:spacing w:before="10" w:after="10"/>
            </w:pPr>
            <w:r>
              <w:t>100%</w:t>
            </w:r>
          </w:p>
        </w:tc>
        <w:tc>
          <w:tcPr>
            <w:tcW w:w="1430" w:type="dxa"/>
            <w:shd w:val="clear" w:color="auto" w:fill="auto"/>
          </w:tcPr>
          <w:p w:rsidR="00C67E97" w:rsidRPr="009966FD" w:rsidRDefault="00C67E97" w:rsidP="00180889">
            <w:pPr>
              <w:pStyle w:val="AITableText"/>
              <w:spacing w:before="10" w:after="10"/>
            </w:pPr>
            <w:r>
              <w:t>100%</w:t>
            </w:r>
          </w:p>
        </w:tc>
      </w:tr>
      <w:tr w:rsidR="00C67E97" w:rsidRPr="009966FD" w:rsidTr="00BD272A">
        <w:tc>
          <w:tcPr>
            <w:tcW w:w="5066" w:type="dxa"/>
          </w:tcPr>
          <w:p w:rsidR="00C67E97" w:rsidRPr="009966FD" w:rsidRDefault="00C67E97" w:rsidP="00180889">
            <w:pPr>
              <w:pStyle w:val="Tabletextindenta"/>
              <w:spacing w:before="10" w:after="10"/>
            </w:pPr>
            <w:r w:rsidRPr="009966FD">
              <w:t>Taxi cab waiting times (wheelchair accessible taxis) within required standard</w:t>
            </w:r>
          </w:p>
        </w:tc>
        <w:tc>
          <w:tcPr>
            <w:tcW w:w="1430" w:type="dxa"/>
            <w:shd w:val="clear" w:color="auto" w:fill="auto"/>
          </w:tcPr>
          <w:p w:rsidR="00C67E97" w:rsidRPr="009966FD" w:rsidRDefault="00C67E97" w:rsidP="00180889">
            <w:pPr>
              <w:pStyle w:val="AITableText"/>
              <w:spacing w:before="10" w:after="10"/>
            </w:pPr>
            <w:r w:rsidRPr="009966FD">
              <w:t>100%</w:t>
            </w:r>
          </w:p>
        </w:tc>
        <w:tc>
          <w:tcPr>
            <w:tcW w:w="1430" w:type="dxa"/>
            <w:shd w:val="clear" w:color="auto" w:fill="auto"/>
          </w:tcPr>
          <w:p w:rsidR="00C67E97" w:rsidRPr="009966FD" w:rsidRDefault="00C67E97" w:rsidP="00180889">
            <w:pPr>
              <w:pStyle w:val="AITableText"/>
              <w:spacing w:before="10" w:after="10"/>
            </w:pPr>
            <w:r>
              <w:t>100%</w:t>
            </w:r>
          </w:p>
        </w:tc>
        <w:tc>
          <w:tcPr>
            <w:tcW w:w="1430" w:type="dxa"/>
            <w:shd w:val="clear" w:color="auto" w:fill="auto"/>
          </w:tcPr>
          <w:p w:rsidR="00C67E97" w:rsidRPr="009966FD" w:rsidRDefault="00C67E97" w:rsidP="00180889">
            <w:pPr>
              <w:pStyle w:val="AITableText"/>
              <w:spacing w:before="10" w:after="10"/>
            </w:pPr>
            <w:r>
              <w:t>100%</w:t>
            </w:r>
          </w:p>
        </w:tc>
      </w:tr>
      <w:tr w:rsidR="00C67E97" w:rsidRPr="009966FD" w:rsidTr="00BD272A">
        <w:tc>
          <w:tcPr>
            <w:tcW w:w="5066" w:type="dxa"/>
          </w:tcPr>
          <w:p w:rsidR="00C67E97" w:rsidRPr="009966FD" w:rsidRDefault="00C67E97" w:rsidP="00180889">
            <w:pPr>
              <w:pStyle w:val="Tabletextindenta"/>
              <w:spacing w:before="10" w:after="10"/>
            </w:pPr>
            <w:r w:rsidRPr="009966FD">
              <w:t>Number of random vehicle inspections per annum</w:t>
            </w:r>
          </w:p>
        </w:tc>
        <w:tc>
          <w:tcPr>
            <w:tcW w:w="1430" w:type="dxa"/>
            <w:shd w:val="clear" w:color="auto" w:fill="auto"/>
          </w:tcPr>
          <w:p w:rsidR="00C67E97" w:rsidRPr="009966FD" w:rsidRDefault="00C67E97" w:rsidP="00180889">
            <w:pPr>
              <w:pStyle w:val="AITableText"/>
              <w:spacing w:before="10" w:after="10"/>
            </w:pPr>
            <w:r w:rsidRPr="009966FD">
              <w:t>56,000</w:t>
            </w:r>
          </w:p>
        </w:tc>
        <w:tc>
          <w:tcPr>
            <w:tcW w:w="1430" w:type="dxa"/>
            <w:shd w:val="clear" w:color="auto" w:fill="auto"/>
          </w:tcPr>
          <w:p w:rsidR="00C67E97" w:rsidRPr="009966FD" w:rsidRDefault="00C67E97" w:rsidP="00180889">
            <w:pPr>
              <w:pStyle w:val="AITableText"/>
              <w:spacing w:before="10" w:after="10"/>
            </w:pPr>
            <w:r>
              <w:t>56,000</w:t>
            </w:r>
          </w:p>
        </w:tc>
        <w:tc>
          <w:tcPr>
            <w:tcW w:w="1430" w:type="dxa"/>
            <w:shd w:val="clear" w:color="auto" w:fill="auto"/>
          </w:tcPr>
          <w:p w:rsidR="00C67E97" w:rsidRPr="009966FD" w:rsidRDefault="00C67E97" w:rsidP="00180889">
            <w:pPr>
              <w:pStyle w:val="AITableText"/>
              <w:spacing w:before="10" w:after="10"/>
            </w:pPr>
            <w:r>
              <w:t>56,000</w:t>
            </w:r>
          </w:p>
        </w:tc>
      </w:tr>
      <w:tr w:rsidR="00C67E97" w:rsidRPr="009966FD" w:rsidTr="00BD272A">
        <w:tc>
          <w:tcPr>
            <w:tcW w:w="5066" w:type="dxa"/>
          </w:tcPr>
          <w:p w:rsidR="00C67E97" w:rsidRPr="009966FD" w:rsidRDefault="00C67E97" w:rsidP="00180889">
            <w:pPr>
              <w:pStyle w:val="Tabletextindenta"/>
              <w:spacing w:before="10" w:after="10"/>
            </w:pPr>
            <w:r w:rsidRPr="009966FD">
              <w:t>Number of audits of accredited driving instructors per annum</w:t>
            </w:r>
          </w:p>
        </w:tc>
        <w:tc>
          <w:tcPr>
            <w:tcW w:w="1430" w:type="dxa"/>
            <w:shd w:val="clear" w:color="auto" w:fill="auto"/>
          </w:tcPr>
          <w:p w:rsidR="00C67E97" w:rsidRPr="009966FD" w:rsidRDefault="00C67E97" w:rsidP="00180889">
            <w:pPr>
              <w:pStyle w:val="AITableText"/>
              <w:spacing w:before="10" w:after="10"/>
            </w:pPr>
            <w:r w:rsidRPr="009966FD">
              <w:t>440</w:t>
            </w:r>
          </w:p>
        </w:tc>
        <w:tc>
          <w:tcPr>
            <w:tcW w:w="1430" w:type="dxa"/>
            <w:shd w:val="clear" w:color="auto" w:fill="auto"/>
          </w:tcPr>
          <w:p w:rsidR="00C67E97" w:rsidRPr="009966FD" w:rsidRDefault="00C67E97" w:rsidP="00180889">
            <w:pPr>
              <w:pStyle w:val="AITableText"/>
              <w:spacing w:before="10" w:after="10"/>
            </w:pPr>
            <w:r>
              <w:t>440</w:t>
            </w:r>
          </w:p>
        </w:tc>
        <w:tc>
          <w:tcPr>
            <w:tcW w:w="1430" w:type="dxa"/>
            <w:shd w:val="clear" w:color="auto" w:fill="auto"/>
          </w:tcPr>
          <w:p w:rsidR="00C67E97" w:rsidRPr="009966FD" w:rsidRDefault="00C67E97" w:rsidP="00180889">
            <w:pPr>
              <w:pStyle w:val="AITableText"/>
              <w:spacing w:before="10" w:after="10"/>
            </w:pPr>
            <w:r>
              <w:t>440</w:t>
            </w:r>
          </w:p>
        </w:tc>
      </w:tr>
      <w:tr w:rsidR="00C67E97" w:rsidRPr="009966FD" w:rsidTr="00BD272A">
        <w:tc>
          <w:tcPr>
            <w:tcW w:w="5066" w:type="dxa"/>
          </w:tcPr>
          <w:p w:rsidR="00C67E97" w:rsidRPr="009966FD" w:rsidRDefault="00C67E97" w:rsidP="00180889">
            <w:pPr>
              <w:pStyle w:val="Tabletextindenta"/>
              <w:spacing w:before="10" w:after="10"/>
            </w:pPr>
            <w:r w:rsidRPr="009966FD">
              <w:t>Number of audits of authorised vehicle examiners per annum</w:t>
            </w:r>
          </w:p>
        </w:tc>
        <w:tc>
          <w:tcPr>
            <w:tcW w:w="1430" w:type="dxa"/>
            <w:shd w:val="clear" w:color="auto" w:fill="auto"/>
          </w:tcPr>
          <w:p w:rsidR="00C67E97" w:rsidRPr="009966FD" w:rsidRDefault="00C67E97" w:rsidP="00180889">
            <w:pPr>
              <w:pStyle w:val="AITableText"/>
              <w:spacing w:before="10" w:after="10"/>
            </w:pPr>
            <w:r w:rsidRPr="009966FD">
              <w:t>600</w:t>
            </w:r>
          </w:p>
        </w:tc>
        <w:tc>
          <w:tcPr>
            <w:tcW w:w="1430" w:type="dxa"/>
            <w:shd w:val="clear" w:color="auto" w:fill="auto"/>
          </w:tcPr>
          <w:p w:rsidR="00C67E97" w:rsidRPr="009966FD" w:rsidRDefault="00C67E97" w:rsidP="00180889">
            <w:pPr>
              <w:pStyle w:val="AITableText"/>
              <w:spacing w:before="10" w:after="10"/>
            </w:pPr>
            <w:r>
              <w:t>600</w:t>
            </w:r>
          </w:p>
        </w:tc>
        <w:tc>
          <w:tcPr>
            <w:tcW w:w="1430" w:type="dxa"/>
            <w:shd w:val="clear" w:color="auto" w:fill="auto"/>
          </w:tcPr>
          <w:p w:rsidR="00C67E97" w:rsidRPr="009966FD" w:rsidRDefault="00C67E97" w:rsidP="00180889">
            <w:pPr>
              <w:pStyle w:val="AITableText"/>
              <w:spacing w:before="10" w:after="10"/>
            </w:pPr>
            <w:r>
              <w:t>600</w:t>
            </w:r>
          </w:p>
        </w:tc>
      </w:tr>
      <w:tr w:rsidR="00C67E97" w:rsidRPr="009966FD" w:rsidTr="00BD272A">
        <w:tc>
          <w:tcPr>
            <w:tcW w:w="5066" w:type="dxa"/>
          </w:tcPr>
          <w:p w:rsidR="00C67E97" w:rsidRPr="009966FD" w:rsidRDefault="00C67E97" w:rsidP="00180889">
            <w:pPr>
              <w:pStyle w:val="Tabletextindenta"/>
              <w:spacing w:before="10" w:after="10"/>
            </w:pPr>
            <w:r w:rsidRPr="009966FD">
              <w:t>Percentage of "in use" time of fixed speed cameras</w:t>
            </w:r>
          </w:p>
        </w:tc>
        <w:tc>
          <w:tcPr>
            <w:tcW w:w="1430" w:type="dxa"/>
            <w:shd w:val="clear" w:color="auto" w:fill="auto"/>
          </w:tcPr>
          <w:p w:rsidR="00C67E97" w:rsidRPr="009966FD" w:rsidRDefault="00C67E97" w:rsidP="00180889">
            <w:pPr>
              <w:pStyle w:val="AITableText"/>
              <w:spacing w:before="10" w:after="10"/>
            </w:pPr>
            <w:r w:rsidRPr="009966FD">
              <w:t>95%</w:t>
            </w:r>
          </w:p>
        </w:tc>
        <w:tc>
          <w:tcPr>
            <w:tcW w:w="1430" w:type="dxa"/>
            <w:shd w:val="clear" w:color="auto" w:fill="auto"/>
          </w:tcPr>
          <w:p w:rsidR="00C67E97" w:rsidRPr="009966FD" w:rsidRDefault="00C67E97" w:rsidP="00180889">
            <w:pPr>
              <w:pStyle w:val="AITableText"/>
              <w:spacing w:before="10" w:after="10"/>
            </w:pPr>
            <w:r>
              <w:t>95%</w:t>
            </w:r>
          </w:p>
        </w:tc>
        <w:tc>
          <w:tcPr>
            <w:tcW w:w="1430" w:type="dxa"/>
            <w:shd w:val="clear" w:color="auto" w:fill="auto"/>
          </w:tcPr>
          <w:p w:rsidR="00C67E97" w:rsidRPr="009966FD" w:rsidRDefault="00C67E97" w:rsidP="00180889">
            <w:pPr>
              <w:pStyle w:val="AITableText"/>
              <w:spacing w:before="10" w:after="10"/>
            </w:pPr>
            <w:r>
              <w:t>95%</w:t>
            </w:r>
          </w:p>
        </w:tc>
      </w:tr>
      <w:tr w:rsidR="00C67E97" w:rsidRPr="002E3DCC" w:rsidTr="00BD272A">
        <w:tc>
          <w:tcPr>
            <w:tcW w:w="5066" w:type="dxa"/>
            <w:tcBorders>
              <w:top w:val="nil"/>
              <w:left w:val="nil"/>
              <w:bottom w:val="single" w:sz="4" w:space="0" w:color="auto"/>
              <w:right w:val="nil"/>
            </w:tcBorders>
          </w:tcPr>
          <w:p w:rsidR="00C67E97" w:rsidRPr="002E3DCC" w:rsidRDefault="00C67E97" w:rsidP="00180889">
            <w:pPr>
              <w:pStyle w:val="AIIndent"/>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ind w:left="0" w:firstLine="0"/>
              <w:rPr>
                <w:rFonts w:cs="Calibri"/>
                <w:sz w:val="12"/>
                <w:szCs w:val="12"/>
              </w:rPr>
            </w:pPr>
          </w:p>
        </w:tc>
        <w:tc>
          <w:tcPr>
            <w:tcW w:w="1430" w:type="dxa"/>
            <w:tcBorders>
              <w:top w:val="nil"/>
              <w:left w:val="nil"/>
              <w:bottom w:val="single" w:sz="4" w:space="0" w:color="auto"/>
              <w:right w:val="nil"/>
            </w:tcBorders>
          </w:tcPr>
          <w:p w:rsidR="00C67E97" w:rsidRPr="002E3DCC"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 w:val="12"/>
                <w:szCs w:val="12"/>
              </w:rPr>
            </w:pPr>
          </w:p>
        </w:tc>
        <w:tc>
          <w:tcPr>
            <w:tcW w:w="1430" w:type="dxa"/>
            <w:tcBorders>
              <w:top w:val="nil"/>
              <w:left w:val="nil"/>
              <w:bottom w:val="single" w:sz="4" w:space="0" w:color="auto"/>
              <w:right w:val="nil"/>
            </w:tcBorders>
          </w:tcPr>
          <w:p w:rsidR="00C67E97" w:rsidRPr="002E3DCC"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 w:val="12"/>
                <w:szCs w:val="12"/>
              </w:rPr>
            </w:pPr>
          </w:p>
        </w:tc>
        <w:tc>
          <w:tcPr>
            <w:tcW w:w="1430" w:type="dxa"/>
            <w:tcBorders>
              <w:top w:val="nil"/>
              <w:left w:val="nil"/>
              <w:bottom w:val="single" w:sz="4" w:space="0" w:color="auto"/>
              <w:right w:val="nil"/>
            </w:tcBorders>
          </w:tcPr>
          <w:p w:rsidR="00C67E97" w:rsidRPr="002E3DCC" w:rsidRDefault="00C67E97" w:rsidP="0018088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 w:val="12"/>
                <w:szCs w:val="12"/>
              </w:rPr>
            </w:pPr>
          </w:p>
        </w:tc>
      </w:tr>
    </w:tbl>
    <w:p w:rsidR="00C67E97" w:rsidRPr="00FC03F1" w:rsidRDefault="00C67E97" w:rsidP="00C67E97">
      <w:pPr>
        <w:pStyle w:val="NoteHeading0"/>
      </w:pPr>
      <w:r w:rsidRPr="00FC03F1">
        <w:t>Note</w:t>
      </w:r>
      <w:r>
        <w:t>s</w:t>
      </w:r>
      <w:r w:rsidRPr="00FC03F1">
        <w:t>:</w:t>
      </w:r>
    </w:p>
    <w:p w:rsidR="00C67E97" w:rsidRPr="009966FD" w:rsidRDefault="00C67E97" w:rsidP="00A2331E">
      <w:pPr>
        <w:pStyle w:val="AINotes"/>
        <w:numPr>
          <w:ilvl w:val="0"/>
          <w:numId w:val="42"/>
        </w:numPr>
      </w:pPr>
      <w:r w:rsidRPr="009966FD">
        <w:t xml:space="preserve">Continued consistent, pro-active and educative type inspections have resulted in an improvement by licensees to conform </w:t>
      </w:r>
      <w:proofErr w:type="gramStart"/>
      <w:r w:rsidRPr="009966FD">
        <w:t>with</w:t>
      </w:r>
      <w:proofErr w:type="gramEnd"/>
      <w:r w:rsidRPr="009966FD">
        <w:t xml:space="preserve"> legislation.</w:t>
      </w:r>
    </w:p>
    <w:p w:rsidR="00C258E6" w:rsidRPr="00C258E6" w:rsidRDefault="00C67E97" w:rsidP="00A2331E">
      <w:pPr>
        <w:pStyle w:val="AINotes"/>
        <w:numPr>
          <w:ilvl w:val="0"/>
          <w:numId w:val="42"/>
        </w:numPr>
      </w:pPr>
      <w:proofErr w:type="spellStart"/>
      <w:r w:rsidRPr="009966FD">
        <w:t>WorkSafe</w:t>
      </w:r>
      <w:proofErr w:type="spellEnd"/>
      <w:r w:rsidRPr="009966FD">
        <w:t xml:space="preserve"> has been focusing on areas of non-compliance with particular attention on the Construction sector.  As the majority of workplace visits</w:t>
      </w:r>
      <w:r>
        <w:t xml:space="preserve"> </w:t>
      </w:r>
      <w:r w:rsidRPr="009966FD">
        <w:t xml:space="preserve">have occurred in areas where there is an expectation that compliance is lower than it should be, </w:t>
      </w:r>
      <w:r>
        <w:t xml:space="preserve">the expected </w:t>
      </w:r>
      <w:r w:rsidRPr="009966FD">
        <w:t xml:space="preserve">result </w:t>
      </w:r>
      <w:r>
        <w:t xml:space="preserve">is </w:t>
      </w:r>
      <w:r w:rsidRPr="009966FD">
        <w:t xml:space="preserve">significantly lower than the target of </w:t>
      </w:r>
      <w:r w:rsidR="001F5300">
        <w:t>50</w:t>
      </w:r>
      <w:r w:rsidR="00C258E6">
        <w:t>%.</w:t>
      </w:r>
      <w:r w:rsidR="00C258E6">
        <w:br w:type="page"/>
      </w:r>
    </w:p>
    <w:p w:rsidR="00C258E6" w:rsidRPr="00D325FA" w:rsidRDefault="00C258E6" w:rsidP="00C258E6">
      <w:pPr>
        <w:pStyle w:val="Heading3"/>
        <w:spacing w:before="0"/>
      </w:pPr>
      <w:proofErr w:type="gramStart"/>
      <w:r w:rsidRPr="00D325FA">
        <w:lastRenderedPageBreak/>
        <w:t>Accountability Indicators</w:t>
      </w:r>
      <w:r>
        <w:t xml:space="preserve"> cont.</w:t>
      </w:r>
      <w:proofErr w:type="gramEnd"/>
    </w:p>
    <w:p w:rsidR="001F5300" w:rsidRDefault="001F5300" w:rsidP="00A2331E">
      <w:pPr>
        <w:pStyle w:val="AINotes"/>
        <w:numPr>
          <w:ilvl w:val="0"/>
          <w:numId w:val="42"/>
        </w:numPr>
      </w:pPr>
      <w:r>
        <w:t>The positive variance in the workers’ compensation data provided for the period largely can be explained by the level of education given to the industries visited.</w:t>
      </w:r>
    </w:p>
    <w:p w:rsidR="002C496F" w:rsidRDefault="002C496F" w:rsidP="00A2331E">
      <w:pPr>
        <w:pStyle w:val="AINotes"/>
        <w:numPr>
          <w:ilvl w:val="0"/>
          <w:numId w:val="42"/>
        </w:numPr>
      </w:pPr>
      <w:r w:rsidRPr="007B611C">
        <w:t>This performance indicator</w:t>
      </w:r>
      <w:r w:rsidR="009B6291">
        <w:t xml:space="preserve"> will be discontinued in 2013</w:t>
      </w:r>
      <w:r w:rsidR="009B6291">
        <w:noBreakHyphen/>
      </w:r>
      <w:r w:rsidRPr="007B611C">
        <w:t xml:space="preserve">14. </w:t>
      </w:r>
    </w:p>
    <w:p w:rsidR="001F5300" w:rsidRDefault="001F5300" w:rsidP="00A2331E">
      <w:pPr>
        <w:pStyle w:val="AINotes"/>
        <w:numPr>
          <w:ilvl w:val="0"/>
          <w:numId w:val="42"/>
        </w:numPr>
      </w:pPr>
      <w:r>
        <w:t>New measure.</w:t>
      </w:r>
    </w:p>
    <w:p w:rsidR="001F07B8" w:rsidRDefault="001F07B8" w:rsidP="001F07B8">
      <w:pPr>
        <w:pStyle w:val="AINotes"/>
        <w:numPr>
          <w:ilvl w:val="0"/>
          <w:numId w:val="0"/>
        </w:numPr>
        <w:ind w:left="357"/>
      </w:pPr>
    </w:p>
    <w:tbl>
      <w:tblPr>
        <w:tblW w:w="9356" w:type="dxa"/>
        <w:tblLayout w:type="fixed"/>
        <w:tblLook w:val="0000"/>
      </w:tblPr>
      <w:tblGrid>
        <w:gridCol w:w="5066"/>
        <w:gridCol w:w="1430"/>
        <w:gridCol w:w="1430"/>
        <w:gridCol w:w="1430"/>
      </w:tblGrid>
      <w:tr w:rsidR="00C67E97" w:rsidRPr="005D2BC3" w:rsidTr="00BD272A">
        <w:tc>
          <w:tcPr>
            <w:tcW w:w="5066" w:type="dxa"/>
            <w:tcBorders>
              <w:top w:val="single" w:sz="4" w:space="0" w:color="auto"/>
              <w:left w:val="nil"/>
              <w:bottom w:val="single" w:sz="4" w:space="0" w:color="auto"/>
              <w:right w:val="nil"/>
            </w:tcBorders>
          </w:tcPr>
          <w:p w:rsidR="00C67E97" w:rsidRPr="005D2BC3" w:rsidRDefault="00C67E97" w:rsidP="0072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20"/>
              </w:rPr>
            </w:pPr>
          </w:p>
        </w:tc>
        <w:tc>
          <w:tcPr>
            <w:tcW w:w="1430" w:type="dxa"/>
            <w:tcBorders>
              <w:top w:val="single" w:sz="4" w:space="0" w:color="auto"/>
              <w:left w:val="nil"/>
              <w:bottom w:val="single" w:sz="4" w:space="0" w:color="auto"/>
              <w:right w:val="nil"/>
            </w:tcBorders>
          </w:tcPr>
          <w:p w:rsidR="00C67E97" w:rsidRPr="005D2BC3"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r>
              <w:rPr>
                <w:rFonts w:cs="Calibri"/>
              </w:rPr>
              <w:t>2012-13</w:t>
            </w:r>
            <w:r w:rsidRPr="005D2BC3">
              <w:rPr>
                <w:rFonts w:cs="Calibri"/>
              </w:rPr>
              <w:br/>
              <w:t>Targets</w:t>
            </w:r>
          </w:p>
        </w:tc>
        <w:tc>
          <w:tcPr>
            <w:tcW w:w="1430" w:type="dxa"/>
            <w:tcBorders>
              <w:top w:val="single" w:sz="4" w:space="0" w:color="auto"/>
              <w:left w:val="nil"/>
              <w:bottom w:val="single" w:sz="4" w:space="0" w:color="auto"/>
              <w:right w:val="nil"/>
            </w:tcBorders>
          </w:tcPr>
          <w:p w:rsidR="00C67E97" w:rsidRPr="005D2BC3"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r>
              <w:rPr>
                <w:rFonts w:cs="Calibri"/>
              </w:rPr>
              <w:t>2012-13</w:t>
            </w:r>
            <w:r w:rsidRPr="005D2BC3">
              <w:rPr>
                <w:rFonts w:cs="Calibri"/>
              </w:rPr>
              <w:br/>
              <w:t>Est. Outcome</w:t>
            </w:r>
          </w:p>
        </w:tc>
        <w:tc>
          <w:tcPr>
            <w:tcW w:w="1430" w:type="dxa"/>
            <w:tcBorders>
              <w:top w:val="single" w:sz="4" w:space="0" w:color="auto"/>
              <w:left w:val="nil"/>
              <w:bottom w:val="single" w:sz="4" w:space="0" w:color="auto"/>
              <w:right w:val="nil"/>
            </w:tcBorders>
          </w:tcPr>
          <w:p w:rsidR="00C67E97" w:rsidRPr="005D2BC3"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r>
              <w:rPr>
                <w:rFonts w:cs="Calibri"/>
              </w:rPr>
              <w:t>2013-14</w:t>
            </w:r>
            <w:r w:rsidRPr="005D2BC3">
              <w:rPr>
                <w:rFonts w:cs="Calibri"/>
              </w:rPr>
              <w:br/>
              <w:t>Targets</w:t>
            </w:r>
          </w:p>
        </w:tc>
      </w:tr>
      <w:tr w:rsidR="00C67E97" w:rsidRPr="005D2BC3" w:rsidTr="00BD272A">
        <w:tc>
          <w:tcPr>
            <w:tcW w:w="5066" w:type="dxa"/>
            <w:tcBorders>
              <w:top w:val="single" w:sz="4" w:space="0" w:color="auto"/>
              <w:left w:val="nil"/>
              <w:bottom w:val="single" w:sz="4" w:space="0" w:color="auto"/>
              <w:right w:val="nil"/>
            </w:tcBorders>
          </w:tcPr>
          <w:p w:rsidR="00C67E97" w:rsidRPr="005D2BC3"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r w:rsidRPr="005D2BC3">
              <w:rPr>
                <w:rFonts w:cs="Calibri"/>
              </w:rPr>
              <w:t>Output Class 2:  Corrective Services</w:t>
            </w:r>
          </w:p>
        </w:tc>
        <w:tc>
          <w:tcPr>
            <w:tcW w:w="1430" w:type="dxa"/>
            <w:tcBorders>
              <w:top w:val="single" w:sz="4" w:space="0" w:color="auto"/>
              <w:left w:val="nil"/>
              <w:bottom w:val="single" w:sz="4" w:space="0" w:color="auto"/>
              <w:right w:val="nil"/>
            </w:tcBorders>
            <w:vAlign w:val="center"/>
          </w:tcPr>
          <w:p w:rsidR="00C67E97" w:rsidRPr="005D2BC3"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highlight w:val="yellow"/>
                <w:shd w:val="clear" w:color="auto" w:fill="FFFF00"/>
              </w:rPr>
            </w:pPr>
          </w:p>
        </w:tc>
        <w:tc>
          <w:tcPr>
            <w:tcW w:w="1430" w:type="dxa"/>
            <w:tcBorders>
              <w:top w:val="single" w:sz="4" w:space="0" w:color="auto"/>
              <w:left w:val="nil"/>
              <w:bottom w:val="single" w:sz="4" w:space="0" w:color="auto"/>
              <w:right w:val="nil"/>
            </w:tcBorders>
            <w:vAlign w:val="center"/>
          </w:tcPr>
          <w:p w:rsidR="00C67E97" w:rsidRPr="005D2BC3"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highlight w:val="yellow"/>
              </w:rPr>
            </w:pPr>
          </w:p>
        </w:tc>
        <w:tc>
          <w:tcPr>
            <w:tcW w:w="1430" w:type="dxa"/>
            <w:tcBorders>
              <w:top w:val="single" w:sz="4" w:space="0" w:color="auto"/>
              <w:left w:val="nil"/>
              <w:bottom w:val="single" w:sz="4" w:space="0" w:color="auto"/>
              <w:right w:val="nil"/>
            </w:tcBorders>
            <w:vAlign w:val="center"/>
          </w:tcPr>
          <w:p w:rsidR="00C67E97" w:rsidRPr="005D2BC3"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highlight w:val="yellow"/>
                <w:shd w:val="clear" w:color="auto" w:fill="FFFF00"/>
              </w:rPr>
            </w:pPr>
          </w:p>
        </w:tc>
      </w:tr>
      <w:tr w:rsidR="00C67E97" w:rsidRPr="005D2BC3" w:rsidTr="00BD272A">
        <w:tc>
          <w:tcPr>
            <w:tcW w:w="5066" w:type="dxa"/>
            <w:tcBorders>
              <w:top w:val="single" w:sz="4" w:space="0" w:color="auto"/>
              <w:left w:val="nil"/>
              <w:bottom w:val="single" w:sz="4" w:space="0" w:color="auto"/>
              <w:right w:val="nil"/>
            </w:tcBorders>
          </w:tcPr>
          <w:p w:rsidR="00C67E97" w:rsidRPr="005D2BC3"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r w:rsidRPr="005D2BC3">
              <w:rPr>
                <w:rFonts w:cs="Calibri"/>
              </w:rPr>
              <w:t>Output 2.1:  Corrective Services</w:t>
            </w:r>
          </w:p>
        </w:tc>
        <w:tc>
          <w:tcPr>
            <w:tcW w:w="1430" w:type="dxa"/>
            <w:tcBorders>
              <w:top w:val="single" w:sz="4" w:space="0" w:color="auto"/>
              <w:left w:val="nil"/>
              <w:bottom w:val="single" w:sz="4" w:space="0" w:color="auto"/>
              <w:right w:val="nil"/>
            </w:tcBorders>
            <w:vAlign w:val="center"/>
          </w:tcPr>
          <w:p w:rsidR="00C67E97" w:rsidRPr="005D2BC3"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highlight w:val="yellow"/>
                <w:shd w:val="clear" w:color="auto" w:fill="FFFF00"/>
              </w:rPr>
            </w:pPr>
          </w:p>
        </w:tc>
        <w:tc>
          <w:tcPr>
            <w:tcW w:w="1430" w:type="dxa"/>
            <w:tcBorders>
              <w:top w:val="single" w:sz="4" w:space="0" w:color="auto"/>
              <w:left w:val="nil"/>
              <w:bottom w:val="single" w:sz="4" w:space="0" w:color="auto"/>
              <w:right w:val="nil"/>
            </w:tcBorders>
            <w:vAlign w:val="center"/>
          </w:tcPr>
          <w:p w:rsidR="00C67E97" w:rsidRPr="005D2BC3"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highlight w:val="yellow"/>
              </w:rPr>
            </w:pPr>
          </w:p>
        </w:tc>
        <w:tc>
          <w:tcPr>
            <w:tcW w:w="1430" w:type="dxa"/>
            <w:tcBorders>
              <w:top w:val="single" w:sz="4" w:space="0" w:color="auto"/>
              <w:left w:val="nil"/>
              <w:bottom w:val="single" w:sz="4" w:space="0" w:color="auto"/>
              <w:right w:val="nil"/>
            </w:tcBorders>
            <w:vAlign w:val="center"/>
          </w:tcPr>
          <w:p w:rsidR="00C67E97" w:rsidRPr="005D2BC3"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highlight w:val="yellow"/>
                <w:shd w:val="clear" w:color="auto" w:fill="FFFF00"/>
              </w:rPr>
            </w:pPr>
          </w:p>
        </w:tc>
      </w:tr>
      <w:tr w:rsidR="00C67E97" w:rsidRPr="005D2BC3" w:rsidTr="00BD272A">
        <w:tc>
          <w:tcPr>
            <w:tcW w:w="5066" w:type="dxa"/>
            <w:tcBorders>
              <w:top w:val="nil"/>
              <w:left w:val="nil"/>
              <w:bottom w:val="nil"/>
              <w:right w:val="nil"/>
            </w:tcBorders>
          </w:tcPr>
          <w:p w:rsidR="00C67E97" w:rsidRPr="005D2BC3" w:rsidRDefault="00C67E97" w:rsidP="00180889">
            <w:pPr>
              <w:pStyle w:val="Tabletextindenta"/>
              <w:numPr>
                <w:ilvl w:val="0"/>
                <w:numId w:val="63"/>
              </w:numPr>
            </w:pPr>
            <w:r w:rsidRPr="005D2BC3">
              <w:t xml:space="preserve">Reduced risk of offender re-offending for clients of ACT Corrective Services: </w:t>
            </w:r>
            <w:r w:rsidRPr="005D2BC3">
              <w:softHyphen/>
              <w:t xml:space="preserve"> percentage of offenders whose assessed risk reduces over time</w:t>
            </w:r>
            <w:r w:rsidRPr="00180889">
              <w:rPr>
                <w:vertAlign w:val="superscript"/>
              </w:rPr>
              <w:t>1</w:t>
            </w:r>
          </w:p>
        </w:tc>
        <w:tc>
          <w:tcPr>
            <w:tcW w:w="1430" w:type="dxa"/>
            <w:tcBorders>
              <w:top w:val="nil"/>
              <w:left w:val="nil"/>
              <w:bottom w:val="nil"/>
              <w:right w:val="nil"/>
            </w:tcBorders>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r w:rsidRPr="005D2BC3">
              <w:rPr>
                <w:rFonts w:cs="Calibri"/>
                <w:szCs w:val="20"/>
              </w:rPr>
              <w:t>68%</w:t>
            </w:r>
          </w:p>
        </w:tc>
        <w:tc>
          <w:tcPr>
            <w:tcW w:w="1430"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r>
              <w:rPr>
                <w:rFonts w:cs="Calibri"/>
                <w:szCs w:val="20"/>
              </w:rPr>
              <w:t>57%</w:t>
            </w:r>
          </w:p>
        </w:tc>
        <w:tc>
          <w:tcPr>
            <w:tcW w:w="1430"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r>
              <w:rPr>
                <w:rFonts w:cs="Calibri"/>
                <w:szCs w:val="20"/>
              </w:rPr>
              <w:t>n/a</w:t>
            </w:r>
          </w:p>
        </w:tc>
      </w:tr>
      <w:tr w:rsidR="00C67E97" w:rsidRPr="005D2BC3" w:rsidTr="00BD272A">
        <w:tc>
          <w:tcPr>
            <w:tcW w:w="5066" w:type="dxa"/>
            <w:tcBorders>
              <w:top w:val="nil"/>
              <w:left w:val="nil"/>
              <w:bottom w:val="nil"/>
              <w:right w:val="nil"/>
            </w:tcBorders>
          </w:tcPr>
          <w:p w:rsidR="00C67E97" w:rsidRPr="005D2BC3" w:rsidRDefault="00C67E97" w:rsidP="005E1840">
            <w:pPr>
              <w:pStyle w:val="Tabletextindenta"/>
            </w:pPr>
            <w:r>
              <w:t>Completion rates of Community Corrections Orders: The proportion of Community Corrections supervision orders successfully completed within the counting period</w:t>
            </w:r>
            <w:r w:rsidR="008F0D08">
              <w:rPr>
                <w:vertAlign w:val="superscript"/>
              </w:rPr>
              <w:t>2</w:t>
            </w:r>
          </w:p>
        </w:tc>
        <w:tc>
          <w:tcPr>
            <w:tcW w:w="1430" w:type="dxa"/>
            <w:tcBorders>
              <w:top w:val="nil"/>
              <w:left w:val="nil"/>
              <w:bottom w:val="nil"/>
              <w:right w:val="nil"/>
            </w:tcBorders>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r>
              <w:rPr>
                <w:rFonts w:cs="Calibri"/>
                <w:szCs w:val="20"/>
              </w:rPr>
              <w:t>n/a</w:t>
            </w:r>
          </w:p>
        </w:tc>
        <w:tc>
          <w:tcPr>
            <w:tcW w:w="1430"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r>
              <w:rPr>
                <w:rFonts w:cs="Calibri"/>
                <w:szCs w:val="20"/>
              </w:rPr>
              <w:t>n/a</w:t>
            </w:r>
          </w:p>
        </w:tc>
        <w:tc>
          <w:tcPr>
            <w:tcW w:w="1430" w:type="dxa"/>
            <w:tcBorders>
              <w:top w:val="nil"/>
              <w:left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r>
              <w:rPr>
                <w:rFonts w:cs="Calibri"/>
                <w:szCs w:val="20"/>
              </w:rPr>
              <w:t>8</w:t>
            </w:r>
            <w:r w:rsidRPr="005D2BC3">
              <w:rPr>
                <w:rFonts w:cs="Calibri"/>
                <w:szCs w:val="20"/>
              </w:rPr>
              <w:t>0%</w:t>
            </w:r>
          </w:p>
        </w:tc>
      </w:tr>
      <w:tr w:rsidR="00C67E97" w:rsidRPr="005D2BC3" w:rsidTr="00BD272A">
        <w:tc>
          <w:tcPr>
            <w:tcW w:w="5066" w:type="dxa"/>
            <w:tcBorders>
              <w:top w:val="nil"/>
              <w:left w:val="nil"/>
              <w:bottom w:val="nil"/>
              <w:right w:val="nil"/>
            </w:tcBorders>
          </w:tcPr>
          <w:p w:rsidR="00C67E97" w:rsidRPr="005D2BC3" w:rsidRDefault="00C67E97" w:rsidP="005E1840">
            <w:pPr>
              <w:pStyle w:val="Tabletextindenta"/>
            </w:pPr>
            <w:r w:rsidRPr="005D2BC3">
              <w:t xml:space="preserve">ACT Corrective Services to refer offenders to programs and services that target their offending behaviour: </w:t>
            </w:r>
            <w:r w:rsidRPr="005D2BC3">
              <w:softHyphen/>
              <w:t xml:space="preserve"> percentage of sampled offenders that have been referred to programs or services that target their offending behaviour, as identified in their case plans</w:t>
            </w:r>
          </w:p>
        </w:tc>
        <w:tc>
          <w:tcPr>
            <w:tcW w:w="1430" w:type="dxa"/>
            <w:tcBorders>
              <w:top w:val="nil"/>
              <w:left w:val="nil"/>
              <w:bottom w:val="nil"/>
              <w:right w:val="nil"/>
            </w:tcBorders>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r w:rsidRPr="005D2BC3">
              <w:rPr>
                <w:rFonts w:cs="Calibri"/>
                <w:szCs w:val="20"/>
              </w:rPr>
              <w:t>100%</w:t>
            </w:r>
          </w:p>
        </w:tc>
        <w:tc>
          <w:tcPr>
            <w:tcW w:w="1430"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r w:rsidRPr="005D2BC3">
              <w:rPr>
                <w:rFonts w:cs="Calibri"/>
                <w:szCs w:val="20"/>
              </w:rPr>
              <w:t>100%</w:t>
            </w:r>
          </w:p>
        </w:tc>
        <w:tc>
          <w:tcPr>
            <w:tcW w:w="1430" w:type="dxa"/>
            <w:tcBorders>
              <w:top w:val="nil"/>
              <w:left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r w:rsidRPr="005D2BC3">
              <w:rPr>
                <w:rFonts w:cs="Calibri"/>
                <w:szCs w:val="20"/>
              </w:rPr>
              <w:t>100%</w:t>
            </w:r>
          </w:p>
        </w:tc>
      </w:tr>
      <w:tr w:rsidR="00C67E97" w:rsidRPr="005D2BC3" w:rsidTr="00BD272A">
        <w:tc>
          <w:tcPr>
            <w:tcW w:w="5066" w:type="dxa"/>
            <w:tcBorders>
              <w:top w:val="nil"/>
              <w:left w:val="nil"/>
              <w:bottom w:val="nil"/>
              <w:right w:val="nil"/>
            </w:tcBorders>
          </w:tcPr>
          <w:p w:rsidR="00C67E97" w:rsidRPr="005D2BC3" w:rsidRDefault="00C67E97" w:rsidP="005E1840">
            <w:pPr>
              <w:pStyle w:val="Tabletextindenta"/>
            </w:pPr>
            <w:r w:rsidRPr="005D2BC3">
              <w:t xml:space="preserve">Average cost per detainee per day for </w:t>
            </w:r>
            <w:proofErr w:type="spellStart"/>
            <w:r w:rsidRPr="005D2BC3">
              <w:t>remandees</w:t>
            </w:r>
            <w:proofErr w:type="spellEnd"/>
            <w:r w:rsidRPr="005D2BC3">
              <w:t xml:space="preserve"> and sentenced detainees</w:t>
            </w:r>
            <w:r w:rsidR="008B264D">
              <w:rPr>
                <w:vertAlign w:val="superscript"/>
              </w:rPr>
              <w:t>3</w:t>
            </w:r>
          </w:p>
        </w:tc>
        <w:tc>
          <w:tcPr>
            <w:tcW w:w="1430" w:type="dxa"/>
            <w:tcBorders>
              <w:top w:val="nil"/>
              <w:left w:val="nil"/>
              <w:bottom w:val="nil"/>
              <w:right w:val="nil"/>
            </w:tcBorders>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r w:rsidRPr="005D2BC3">
              <w:rPr>
                <w:rFonts w:cs="Calibri"/>
                <w:szCs w:val="20"/>
              </w:rPr>
              <w:t>$410</w:t>
            </w:r>
          </w:p>
        </w:tc>
        <w:tc>
          <w:tcPr>
            <w:tcW w:w="1430" w:type="dxa"/>
            <w:tcBorders>
              <w:top w:val="nil"/>
              <w:left w:val="nil"/>
              <w:bottom w:val="nil"/>
              <w:right w:val="nil"/>
            </w:tcBorders>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r w:rsidRPr="005D2BC3">
              <w:rPr>
                <w:rFonts w:cs="Calibri"/>
                <w:szCs w:val="20"/>
              </w:rPr>
              <w:t>$</w:t>
            </w:r>
            <w:r>
              <w:rPr>
                <w:rFonts w:cs="Calibri"/>
                <w:szCs w:val="20"/>
              </w:rPr>
              <w:t>397</w:t>
            </w:r>
          </w:p>
        </w:tc>
        <w:tc>
          <w:tcPr>
            <w:tcW w:w="1430" w:type="dxa"/>
            <w:tcBorders>
              <w:top w:val="nil"/>
              <w:left w:val="nil"/>
              <w:bottom w:val="nil"/>
              <w:right w:val="nil"/>
            </w:tcBorders>
            <w:shd w:val="clear" w:color="auto" w:fill="auto"/>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r>
              <w:rPr>
                <w:rFonts w:cs="Calibri"/>
                <w:szCs w:val="20"/>
              </w:rPr>
              <w:t>n/a</w:t>
            </w:r>
          </w:p>
        </w:tc>
      </w:tr>
      <w:tr w:rsidR="00C67E97" w:rsidRPr="004A60D9" w:rsidTr="00BD272A">
        <w:tc>
          <w:tcPr>
            <w:tcW w:w="5066" w:type="dxa"/>
            <w:tcBorders>
              <w:top w:val="nil"/>
              <w:left w:val="nil"/>
              <w:bottom w:val="nil"/>
              <w:right w:val="nil"/>
            </w:tcBorders>
          </w:tcPr>
          <w:p w:rsidR="00C67E97" w:rsidRPr="004A60D9" w:rsidRDefault="00C67E97" w:rsidP="005E1840">
            <w:pPr>
              <w:pStyle w:val="Tabletextindenta"/>
            </w:pPr>
            <w:r w:rsidRPr="004A60D9">
              <w:t>Average cost per detainee per day for all detainees (including P</w:t>
            </w:r>
            <w:r w:rsidR="00A65CB1" w:rsidRPr="004A60D9">
              <w:t>eriodic Detention Centre</w:t>
            </w:r>
            <w:r w:rsidRPr="004A60D9">
              <w:t>)</w:t>
            </w:r>
            <w:r w:rsidR="008B264D" w:rsidRPr="004A60D9">
              <w:rPr>
                <w:vertAlign w:val="superscript"/>
              </w:rPr>
              <w:t>4</w:t>
            </w:r>
          </w:p>
        </w:tc>
        <w:tc>
          <w:tcPr>
            <w:tcW w:w="1430" w:type="dxa"/>
            <w:tcBorders>
              <w:top w:val="nil"/>
              <w:left w:val="nil"/>
              <w:bottom w:val="nil"/>
              <w:right w:val="nil"/>
            </w:tcBorders>
          </w:tcPr>
          <w:p w:rsidR="00C67E97" w:rsidRPr="004A60D9"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r w:rsidRPr="004A60D9">
              <w:rPr>
                <w:rFonts w:cs="Calibri"/>
                <w:szCs w:val="20"/>
              </w:rPr>
              <w:t>n/a</w:t>
            </w:r>
          </w:p>
        </w:tc>
        <w:tc>
          <w:tcPr>
            <w:tcW w:w="1430" w:type="dxa"/>
            <w:tcBorders>
              <w:top w:val="nil"/>
              <w:left w:val="nil"/>
              <w:bottom w:val="nil"/>
              <w:right w:val="nil"/>
            </w:tcBorders>
          </w:tcPr>
          <w:p w:rsidR="00C67E97" w:rsidRPr="004A60D9"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r w:rsidRPr="004A60D9">
              <w:rPr>
                <w:rFonts w:cs="Calibri"/>
                <w:szCs w:val="20"/>
              </w:rPr>
              <w:t>n/a</w:t>
            </w:r>
          </w:p>
        </w:tc>
        <w:tc>
          <w:tcPr>
            <w:tcW w:w="1430" w:type="dxa"/>
            <w:tcBorders>
              <w:top w:val="nil"/>
              <w:left w:val="nil"/>
              <w:bottom w:val="nil"/>
              <w:right w:val="nil"/>
            </w:tcBorders>
            <w:shd w:val="clear" w:color="auto" w:fill="auto"/>
          </w:tcPr>
          <w:p w:rsidR="00C67E97" w:rsidRPr="004A60D9" w:rsidRDefault="00FD489F"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r>
              <w:rPr>
                <w:rFonts w:cs="Calibri"/>
                <w:szCs w:val="20"/>
              </w:rPr>
              <w:t>$320</w:t>
            </w:r>
          </w:p>
        </w:tc>
      </w:tr>
      <w:tr w:rsidR="00C67E97" w:rsidRPr="004A60D9" w:rsidTr="00BD272A">
        <w:tc>
          <w:tcPr>
            <w:tcW w:w="5066" w:type="dxa"/>
            <w:tcBorders>
              <w:top w:val="nil"/>
              <w:left w:val="nil"/>
              <w:bottom w:val="nil"/>
              <w:right w:val="nil"/>
            </w:tcBorders>
          </w:tcPr>
          <w:p w:rsidR="00C67E97" w:rsidRPr="004A60D9" w:rsidRDefault="007F3531" w:rsidP="005E1840">
            <w:pPr>
              <w:pStyle w:val="Tabletextindenta"/>
            </w:pPr>
            <w:r>
              <w:t>Average cost per detainee</w:t>
            </w:r>
            <w:r w:rsidR="00C67E97" w:rsidRPr="004A60D9">
              <w:t xml:space="preserve"> per day for periodic detainees</w:t>
            </w:r>
            <w:r w:rsidR="00244BE1" w:rsidRPr="00244BE1">
              <w:rPr>
                <w:vertAlign w:val="superscript"/>
              </w:rPr>
              <w:t>5</w:t>
            </w:r>
          </w:p>
        </w:tc>
        <w:tc>
          <w:tcPr>
            <w:tcW w:w="1430" w:type="dxa"/>
            <w:tcBorders>
              <w:top w:val="nil"/>
              <w:left w:val="nil"/>
              <w:bottom w:val="nil"/>
              <w:right w:val="nil"/>
            </w:tcBorders>
          </w:tcPr>
          <w:p w:rsidR="00C67E97" w:rsidRPr="004A60D9"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r w:rsidRPr="004A60D9">
              <w:rPr>
                <w:rFonts w:cs="Calibri"/>
                <w:szCs w:val="20"/>
              </w:rPr>
              <w:t>$229</w:t>
            </w:r>
          </w:p>
        </w:tc>
        <w:tc>
          <w:tcPr>
            <w:tcW w:w="1430" w:type="dxa"/>
            <w:tcBorders>
              <w:top w:val="nil"/>
              <w:left w:val="nil"/>
              <w:bottom w:val="nil"/>
              <w:right w:val="nil"/>
            </w:tcBorders>
            <w:shd w:val="clear" w:color="auto" w:fill="auto"/>
          </w:tcPr>
          <w:p w:rsidR="00C67E97" w:rsidRPr="004A60D9"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r w:rsidRPr="004A60D9">
              <w:rPr>
                <w:rFonts w:cs="Calibri"/>
                <w:szCs w:val="20"/>
              </w:rPr>
              <w:t>$210</w:t>
            </w:r>
          </w:p>
        </w:tc>
        <w:tc>
          <w:tcPr>
            <w:tcW w:w="1430" w:type="dxa"/>
            <w:tcBorders>
              <w:top w:val="nil"/>
              <w:left w:val="nil"/>
              <w:bottom w:val="nil"/>
              <w:right w:val="nil"/>
            </w:tcBorders>
            <w:shd w:val="clear" w:color="auto" w:fill="auto"/>
          </w:tcPr>
          <w:p w:rsidR="00C67E97" w:rsidRPr="004A60D9" w:rsidRDefault="00FD489F"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r>
              <w:rPr>
                <w:rFonts w:cs="Calibri"/>
                <w:szCs w:val="20"/>
              </w:rPr>
              <w:t>$200</w:t>
            </w:r>
          </w:p>
        </w:tc>
      </w:tr>
      <w:tr w:rsidR="00C67E97" w:rsidRPr="004A60D9" w:rsidTr="00BD272A">
        <w:tc>
          <w:tcPr>
            <w:tcW w:w="5066" w:type="dxa"/>
            <w:tcBorders>
              <w:top w:val="nil"/>
              <w:left w:val="nil"/>
              <w:bottom w:val="nil"/>
              <w:right w:val="nil"/>
            </w:tcBorders>
          </w:tcPr>
          <w:p w:rsidR="00C67E97" w:rsidRPr="004A60D9" w:rsidRDefault="00C67E97" w:rsidP="005E1840">
            <w:pPr>
              <w:pStyle w:val="Tabletextindenta"/>
            </w:pPr>
            <w:r w:rsidRPr="004A60D9">
              <w:t>Average cost per day for community based offender</w:t>
            </w:r>
            <w:r w:rsidRPr="00FD489F">
              <w:t>s</w:t>
            </w:r>
            <w:r w:rsidR="00244BE1">
              <w:rPr>
                <w:vertAlign w:val="superscript"/>
              </w:rPr>
              <w:t>6</w:t>
            </w:r>
          </w:p>
        </w:tc>
        <w:tc>
          <w:tcPr>
            <w:tcW w:w="1430" w:type="dxa"/>
            <w:tcBorders>
              <w:top w:val="nil"/>
              <w:left w:val="nil"/>
              <w:bottom w:val="nil"/>
              <w:right w:val="nil"/>
            </w:tcBorders>
          </w:tcPr>
          <w:p w:rsidR="00C67E97" w:rsidRPr="004A60D9"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r w:rsidRPr="004A60D9">
              <w:rPr>
                <w:rFonts w:cs="Calibri"/>
                <w:szCs w:val="20"/>
              </w:rPr>
              <w:t>$14</w:t>
            </w:r>
          </w:p>
        </w:tc>
        <w:tc>
          <w:tcPr>
            <w:tcW w:w="1430" w:type="dxa"/>
            <w:tcBorders>
              <w:top w:val="nil"/>
              <w:left w:val="nil"/>
              <w:bottom w:val="nil"/>
              <w:right w:val="nil"/>
            </w:tcBorders>
            <w:shd w:val="clear" w:color="auto" w:fill="auto"/>
          </w:tcPr>
          <w:p w:rsidR="00C67E97" w:rsidRPr="004A60D9"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r w:rsidRPr="004A60D9">
              <w:rPr>
                <w:rFonts w:cs="Calibri"/>
                <w:szCs w:val="20"/>
              </w:rPr>
              <w:t>$16</w:t>
            </w:r>
          </w:p>
        </w:tc>
        <w:tc>
          <w:tcPr>
            <w:tcW w:w="1430" w:type="dxa"/>
            <w:tcBorders>
              <w:top w:val="nil"/>
              <w:left w:val="nil"/>
              <w:bottom w:val="nil"/>
              <w:right w:val="nil"/>
            </w:tcBorders>
            <w:shd w:val="clear" w:color="auto" w:fill="auto"/>
          </w:tcPr>
          <w:p w:rsidR="00C67E97" w:rsidRPr="004A60D9"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szCs w:val="20"/>
              </w:rPr>
            </w:pPr>
            <w:r w:rsidRPr="004A60D9">
              <w:rPr>
                <w:rFonts w:cs="Calibri"/>
                <w:szCs w:val="20"/>
              </w:rPr>
              <w:t>$18</w:t>
            </w:r>
          </w:p>
        </w:tc>
      </w:tr>
      <w:tr w:rsidR="00C67E97" w:rsidRPr="002E3DCC" w:rsidTr="00BD272A">
        <w:tc>
          <w:tcPr>
            <w:tcW w:w="5066" w:type="dxa"/>
            <w:tcBorders>
              <w:top w:val="nil"/>
              <w:left w:val="nil"/>
              <w:bottom w:val="single" w:sz="4" w:space="0" w:color="auto"/>
              <w:right w:val="nil"/>
            </w:tcBorders>
          </w:tcPr>
          <w:p w:rsidR="00C67E97" w:rsidRPr="002E3DCC" w:rsidRDefault="00C67E97" w:rsidP="007235C9">
            <w:pPr>
              <w:pStyle w:val="AIIndent"/>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cs="Calibri"/>
                <w:sz w:val="12"/>
                <w:szCs w:val="12"/>
              </w:rPr>
            </w:pPr>
          </w:p>
        </w:tc>
        <w:tc>
          <w:tcPr>
            <w:tcW w:w="1430" w:type="dxa"/>
            <w:tcBorders>
              <w:top w:val="nil"/>
              <w:left w:val="nil"/>
              <w:bottom w:val="single" w:sz="4" w:space="0" w:color="auto"/>
              <w:right w:val="nil"/>
            </w:tcBorders>
          </w:tcPr>
          <w:p w:rsidR="00C67E97" w:rsidRPr="002E3DCC"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12"/>
                <w:szCs w:val="12"/>
                <w:shd w:val="clear" w:color="auto" w:fill="FFFF00"/>
              </w:rPr>
            </w:pPr>
          </w:p>
        </w:tc>
        <w:tc>
          <w:tcPr>
            <w:tcW w:w="1430" w:type="dxa"/>
            <w:tcBorders>
              <w:top w:val="nil"/>
              <w:left w:val="nil"/>
              <w:bottom w:val="single" w:sz="4" w:space="0" w:color="auto"/>
              <w:right w:val="nil"/>
            </w:tcBorders>
          </w:tcPr>
          <w:p w:rsidR="00C67E97" w:rsidRPr="002E3DCC"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12"/>
                <w:szCs w:val="12"/>
                <w:highlight w:val="yellow"/>
              </w:rPr>
            </w:pPr>
          </w:p>
        </w:tc>
        <w:tc>
          <w:tcPr>
            <w:tcW w:w="1430" w:type="dxa"/>
            <w:tcBorders>
              <w:top w:val="nil"/>
              <w:left w:val="nil"/>
              <w:bottom w:val="single" w:sz="4" w:space="0" w:color="auto"/>
              <w:right w:val="nil"/>
            </w:tcBorders>
          </w:tcPr>
          <w:p w:rsidR="00C67E97" w:rsidRPr="002E3DCC"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12"/>
                <w:szCs w:val="12"/>
                <w:highlight w:val="yellow"/>
                <w:shd w:val="clear" w:color="auto" w:fill="FFFF00"/>
              </w:rPr>
            </w:pPr>
          </w:p>
        </w:tc>
      </w:tr>
    </w:tbl>
    <w:p w:rsidR="00C67E97" w:rsidRDefault="00C67E97" w:rsidP="00C67E97">
      <w:pPr>
        <w:pStyle w:val="NoteHeading0"/>
        <w:spacing w:before="60"/>
      </w:pPr>
      <w:r>
        <w:t>Note</w:t>
      </w:r>
      <w:r w:rsidR="00E6317F">
        <w:t>s</w:t>
      </w:r>
      <w:r>
        <w:t>:</w:t>
      </w:r>
    </w:p>
    <w:p w:rsidR="00C67E97" w:rsidRDefault="00C67E97" w:rsidP="00A2331E">
      <w:pPr>
        <w:pStyle w:val="AINotes"/>
        <w:numPr>
          <w:ilvl w:val="0"/>
          <w:numId w:val="43"/>
        </w:numPr>
      </w:pPr>
      <w:r>
        <w:t xml:space="preserve">The </w:t>
      </w:r>
      <w:r w:rsidR="00FC747D">
        <w:t xml:space="preserve">2012-13 estimated </w:t>
      </w:r>
      <w:proofErr w:type="gramStart"/>
      <w:r w:rsidR="00FC747D">
        <w:t>o</w:t>
      </w:r>
      <w:r w:rsidRPr="005945CA">
        <w:t>utcome</w:t>
      </w:r>
      <w:proofErr w:type="gramEnd"/>
      <w:r w:rsidRPr="005945CA">
        <w:t xml:space="preserve"> based on average of July 2012 to January 2013 data.  </w:t>
      </w:r>
      <w:r w:rsidR="00501A81">
        <w:t xml:space="preserve">This indicator is based on use of the Level of Service Inventory-Revised (LSIR), an assessment tool used to assist in determining an offender’s </w:t>
      </w:r>
      <w:proofErr w:type="spellStart"/>
      <w:r w:rsidR="00501A81">
        <w:t>criminogenic</w:t>
      </w:r>
      <w:proofErr w:type="spellEnd"/>
      <w:r w:rsidR="00501A81">
        <w:t xml:space="preserve"> risk &amp; needs. It forms the basis</w:t>
      </w:r>
      <w:r w:rsidR="001E7C4B">
        <w:t xml:space="preserve"> of the case management plan which assists in determining supervision intervention. The calculation method for this accountability indicator is a comparison of the initial (entry) LSIR score with the final score (exit) on completion of the order</w:t>
      </w:r>
      <w:r w:rsidR="00FD489F">
        <w:t>.</w:t>
      </w:r>
      <w:r w:rsidR="008B264D">
        <w:t xml:space="preserve">  This indicator </w:t>
      </w:r>
      <w:r w:rsidR="003E7FEA">
        <w:t>has been</w:t>
      </w:r>
      <w:r w:rsidR="008B264D">
        <w:t xml:space="preserve"> replaced by a new measure in 2013-14 relating to completion rates of Community Corrections Orders.</w:t>
      </w:r>
    </w:p>
    <w:p w:rsidR="00457709" w:rsidRDefault="00457709" w:rsidP="00A2331E">
      <w:pPr>
        <w:pStyle w:val="AINotes"/>
        <w:numPr>
          <w:ilvl w:val="0"/>
          <w:numId w:val="43"/>
        </w:numPr>
      </w:pPr>
      <w:r>
        <w:t>New indicator from 2013-14</w:t>
      </w:r>
      <w:r w:rsidR="00FD489F">
        <w:t xml:space="preserve"> is</w:t>
      </w:r>
      <w:r>
        <w:t xml:space="preserve"> aligned with Report of </w:t>
      </w:r>
      <w:r w:rsidR="00220A96">
        <w:t>Government</w:t>
      </w:r>
      <w:r>
        <w:t xml:space="preserve"> Services (ROGS) reporting for completion of community corrections supervision orders.  </w:t>
      </w:r>
    </w:p>
    <w:p w:rsidR="00457709" w:rsidRDefault="00457709" w:rsidP="00A2331E">
      <w:pPr>
        <w:pStyle w:val="AINotes"/>
        <w:numPr>
          <w:ilvl w:val="0"/>
          <w:numId w:val="43"/>
        </w:numPr>
      </w:pPr>
      <w:r>
        <w:t xml:space="preserve">This indicator has been replaced by new </w:t>
      </w:r>
      <w:r w:rsidR="00220A96">
        <w:t>measure</w:t>
      </w:r>
      <w:r>
        <w:t xml:space="preserve"> in 2013-14 which aligns with the ROGS counting methodology.</w:t>
      </w:r>
    </w:p>
    <w:p w:rsidR="00220A96" w:rsidRPr="00FD489F" w:rsidRDefault="00220A96" w:rsidP="00A2331E">
      <w:pPr>
        <w:pStyle w:val="AINotes"/>
        <w:numPr>
          <w:ilvl w:val="0"/>
          <w:numId w:val="43"/>
        </w:numPr>
      </w:pPr>
      <w:r>
        <w:t xml:space="preserve">New indicator from 2013-14 </w:t>
      </w:r>
      <w:r w:rsidR="002B61F3">
        <w:t xml:space="preserve">closely </w:t>
      </w:r>
      <w:r w:rsidR="00AF15CB">
        <w:t>aligns</w:t>
      </w:r>
      <w:r>
        <w:t xml:space="preserve"> with ROGS reporting from net recurrent expenditure per detainee per day for </w:t>
      </w:r>
      <w:r w:rsidR="002B61F3" w:rsidRPr="002B61F3">
        <w:t>all prisons</w:t>
      </w:r>
      <w:r w:rsidR="002B61F3">
        <w:t xml:space="preserve"> </w:t>
      </w:r>
      <w:r w:rsidR="002B61F3" w:rsidRPr="00FD489F">
        <w:t>(secure and open including Periodic Detentions).</w:t>
      </w:r>
      <w:r w:rsidR="00FD489F" w:rsidRPr="00FD489F">
        <w:t xml:space="preserve">  This does not include superannuation and depreciation, in line with the ROGS counting method.</w:t>
      </w:r>
    </w:p>
    <w:p w:rsidR="002B61F3" w:rsidRPr="00FD489F" w:rsidRDefault="006C7DCC" w:rsidP="00A2331E">
      <w:pPr>
        <w:pStyle w:val="AINotes"/>
        <w:numPr>
          <w:ilvl w:val="0"/>
          <w:numId w:val="43"/>
        </w:numPr>
      </w:pPr>
      <w:r>
        <w:t>The 2013</w:t>
      </w:r>
      <w:r>
        <w:noBreakHyphen/>
      </w:r>
      <w:r w:rsidR="00FD489F" w:rsidRPr="00FD489F">
        <w:t>14 target has decreased with the alignment of counting rules to the ROGS method, which does not include depreciation and superannuation.</w:t>
      </w:r>
    </w:p>
    <w:p w:rsidR="00FD489F" w:rsidRPr="00FD489F" w:rsidRDefault="006C7DCC" w:rsidP="00A2331E">
      <w:pPr>
        <w:pStyle w:val="AINotes"/>
        <w:numPr>
          <w:ilvl w:val="0"/>
          <w:numId w:val="43"/>
        </w:numPr>
      </w:pPr>
      <w:r>
        <w:t>The 2013</w:t>
      </w:r>
      <w:r>
        <w:noBreakHyphen/>
      </w:r>
      <w:r w:rsidR="00FD489F" w:rsidRPr="00FD489F">
        <w:t xml:space="preserve">14 target is estimated to increase with the alignment of counting rules to the ROGS method, which requires all additional support costs including sentence advisory, community service orders and the new </w:t>
      </w:r>
      <w:proofErr w:type="spellStart"/>
      <w:r w:rsidR="00FD489F" w:rsidRPr="00FD489F">
        <w:t>Throughcare</w:t>
      </w:r>
      <w:proofErr w:type="spellEnd"/>
      <w:r w:rsidR="00FD489F" w:rsidRPr="00FD489F">
        <w:t xml:space="preserve"> initiative to be attributed to the total operational costs; and excludes depreciation and superannuation. </w:t>
      </w:r>
    </w:p>
    <w:p w:rsidR="00C67E97" w:rsidRDefault="00C67E97" w:rsidP="00C67E97">
      <w:pPr>
        <w:pStyle w:val="NoteHeading0"/>
        <w:spacing w:before="60"/>
      </w:pPr>
      <w:r>
        <w:br w:type="page"/>
      </w:r>
    </w:p>
    <w:p w:rsidR="00C258E6" w:rsidRPr="00D325FA" w:rsidRDefault="00C258E6" w:rsidP="00C258E6">
      <w:pPr>
        <w:pStyle w:val="Heading3"/>
        <w:spacing w:before="0"/>
      </w:pPr>
      <w:proofErr w:type="gramStart"/>
      <w:r w:rsidRPr="00D325FA">
        <w:lastRenderedPageBreak/>
        <w:t>Accountability Indicators</w:t>
      </w:r>
      <w:r>
        <w:t xml:space="preserve"> cont.</w:t>
      </w:r>
      <w:proofErr w:type="gramEnd"/>
    </w:p>
    <w:tbl>
      <w:tblPr>
        <w:tblW w:w="9356" w:type="dxa"/>
        <w:tblLayout w:type="fixed"/>
        <w:tblLook w:val="0000"/>
      </w:tblPr>
      <w:tblGrid>
        <w:gridCol w:w="5066"/>
        <w:gridCol w:w="1430"/>
        <w:gridCol w:w="1430"/>
        <w:gridCol w:w="1430"/>
      </w:tblGrid>
      <w:tr w:rsidR="00C67E97" w:rsidRPr="005D2BC3" w:rsidTr="00912A38">
        <w:tc>
          <w:tcPr>
            <w:tcW w:w="5066" w:type="dxa"/>
            <w:tcBorders>
              <w:top w:val="single" w:sz="4" w:space="0" w:color="auto"/>
              <w:left w:val="nil"/>
              <w:bottom w:val="single" w:sz="4" w:space="0" w:color="auto"/>
              <w:right w:val="nil"/>
            </w:tcBorders>
          </w:tcPr>
          <w:p w:rsidR="00C67E97" w:rsidRPr="005D2BC3"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hd w:val="clear" w:color="auto" w:fill="FFFF00"/>
              </w:rPr>
            </w:pPr>
          </w:p>
        </w:tc>
        <w:tc>
          <w:tcPr>
            <w:tcW w:w="1430" w:type="dxa"/>
            <w:tcBorders>
              <w:top w:val="single" w:sz="4" w:space="0" w:color="auto"/>
              <w:left w:val="nil"/>
              <w:bottom w:val="single" w:sz="4" w:space="0" w:color="auto"/>
              <w:right w:val="nil"/>
            </w:tcBorders>
          </w:tcPr>
          <w:p w:rsidR="00C67E97" w:rsidRPr="005D2BC3"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r>
              <w:rPr>
                <w:rFonts w:cs="Calibri"/>
              </w:rPr>
              <w:t>2012-13</w:t>
            </w:r>
            <w:r w:rsidRPr="005D2BC3">
              <w:rPr>
                <w:rFonts w:cs="Calibri"/>
              </w:rPr>
              <w:br/>
              <w:t>Targets</w:t>
            </w:r>
          </w:p>
        </w:tc>
        <w:tc>
          <w:tcPr>
            <w:tcW w:w="1430" w:type="dxa"/>
            <w:tcBorders>
              <w:top w:val="single" w:sz="4" w:space="0" w:color="auto"/>
              <w:left w:val="nil"/>
              <w:bottom w:val="single" w:sz="4" w:space="0" w:color="auto"/>
              <w:right w:val="nil"/>
            </w:tcBorders>
          </w:tcPr>
          <w:p w:rsidR="00C67E97" w:rsidRPr="005D2BC3"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r>
              <w:rPr>
                <w:rFonts w:cs="Calibri"/>
              </w:rPr>
              <w:t>2012-13</w:t>
            </w:r>
            <w:r w:rsidRPr="005D2BC3">
              <w:rPr>
                <w:rFonts w:cs="Calibri"/>
              </w:rPr>
              <w:br/>
              <w:t>Est. Outcome</w:t>
            </w:r>
          </w:p>
        </w:tc>
        <w:tc>
          <w:tcPr>
            <w:tcW w:w="1430" w:type="dxa"/>
            <w:tcBorders>
              <w:top w:val="single" w:sz="4" w:space="0" w:color="auto"/>
              <w:left w:val="nil"/>
              <w:bottom w:val="single" w:sz="4" w:space="0" w:color="auto"/>
              <w:right w:val="nil"/>
            </w:tcBorders>
          </w:tcPr>
          <w:p w:rsidR="00C67E97" w:rsidRPr="005D2BC3"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r>
              <w:rPr>
                <w:rFonts w:cs="Calibri"/>
              </w:rPr>
              <w:t>2013-14</w:t>
            </w:r>
            <w:r w:rsidRPr="005D2BC3">
              <w:rPr>
                <w:rFonts w:cs="Calibri"/>
              </w:rPr>
              <w:br/>
              <w:t>Targets</w:t>
            </w:r>
          </w:p>
        </w:tc>
      </w:tr>
      <w:tr w:rsidR="00C67E97" w:rsidRPr="005D2BC3" w:rsidTr="00912A38">
        <w:tc>
          <w:tcPr>
            <w:tcW w:w="5066" w:type="dxa"/>
            <w:tcBorders>
              <w:top w:val="single" w:sz="4" w:space="0" w:color="auto"/>
              <w:left w:val="nil"/>
              <w:bottom w:val="single" w:sz="4" w:space="0" w:color="auto"/>
              <w:right w:val="nil"/>
            </w:tcBorders>
          </w:tcPr>
          <w:p w:rsidR="00C67E97" w:rsidRPr="005D2BC3"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r w:rsidRPr="005D2BC3">
              <w:rPr>
                <w:rFonts w:cs="Calibri"/>
              </w:rPr>
              <w:t>Output Class 3:  Courts and Tribunal</w:t>
            </w:r>
          </w:p>
        </w:tc>
        <w:tc>
          <w:tcPr>
            <w:tcW w:w="1430" w:type="dxa"/>
            <w:tcBorders>
              <w:top w:val="single" w:sz="4" w:space="0" w:color="auto"/>
              <w:left w:val="nil"/>
              <w:bottom w:val="single" w:sz="4" w:space="0" w:color="auto"/>
              <w:right w:val="nil"/>
            </w:tcBorders>
            <w:vAlign w:val="center"/>
          </w:tcPr>
          <w:p w:rsidR="00C67E97" w:rsidRPr="005D2BC3"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highlight w:val="yellow"/>
              </w:rPr>
            </w:pPr>
          </w:p>
        </w:tc>
        <w:tc>
          <w:tcPr>
            <w:tcW w:w="1430" w:type="dxa"/>
            <w:tcBorders>
              <w:top w:val="single" w:sz="4" w:space="0" w:color="auto"/>
              <w:left w:val="nil"/>
              <w:bottom w:val="single" w:sz="4" w:space="0" w:color="auto"/>
              <w:right w:val="nil"/>
            </w:tcBorders>
            <w:vAlign w:val="center"/>
          </w:tcPr>
          <w:p w:rsidR="00C67E97" w:rsidRPr="005D2BC3"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highlight w:val="yellow"/>
              </w:rPr>
            </w:pPr>
          </w:p>
        </w:tc>
        <w:tc>
          <w:tcPr>
            <w:tcW w:w="1430" w:type="dxa"/>
            <w:tcBorders>
              <w:top w:val="single" w:sz="4" w:space="0" w:color="auto"/>
              <w:left w:val="nil"/>
              <w:bottom w:val="single" w:sz="4" w:space="0" w:color="auto"/>
              <w:right w:val="nil"/>
            </w:tcBorders>
            <w:vAlign w:val="center"/>
          </w:tcPr>
          <w:p w:rsidR="00C67E97" w:rsidRPr="005D2BC3"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highlight w:val="yellow"/>
              </w:rPr>
            </w:pPr>
          </w:p>
        </w:tc>
      </w:tr>
      <w:tr w:rsidR="00C67E97" w:rsidRPr="005D2BC3" w:rsidTr="00912A38">
        <w:tc>
          <w:tcPr>
            <w:tcW w:w="5066" w:type="dxa"/>
            <w:tcBorders>
              <w:top w:val="single" w:sz="4" w:space="0" w:color="auto"/>
              <w:left w:val="nil"/>
              <w:bottom w:val="single" w:sz="4" w:space="0" w:color="auto"/>
              <w:right w:val="nil"/>
            </w:tcBorders>
          </w:tcPr>
          <w:p w:rsidR="00C67E97" w:rsidRPr="005D2BC3"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r w:rsidRPr="005D2BC3">
              <w:rPr>
                <w:rFonts w:cs="Calibri"/>
              </w:rPr>
              <w:t>Output 3.1:  Courts and Tribunal</w:t>
            </w:r>
          </w:p>
        </w:tc>
        <w:tc>
          <w:tcPr>
            <w:tcW w:w="1430" w:type="dxa"/>
            <w:tcBorders>
              <w:top w:val="single" w:sz="4" w:space="0" w:color="auto"/>
              <w:left w:val="nil"/>
              <w:bottom w:val="single" w:sz="4" w:space="0" w:color="auto"/>
              <w:right w:val="nil"/>
            </w:tcBorders>
            <w:vAlign w:val="center"/>
          </w:tcPr>
          <w:p w:rsidR="00C67E97" w:rsidRPr="005D2BC3"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highlight w:val="yellow"/>
              </w:rPr>
            </w:pPr>
          </w:p>
        </w:tc>
        <w:tc>
          <w:tcPr>
            <w:tcW w:w="1430" w:type="dxa"/>
            <w:tcBorders>
              <w:top w:val="single" w:sz="4" w:space="0" w:color="auto"/>
              <w:left w:val="nil"/>
              <w:bottom w:val="single" w:sz="4" w:space="0" w:color="auto"/>
              <w:right w:val="nil"/>
            </w:tcBorders>
            <w:vAlign w:val="center"/>
          </w:tcPr>
          <w:p w:rsidR="00C67E97" w:rsidRPr="005D2BC3"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highlight w:val="yellow"/>
              </w:rPr>
            </w:pPr>
          </w:p>
        </w:tc>
        <w:tc>
          <w:tcPr>
            <w:tcW w:w="1430" w:type="dxa"/>
            <w:tcBorders>
              <w:top w:val="single" w:sz="4" w:space="0" w:color="auto"/>
              <w:left w:val="nil"/>
              <w:bottom w:val="single" w:sz="4" w:space="0" w:color="auto"/>
              <w:right w:val="nil"/>
            </w:tcBorders>
            <w:vAlign w:val="center"/>
          </w:tcPr>
          <w:p w:rsidR="00C67E97" w:rsidRPr="005D2BC3"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highlight w:val="yellow"/>
              </w:rPr>
            </w:pPr>
          </w:p>
        </w:tc>
      </w:tr>
      <w:tr w:rsidR="00C67E97" w:rsidRPr="005D2BC3" w:rsidTr="00912A38">
        <w:tc>
          <w:tcPr>
            <w:tcW w:w="5066" w:type="dxa"/>
            <w:tcBorders>
              <w:top w:val="nil"/>
              <w:left w:val="nil"/>
              <w:bottom w:val="nil"/>
              <w:right w:val="nil"/>
            </w:tcBorders>
          </w:tcPr>
          <w:p w:rsidR="00C67E97" w:rsidRPr="005D2BC3" w:rsidRDefault="00C67E97" w:rsidP="007235C9">
            <w:pPr>
              <w:pStyle w:val="AIIndent"/>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cs="Calibri"/>
              </w:rPr>
            </w:pPr>
            <w:r w:rsidRPr="005D2BC3">
              <w:rPr>
                <w:rFonts w:cs="Calibri"/>
                <w:b/>
                <w:bCs/>
              </w:rPr>
              <w:t>Courts</w:t>
            </w:r>
          </w:p>
        </w:tc>
        <w:tc>
          <w:tcPr>
            <w:tcW w:w="1430" w:type="dxa"/>
            <w:tcBorders>
              <w:top w:val="nil"/>
              <w:left w:val="nil"/>
              <w:bottom w:val="nil"/>
              <w:right w:val="nil"/>
            </w:tcBorders>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Cs w:val="20"/>
                <w:highlight w:val="yellow"/>
              </w:rPr>
            </w:pPr>
          </w:p>
        </w:tc>
        <w:tc>
          <w:tcPr>
            <w:tcW w:w="1430" w:type="dxa"/>
            <w:tcBorders>
              <w:top w:val="nil"/>
              <w:left w:val="nil"/>
              <w:bottom w:val="nil"/>
              <w:right w:val="nil"/>
            </w:tcBorders>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Cs w:val="20"/>
                <w:highlight w:val="yellow"/>
              </w:rPr>
            </w:pPr>
          </w:p>
        </w:tc>
        <w:tc>
          <w:tcPr>
            <w:tcW w:w="1430" w:type="dxa"/>
            <w:tcBorders>
              <w:top w:val="nil"/>
              <w:left w:val="nil"/>
              <w:bottom w:val="nil"/>
              <w:right w:val="nil"/>
            </w:tcBorders>
          </w:tcPr>
          <w:p w:rsidR="00C67E97" w:rsidRPr="005D2BC3"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Cs w:val="20"/>
                <w:highlight w:val="yellow"/>
              </w:rPr>
            </w:pPr>
          </w:p>
        </w:tc>
      </w:tr>
      <w:tr w:rsidR="00C67E97" w:rsidRPr="004A60D9" w:rsidTr="00912A38">
        <w:tc>
          <w:tcPr>
            <w:tcW w:w="5066" w:type="dxa"/>
            <w:tcBorders>
              <w:top w:val="nil"/>
              <w:left w:val="nil"/>
              <w:bottom w:val="nil"/>
              <w:right w:val="nil"/>
            </w:tcBorders>
          </w:tcPr>
          <w:p w:rsidR="00C67E97" w:rsidRPr="004A60D9" w:rsidRDefault="00C67E97" w:rsidP="00870C93">
            <w:pPr>
              <w:pStyle w:val="Tabletextindenta"/>
              <w:numPr>
                <w:ilvl w:val="0"/>
                <w:numId w:val="64"/>
              </w:numPr>
              <w:spacing w:before="10" w:after="10"/>
            </w:pPr>
            <w:r w:rsidRPr="004A60D9">
              <w:t>Appropriate judicial resources –</w:t>
            </w:r>
            <w:r w:rsidRPr="004A60D9">
              <w:softHyphen/>
              <w:t xml:space="preserve"> Number of judicial officers per 100,000 population</w:t>
            </w:r>
            <w:r w:rsidRPr="00870C93">
              <w:rPr>
                <w:vertAlign w:val="superscript"/>
              </w:rPr>
              <w:t>1</w:t>
            </w:r>
          </w:p>
        </w:tc>
        <w:tc>
          <w:tcPr>
            <w:tcW w:w="1430" w:type="dxa"/>
            <w:tcBorders>
              <w:top w:val="nil"/>
              <w:left w:val="nil"/>
              <w:bottom w:val="nil"/>
              <w:right w:val="nil"/>
            </w:tcBorders>
          </w:tcPr>
          <w:p w:rsidR="00C67E97" w:rsidRPr="004A60D9"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4A60D9">
              <w:rPr>
                <w:rFonts w:cs="Calibri"/>
                <w:szCs w:val="20"/>
              </w:rPr>
              <w:t>3.6</w:t>
            </w:r>
          </w:p>
        </w:tc>
        <w:tc>
          <w:tcPr>
            <w:tcW w:w="1430" w:type="dxa"/>
            <w:tcBorders>
              <w:top w:val="nil"/>
              <w:left w:val="nil"/>
              <w:bottom w:val="nil"/>
              <w:right w:val="nil"/>
            </w:tcBorders>
            <w:shd w:val="clear" w:color="auto" w:fill="auto"/>
          </w:tcPr>
          <w:p w:rsidR="00C67E97" w:rsidRPr="004A60D9"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4A60D9">
              <w:rPr>
                <w:rFonts w:cs="Calibri"/>
                <w:szCs w:val="20"/>
              </w:rPr>
              <w:t>3.5</w:t>
            </w:r>
          </w:p>
        </w:tc>
        <w:tc>
          <w:tcPr>
            <w:tcW w:w="1430" w:type="dxa"/>
            <w:tcBorders>
              <w:top w:val="nil"/>
              <w:left w:val="nil"/>
              <w:bottom w:val="nil"/>
              <w:right w:val="nil"/>
            </w:tcBorders>
            <w:shd w:val="clear" w:color="auto" w:fill="auto"/>
          </w:tcPr>
          <w:p w:rsidR="00C67E97" w:rsidRPr="004A60D9"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92267D">
              <w:rPr>
                <w:rFonts w:cs="Calibri"/>
                <w:szCs w:val="20"/>
              </w:rPr>
              <w:t>3.4</w:t>
            </w:r>
          </w:p>
        </w:tc>
      </w:tr>
      <w:tr w:rsidR="00C67E97" w:rsidRPr="005D2BC3" w:rsidTr="00912A38">
        <w:tc>
          <w:tcPr>
            <w:tcW w:w="5066" w:type="dxa"/>
            <w:tcBorders>
              <w:top w:val="nil"/>
              <w:left w:val="nil"/>
              <w:bottom w:val="nil"/>
              <w:right w:val="nil"/>
            </w:tcBorders>
          </w:tcPr>
          <w:p w:rsidR="00C67E97" w:rsidRPr="005D2BC3" w:rsidRDefault="00C67E97" w:rsidP="00870C93">
            <w:pPr>
              <w:pStyle w:val="Tabletextindenta"/>
              <w:spacing w:before="10" w:after="10"/>
            </w:pPr>
            <w:r w:rsidRPr="005D2BC3">
              <w:t xml:space="preserve">Reasonable cost of ACT Courts and Tribunals </w:t>
            </w:r>
            <w:r>
              <w:t xml:space="preserve">– </w:t>
            </w:r>
            <w:r w:rsidRPr="005D2BC3">
              <w:t>Average fees collected per Supreme Court civil case</w:t>
            </w:r>
            <w:r w:rsidR="00822089">
              <w:rPr>
                <w:vertAlign w:val="superscript"/>
              </w:rPr>
              <w:t>2,3</w:t>
            </w:r>
          </w:p>
        </w:tc>
        <w:tc>
          <w:tcPr>
            <w:tcW w:w="1430" w:type="dxa"/>
            <w:tcBorders>
              <w:top w:val="nil"/>
              <w:left w:val="nil"/>
              <w:bottom w:val="nil"/>
              <w:right w:val="nil"/>
            </w:tcBorders>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5D2BC3">
              <w:rPr>
                <w:rFonts w:cs="Calibri"/>
                <w:szCs w:val="20"/>
              </w:rPr>
              <w:t>$</w:t>
            </w:r>
            <w:r>
              <w:rPr>
                <w:rFonts w:cs="Calibri"/>
                <w:szCs w:val="20"/>
              </w:rPr>
              <w:t>1,300</w:t>
            </w:r>
          </w:p>
        </w:tc>
        <w:tc>
          <w:tcPr>
            <w:tcW w:w="1430" w:type="dxa"/>
            <w:tcBorders>
              <w:top w:val="nil"/>
              <w:left w:val="nil"/>
              <w:bottom w:val="nil"/>
              <w:right w:val="nil"/>
            </w:tcBorders>
            <w:shd w:val="clear" w:color="auto" w:fill="auto"/>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$1,430</w:t>
            </w:r>
          </w:p>
        </w:tc>
        <w:tc>
          <w:tcPr>
            <w:tcW w:w="1430" w:type="dxa"/>
            <w:tcBorders>
              <w:top w:val="nil"/>
              <w:left w:val="nil"/>
              <w:bottom w:val="nil"/>
              <w:right w:val="nil"/>
            </w:tcBorders>
            <w:shd w:val="clear" w:color="auto" w:fill="auto"/>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$1,400</w:t>
            </w:r>
          </w:p>
        </w:tc>
      </w:tr>
      <w:tr w:rsidR="00C67E97" w:rsidRPr="005D2BC3" w:rsidTr="00912A38">
        <w:trPr>
          <w:trHeight w:val="170"/>
        </w:trPr>
        <w:tc>
          <w:tcPr>
            <w:tcW w:w="5066" w:type="dxa"/>
            <w:tcBorders>
              <w:top w:val="nil"/>
              <w:left w:val="nil"/>
              <w:bottom w:val="nil"/>
              <w:right w:val="nil"/>
            </w:tcBorders>
          </w:tcPr>
          <w:p w:rsidR="00C67E97" w:rsidRPr="005D2BC3" w:rsidRDefault="00C67E97" w:rsidP="00870C93">
            <w:pPr>
              <w:pStyle w:val="Tabletextindenta"/>
              <w:spacing w:before="10" w:after="10"/>
            </w:pPr>
            <w:r w:rsidRPr="005D2BC3">
              <w:t xml:space="preserve">Reasonable cost of ACT Courts and Tribunals </w:t>
            </w:r>
            <w:r>
              <w:t xml:space="preserve">– </w:t>
            </w:r>
            <w:r w:rsidRPr="005D2BC3">
              <w:t xml:space="preserve">Average fees collected per Magistrates Court civil </w:t>
            </w:r>
            <w:r w:rsidR="001C579C" w:rsidRPr="005D2BC3">
              <w:t>case</w:t>
            </w:r>
            <w:r w:rsidR="001C579C" w:rsidRPr="001C579C">
              <w:rPr>
                <w:vertAlign w:val="superscript"/>
              </w:rPr>
              <w:t>2,3</w:t>
            </w:r>
          </w:p>
        </w:tc>
        <w:tc>
          <w:tcPr>
            <w:tcW w:w="1430" w:type="dxa"/>
            <w:tcBorders>
              <w:top w:val="nil"/>
              <w:left w:val="nil"/>
              <w:bottom w:val="nil"/>
              <w:right w:val="nil"/>
            </w:tcBorders>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5D2BC3">
              <w:rPr>
                <w:rFonts w:cs="Calibri"/>
                <w:szCs w:val="20"/>
              </w:rPr>
              <w:t>$</w:t>
            </w:r>
            <w:r>
              <w:rPr>
                <w:rFonts w:cs="Calibri"/>
                <w:szCs w:val="20"/>
              </w:rPr>
              <w:t>63</w:t>
            </w:r>
          </w:p>
        </w:tc>
        <w:tc>
          <w:tcPr>
            <w:tcW w:w="1430" w:type="dxa"/>
            <w:tcBorders>
              <w:top w:val="nil"/>
              <w:left w:val="nil"/>
              <w:bottom w:val="nil"/>
              <w:right w:val="nil"/>
            </w:tcBorders>
            <w:shd w:val="clear" w:color="auto" w:fill="auto"/>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$65</w:t>
            </w:r>
          </w:p>
        </w:tc>
        <w:tc>
          <w:tcPr>
            <w:tcW w:w="1430" w:type="dxa"/>
            <w:tcBorders>
              <w:top w:val="nil"/>
              <w:left w:val="nil"/>
              <w:bottom w:val="nil"/>
              <w:right w:val="nil"/>
            </w:tcBorders>
            <w:shd w:val="clear" w:color="auto" w:fill="auto"/>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$65</w:t>
            </w:r>
          </w:p>
        </w:tc>
      </w:tr>
      <w:tr w:rsidR="00C67E97" w:rsidRPr="005D2BC3" w:rsidTr="00912A38">
        <w:trPr>
          <w:trHeight w:val="170"/>
        </w:trPr>
        <w:tc>
          <w:tcPr>
            <w:tcW w:w="5066" w:type="dxa"/>
            <w:tcBorders>
              <w:top w:val="nil"/>
              <w:left w:val="nil"/>
              <w:bottom w:val="nil"/>
              <w:right w:val="nil"/>
            </w:tcBorders>
          </w:tcPr>
          <w:p w:rsidR="00C67E97" w:rsidRPr="005D2BC3" w:rsidRDefault="00C67E97" w:rsidP="00870C93">
            <w:pPr>
              <w:pStyle w:val="Tabletextindenta"/>
              <w:spacing w:before="10" w:after="10"/>
            </w:pPr>
            <w:r w:rsidRPr="005D2BC3">
              <w:t xml:space="preserve">Reasonable cost efficiency </w:t>
            </w:r>
            <w:r w:rsidRPr="005D2BC3">
              <w:softHyphen/>
            </w:r>
            <w:r>
              <w:t xml:space="preserve">– </w:t>
            </w:r>
            <w:r w:rsidRPr="005D2BC3">
              <w:t xml:space="preserve">Ratio of total cost to total number of cases finalised for criminal </w:t>
            </w:r>
            <w:r w:rsidR="001C579C" w:rsidRPr="005D2BC3">
              <w:t>cases</w:t>
            </w:r>
            <w:r w:rsidR="001C579C">
              <w:rPr>
                <w:vertAlign w:val="superscript"/>
              </w:rPr>
              <w:t>4</w:t>
            </w:r>
          </w:p>
        </w:tc>
        <w:tc>
          <w:tcPr>
            <w:tcW w:w="1430" w:type="dxa"/>
            <w:tcBorders>
              <w:top w:val="nil"/>
              <w:left w:val="nil"/>
              <w:bottom w:val="nil"/>
              <w:right w:val="nil"/>
            </w:tcBorders>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5D2BC3">
              <w:rPr>
                <w:rFonts w:cs="Calibri"/>
                <w:szCs w:val="20"/>
              </w:rPr>
              <w:t>within 115% of national average</w:t>
            </w:r>
          </w:p>
        </w:tc>
        <w:tc>
          <w:tcPr>
            <w:tcW w:w="1430" w:type="dxa"/>
            <w:tcBorders>
              <w:top w:val="nil"/>
              <w:left w:val="nil"/>
              <w:bottom w:val="nil"/>
              <w:right w:val="nil"/>
            </w:tcBorders>
            <w:shd w:val="clear" w:color="auto" w:fill="auto"/>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205%</w:t>
            </w:r>
          </w:p>
        </w:tc>
        <w:tc>
          <w:tcPr>
            <w:tcW w:w="1430" w:type="dxa"/>
            <w:tcBorders>
              <w:top w:val="nil"/>
              <w:left w:val="nil"/>
              <w:bottom w:val="nil"/>
              <w:right w:val="nil"/>
            </w:tcBorders>
            <w:shd w:val="clear" w:color="auto" w:fill="auto"/>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115%</w:t>
            </w:r>
          </w:p>
        </w:tc>
      </w:tr>
      <w:tr w:rsidR="00C67E97" w:rsidRPr="005D2BC3" w:rsidTr="00912A38">
        <w:trPr>
          <w:trHeight w:val="170"/>
        </w:trPr>
        <w:tc>
          <w:tcPr>
            <w:tcW w:w="5066" w:type="dxa"/>
            <w:tcBorders>
              <w:top w:val="nil"/>
              <w:left w:val="nil"/>
              <w:bottom w:val="nil"/>
              <w:right w:val="nil"/>
            </w:tcBorders>
          </w:tcPr>
          <w:p w:rsidR="00C67E97" w:rsidRPr="005D2BC3" w:rsidRDefault="00C67E97" w:rsidP="00870C93">
            <w:pPr>
              <w:pStyle w:val="Tabletextindenta"/>
              <w:spacing w:before="10" w:after="10"/>
            </w:pPr>
            <w:r w:rsidRPr="005D2BC3">
              <w:t xml:space="preserve">Reasonable cost efficiency </w:t>
            </w:r>
            <w:r>
              <w:t xml:space="preserve">– </w:t>
            </w:r>
            <w:r w:rsidRPr="005D2BC3">
              <w:t xml:space="preserve">Ratio of total cost to total number of cases finalised for civil </w:t>
            </w:r>
            <w:r w:rsidR="001C579C" w:rsidRPr="005D2BC3">
              <w:t>cases</w:t>
            </w:r>
            <w:r w:rsidR="001C579C">
              <w:rPr>
                <w:vertAlign w:val="superscript"/>
              </w:rPr>
              <w:t>5</w:t>
            </w:r>
          </w:p>
        </w:tc>
        <w:tc>
          <w:tcPr>
            <w:tcW w:w="1430" w:type="dxa"/>
            <w:tcBorders>
              <w:top w:val="nil"/>
              <w:left w:val="nil"/>
              <w:bottom w:val="nil"/>
              <w:right w:val="nil"/>
            </w:tcBorders>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5D2BC3">
              <w:rPr>
                <w:rFonts w:cs="Calibri"/>
                <w:szCs w:val="20"/>
              </w:rPr>
              <w:t>within 115% of national average</w:t>
            </w:r>
          </w:p>
        </w:tc>
        <w:tc>
          <w:tcPr>
            <w:tcW w:w="1430" w:type="dxa"/>
            <w:tcBorders>
              <w:top w:val="nil"/>
              <w:left w:val="nil"/>
              <w:bottom w:val="nil"/>
              <w:right w:val="nil"/>
            </w:tcBorders>
            <w:shd w:val="clear" w:color="auto" w:fill="auto"/>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153%</w:t>
            </w:r>
          </w:p>
        </w:tc>
        <w:tc>
          <w:tcPr>
            <w:tcW w:w="1430" w:type="dxa"/>
            <w:tcBorders>
              <w:top w:val="nil"/>
              <w:left w:val="nil"/>
              <w:bottom w:val="nil"/>
              <w:right w:val="nil"/>
            </w:tcBorders>
            <w:shd w:val="clear" w:color="auto" w:fill="auto"/>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115%</w:t>
            </w:r>
          </w:p>
        </w:tc>
      </w:tr>
      <w:tr w:rsidR="00C67E97" w:rsidRPr="005D2BC3" w:rsidTr="00912A38">
        <w:tc>
          <w:tcPr>
            <w:tcW w:w="5066" w:type="dxa"/>
            <w:tcBorders>
              <w:top w:val="nil"/>
              <w:left w:val="nil"/>
              <w:bottom w:val="nil"/>
              <w:right w:val="nil"/>
            </w:tcBorders>
          </w:tcPr>
          <w:p w:rsidR="00C67E97" w:rsidRPr="005D2BC3" w:rsidRDefault="00C67E97" w:rsidP="00870C93">
            <w:pPr>
              <w:pStyle w:val="Tabletextindenta"/>
              <w:spacing w:before="10" w:after="10"/>
            </w:pPr>
            <w:r w:rsidRPr="005D2BC3">
              <w:t xml:space="preserve">Criminal Case Backlog Indicator </w:t>
            </w:r>
            <w:r w:rsidRPr="005D2BC3">
              <w:softHyphen/>
            </w:r>
            <w:r>
              <w:t xml:space="preserve">– </w:t>
            </w:r>
            <w:r w:rsidRPr="005D2BC3">
              <w:t>Percentage of pending criminal cases in Supreme Court for more than 24 months</w:t>
            </w:r>
            <w:r w:rsidR="00070A4B" w:rsidRPr="00070A4B">
              <w:rPr>
                <w:vertAlign w:val="superscript"/>
              </w:rPr>
              <w:t>6</w:t>
            </w:r>
          </w:p>
        </w:tc>
        <w:tc>
          <w:tcPr>
            <w:tcW w:w="1430" w:type="dxa"/>
            <w:tcBorders>
              <w:top w:val="nil"/>
              <w:left w:val="nil"/>
              <w:bottom w:val="nil"/>
              <w:right w:val="nil"/>
            </w:tcBorders>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5D2BC3">
              <w:rPr>
                <w:rFonts w:cs="Calibri"/>
                <w:szCs w:val="20"/>
              </w:rPr>
              <w:t>0%</w:t>
            </w:r>
          </w:p>
        </w:tc>
        <w:tc>
          <w:tcPr>
            <w:tcW w:w="1430" w:type="dxa"/>
            <w:tcBorders>
              <w:top w:val="nil"/>
              <w:left w:val="nil"/>
              <w:bottom w:val="nil"/>
              <w:right w:val="nil"/>
            </w:tcBorders>
            <w:shd w:val="clear" w:color="auto" w:fill="auto"/>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AC000C">
              <w:rPr>
                <w:rFonts w:cs="Calibri"/>
                <w:szCs w:val="20"/>
              </w:rPr>
              <w:t>10%</w:t>
            </w:r>
          </w:p>
        </w:tc>
        <w:tc>
          <w:tcPr>
            <w:tcW w:w="1430" w:type="dxa"/>
            <w:tcBorders>
              <w:top w:val="nil"/>
              <w:left w:val="nil"/>
              <w:bottom w:val="nil"/>
              <w:right w:val="nil"/>
            </w:tcBorders>
            <w:shd w:val="clear" w:color="auto" w:fill="auto"/>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0%</w:t>
            </w:r>
          </w:p>
        </w:tc>
      </w:tr>
      <w:tr w:rsidR="00C67E97" w:rsidRPr="005D2BC3" w:rsidTr="00912A38">
        <w:tc>
          <w:tcPr>
            <w:tcW w:w="5066" w:type="dxa"/>
            <w:tcBorders>
              <w:top w:val="nil"/>
              <w:left w:val="nil"/>
              <w:bottom w:val="nil"/>
              <w:right w:val="nil"/>
            </w:tcBorders>
          </w:tcPr>
          <w:p w:rsidR="00C67E97" w:rsidRPr="005D2BC3" w:rsidRDefault="00C67E97" w:rsidP="00870C93">
            <w:pPr>
              <w:pStyle w:val="Tabletextindenta"/>
              <w:spacing w:before="10" w:after="10"/>
            </w:pPr>
            <w:r w:rsidRPr="005D2BC3">
              <w:t xml:space="preserve">Criminal Case Backlog Indicator </w:t>
            </w:r>
            <w:r>
              <w:t xml:space="preserve">– </w:t>
            </w:r>
            <w:r w:rsidRPr="005D2BC3">
              <w:t>Percentage of pending criminal cases in Magistrates Court for more than 12 months</w:t>
            </w:r>
            <w:r w:rsidR="00070A4B" w:rsidRPr="00070A4B">
              <w:rPr>
                <w:vertAlign w:val="superscript"/>
              </w:rPr>
              <w:t>7</w:t>
            </w:r>
          </w:p>
        </w:tc>
        <w:tc>
          <w:tcPr>
            <w:tcW w:w="1430" w:type="dxa"/>
            <w:tcBorders>
              <w:top w:val="nil"/>
              <w:left w:val="nil"/>
              <w:bottom w:val="nil"/>
              <w:right w:val="nil"/>
            </w:tcBorders>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5D2BC3">
              <w:rPr>
                <w:rFonts w:cs="Calibri"/>
                <w:szCs w:val="20"/>
              </w:rPr>
              <w:t>0%</w:t>
            </w:r>
          </w:p>
        </w:tc>
        <w:tc>
          <w:tcPr>
            <w:tcW w:w="1430" w:type="dxa"/>
            <w:tcBorders>
              <w:top w:val="nil"/>
              <w:left w:val="nil"/>
              <w:bottom w:val="nil"/>
              <w:right w:val="nil"/>
            </w:tcBorders>
            <w:shd w:val="clear" w:color="auto" w:fill="auto"/>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AC000C">
              <w:rPr>
                <w:rFonts w:cs="Calibri"/>
                <w:szCs w:val="20"/>
              </w:rPr>
              <w:t>10%</w:t>
            </w:r>
          </w:p>
        </w:tc>
        <w:tc>
          <w:tcPr>
            <w:tcW w:w="1430" w:type="dxa"/>
            <w:tcBorders>
              <w:top w:val="nil"/>
              <w:left w:val="nil"/>
              <w:bottom w:val="nil"/>
              <w:right w:val="nil"/>
            </w:tcBorders>
            <w:shd w:val="clear" w:color="auto" w:fill="auto"/>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0%</w:t>
            </w:r>
          </w:p>
        </w:tc>
      </w:tr>
      <w:tr w:rsidR="00C67E97" w:rsidRPr="005D2BC3" w:rsidTr="00912A38">
        <w:tc>
          <w:tcPr>
            <w:tcW w:w="5066" w:type="dxa"/>
            <w:tcBorders>
              <w:top w:val="nil"/>
              <w:left w:val="nil"/>
              <w:bottom w:val="nil"/>
              <w:right w:val="nil"/>
            </w:tcBorders>
          </w:tcPr>
          <w:p w:rsidR="00C67E97" w:rsidRPr="005D2BC3" w:rsidRDefault="00C67E97" w:rsidP="00870C93">
            <w:pPr>
              <w:pStyle w:val="Tabletextindenta"/>
              <w:spacing w:before="10" w:after="10"/>
            </w:pPr>
            <w:r w:rsidRPr="005D2BC3">
              <w:t xml:space="preserve">Civil Case Backlog Indicator </w:t>
            </w:r>
            <w:r w:rsidRPr="005D2BC3">
              <w:softHyphen/>
            </w:r>
            <w:r>
              <w:t xml:space="preserve">– </w:t>
            </w:r>
            <w:r w:rsidRPr="005D2BC3">
              <w:t xml:space="preserve">Percentage of pending civil cases in Supreme Court for more than 24 </w:t>
            </w:r>
            <w:r w:rsidR="001C579C" w:rsidRPr="005D2BC3">
              <w:t>months</w:t>
            </w:r>
            <w:r w:rsidR="00476636">
              <w:rPr>
                <w:vertAlign w:val="superscript"/>
              </w:rPr>
              <w:t>8</w:t>
            </w:r>
          </w:p>
        </w:tc>
        <w:tc>
          <w:tcPr>
            <w:tcW w:w="1430" w:type="dxa"/>
            <w:tcBorders>
              <w:top w:val="nil"/>
              <w:left w:val="nil"/>
              <w:bottom w:val="nil"/>
              <w:right w:val="nil"/>
            </w:tcBorders>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5D2BC3">
              <w:rPr>
                <w:rFonts w:cs="Calibri"/>
                <w:szCs w:val="20"/>
              </w:rPr>
              <w:t>0%</w:t>
            </w:r>
          </w:p>
        </w:tc>
        <w:tc>
          <w:tcPr>
            <w:tcW w:w="1430" w:type="dxa"/>
            <w:tcBorders>
              <w:top w:val="nil"/>
              <w:left w:val="nil"/>
              <w:bottom w:val="nil"/>
              <w:right w:val="nil"/>
            </w:tcBorders>
            <w:shd w:val="clear" w:color="auto" w:fill="auto"/>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24%</w:t>
            </w:r>
          </w:p>
        </w:tc>
        <w:tc>
          <w:tcPr>
            <w:tcW w:w="1430" w:type="dxa"/>
            <w:tcBorders>
              <w:top w:val="nil"/>
              <w:left w:val="nil"/>
              <w:bottom w:val="nil"/>
              <w:right w:val="nil"/>
            </w:tcBorders>
            <w:shd w:val="clear" w:color="auto" w:fill="auto"/>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0%</w:t>
            </w:r>
          </w:p>
        </w:tc>
      </w:tr>
      <w:tr w:rsidR="00C67E97" w:rsidRPr="005D2BC3" w:rsidTr="00912A38">
        <w:tc>
          <w:tcPr>
            <w:tcW w:w="5066" w:type="dxa"/>
            <w:tcBorders>
              <w:top w:val="nil"/>
              <w:left w:val="nil"/>
              <w:right w:val="nil"/>
            </w:tcBorders>
          </w:tcPr>
          <w:p w:rsidR="00C67E97" w:rsidRPr="005D2BC3" w:rsidRDefault="00C67E97" w:rsidP="00870C93">
            <w:pPr>
              <w:pStyle w:val="Tabletextindenta"/>
              <w:spacing w:before="10" w:after="10"/>
            </w:pPr>
            <w:r w:rsidRPr="005D2BC3">
              <w:t xml:space="preserve">Civil Case Backlog Indicator </w:t>
            </w:r>
            <w:r w:rsidRPr="005D2BC3">
              <w:softHyphen/>
            </w:r>
            <w:r>
              <w:t xml:space="preserve">– </w:t>
            </w:r>
            <w:r w:rsidRPr="005D2BC3">
              <w:t>Percentage of pending civil cases in Magistrates Court for more than 12 months</w:t>
            </w:r>
            <w:r w:rsidR="00476636">
              <w:rPr>
                <w:vertAlign w:val="superscript"/>
              </w:rPr>
              <w:t>9</w:t>
            </w:r>
          </w:p>
        </w:tc>
        <w:tc>
          <w:tcPr>
            <w:tcW w:w="1430" w:type="dxa"/>
            <w:tcBorders>
              <w:top w:val="nil"/>
              <w:left w:val="nil"/>
              <w:right w:val="nil"/>
            </w:tcBorders>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5D2BC3">
              <w:rPr>
                <w:rFonts w:cs="Calibri"/>
                <w:szCs w:val="20"/>
              </w:rPr>
              <w:t>0%</w:t>
            </w:r>
          </w:p>
        </w:tc>
        <w:tc>
          <w:tcPr>
            <w:tcW w:w="1430" w:type="dxa"/>
            <w:tcBorders>
              <w:top w:val="nil"/>
              <w:left w:val="nil"/>
              <w:right w:val="nil"/>
            </w:tcBorders>
            <w:shd w:val="clear" w:color="auto" w:fill="auto"/>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12%</w:t>
            </w:r>
          </w:p>
        </w:tc>
        <w:tc>
          <w:tcPr>
            <w:tcW w:w="1430" w:type="dxa"/>
            <w:tcBorders>
              <w:top w:val="nil"/>
              <w:left w:val="nil"/>
              <w:right w:val="nil"/>
            </w:tcBorders>
            <w:shd w:val="clear" w:color="auto" w:fill="auto"/>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0%</w:t>
            </w:r>
          </w:p>
        </w:tc>
      </w:tr>
      <w:tr w:rsidR="00C67E97" w:rsidRPr="005D2BC3" w:rsidTr="00912A38">
        <w:tc>
          <w:tcPr>
            <w:tcW w:w="5066" w:type="dxa"/>
            <w:tcBorders>
              <w:top w:val="nil"/>
              <w:left w:val="nil"/>
              <w:bottom w:val="nil"/>
              <w:right w:val="nil"/>
            </w:tcBorders>
          </w:tcPr>
          <w:p w:rsidR="00C67E97" w:rsidRPr="005D2BC3" w:rsidRDefault="00C67E97" w:rsidP="00870C93">
            <w:pPr>
              <w:pStyle w:val="Tabletextindenta"/>
              <w:spacing w:before="10" w:after="10"/>
            </w:pPr>
            <w:r w:rsidRPr="005D2BC3">
              <w:t xml:space="preserve">Criminal Case Clearance Indicator </w:t>
            </w:r>
            <w:r w:rsidRPr="005D2BC3">
              <w:softHyphen/>
            </w:r>
            <w:r>
              <w:t xml:space="preserve">– </w:t>
            </w:r>
            <w:r w:rsidRPr="005D2BC3">
              <w:t>Percentage of Supreme Court finalisations, divided by the number of lodgements</w:t>
            </w:r>
            <w:r w:rsidR="00476636">
              <w:rPr>
                <w:vertAlign w:val="superscript"/>
              </w:rPr>
              <w:t>10</w:t>
            </w:r>
          </w:p>
        </w:tc>
        <w:tc>
          <w:tcPr>
            <w:tcW w:w="1430" w:type="dxa"/>
            <w:tcBorders>
              <w:top w:val="nil"/>
              <w:left w:val="nil"/>
              <w:bottom w:val="nil"/>
              <w:right w:val="nil"/>
            </w:tcBorders>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5D2BC3">
              <w:rPr>
                <w:rFonts w:cs="Calibri"/>
                <w:szCs w:val="20"/>
              </w:rPr>
              <w:t>100%</w:t>
            </w:r>
          </w:p>
        </w:tc>
        <w:tc>
          <w:tcPr>
            <w:tcW w:w="1430" w:type="dxa"/>
            <w:tcBorders>
              <w:top w:val="nil"/>
              <w:left w:val="nil"/>
              <w:bottom w:val="nil"/>
              <w:right w:val="nil"/>
            </w:tcBorders>
            <w:shd w:val="clear" w:color="auto" w:fill="auto"/>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130%</w:t>
            </w:r>
          </w:p>
        </w:tc>
        <w:tc>
          <w:tcPr>
            <w:tcW w:w="1430" w:type="dxa"/>
            <w:tcBorders>
              <w:top w:val="nil"/>
              <w:left w:val="nil"/>
              <w:bottom w:val="nil"/>
              <w:right w:val="nil"/>
            </w:tcBorders>
            <w:shd w:val="clear" w:color="auto" w:fill="auto"/>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100%</w:t>
            </w:r>
          </w:p>
        </w:tc>
      </w:tr>
      <w:tr w:rsidR="00C67E97" w:rsidRPr="005D2BC3" w:rsidTr="00912A38">
        <w:tc>
          <w:tcPr>
            <w:tcW w:w="5066" w:type="dxa"/>
            <w:tcBorders>
              <w:top w:val="nil"/>
              <w:left w:val="nil"/>
              <w:bottom w:val="nil"/>
              <w:right w:val="nil"/>
            </w:tcBorders>
          </w:tcPr>
          <w:p w:rsidR="00C67E97" w:rsidRPr="005D2BC3" w:rsidRDefault="00C67E97" w:rsidP="00870C93">
            <w:pPr>
              <w:pStyle w:val="Tabletextindenta"/>
              <w:spacing w:before="10" w:after="10"/>
            </w:pPr>
            <w:r w:rsidRPr="005D2BC3">
              <w:t xml:space="preserve">Criminal Case Clearance Indicator </w:t>
            </w:r>
            <w:r>
              <w:t xml:space="preserve">– </w:t>
            </w:r>
            <w:r w:rsidRPr="005D2BC3">
              <w:t>Percentage of Magistrates Court finalisations, divided by the number of lodgements</w:t>
            </w:r>
          </w:p>
        </w:tc>
        <w:tc>
          <w:tcPr>
            <w:tcW w:w="1430" w:type="dxa"/>
            <w:tcBorders>
              <w:top w:val="nil"/>
              <w:left w:val="nil"/>
              <w:bottom w:val="nil"/>
              <w:right w:val="nil"/>
            </w:tcBorders>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5D2BC3">
              <w:rPr>
                <w:rFonts w:cs="Calibri"/>
                <w:szCs w:val="20"/>
              </w:rPr>
              <w:t>100%</w:t>
            </w:r>
          </w:p>
        </w:tc>
        <w:tc>
          <w:tcPr>
            <w:tcW w:w="1430" w:type="dxa"/>
            <w:tcBorders>
              <w:top w:val="nil"/>
              <w:left w:val="nil"/>
              <w:bottom w:val="nil"/>
              <w:right w:val="nil"/>
            </w:tcBorders>
            <w:shd w:val="clear" w:color="auto" w:fill="auto"/>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102%</w:t>
            </w:r>
          </w:p>
        </w:tc>
        <w:tc>
          <w:tcPr>
            <w:tcW w:w="1430" w:type="dxa"/>
            <w:tcBorders>
              <w:top w:val="nil"/>
              <w:left w:val="nil"/>
              <w:bottom w:val="nil"/>
              <w:right w:val="nil"/>
            </w:tcBorders>
            <w:shd w:val="clear" w:color="auto" w:fill="auto"/>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100%</w:t>
            </w:r>
          </w:p>
        </w:tc>
      </w:tr>
      <w:tr w:rsidR="00C67E97" w:rsidRPr="005D2BC3" w:rsidTr="00912A38">
        <w:tc>
          <w:tcPr>
            <w:tcW w:w="5066" w:type="dxa"/>
            <w:tcBorders>
              <w:top w:val="nil"/>
              <w:left w:val="nil"/>
              <w:bottom w:val="nil"/>
              <w:right w:val="nil"/>
            </w:tcBorders>
          </w:tcPr>
          <w:p w:rsidR="00C67E97" w:rsidRPr="005D2BC3" w:rsidRDefault="00C67E97" w:rsidP="00870C93">
            <w:pPr>
              <w:pStyle w:val="Tabletextindenta"/>
              <w:spacing w:before="10" w:after="10"/>
            </w:pPr>
            <w:r w:rsidRPr="005D2BC3">
              <w:t xml:space="preserve">Civil Case Clearance Indicator </w:t>
            </w:r>
            <w:r>
              <w:t xml:space="preserve">– </w:t>
            </w:r>
            <w:r w:rsidRPr="005D2BC3">
              <w:t>Percentage of Supreme Court finalisations, divided by the number of lodgements</w:t>
            </w:r>
            <w:r w:rsidR="00476636">
              <w:rPr>
                <w:vertAlign w:val="superscript"/>
              </w:rPr>
              <w:t>11</w:t>
            </w:r>
          </w:p>
        </w:tc>
        <w:tc>
          <w:tcPr>
            <w:tcW w:w="1430" w:type="dxa"/>
            <w:tcBorders>
              <w:top w:val="nil"/>
              <w:left w:val="nil"/>
              <w:bottom w:val="nil"/>
              <w:right w:val="nil"/>
            </w:tcBorders>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5D2BC3">
              <w:rPr>
                <w:rFonts w:cs="Calibri"/>
                <w:szCs w:val="20"/>
              </w:rPr>
              <w:t>100%</w:t>
            </w:r>
          </w:p>
        </w:tc>
        <w:tc>
          <w:tcPr>
            <w:tcW w:w="1430" w:type="dxa"/>
            <w:tcBorders>
              <w:top w:val="nil"/>
              <w:left w:val="nil"/>
              <w:bottom w:val="nil"/>
              <w:right w:val="nil"/>
            </w:tcBorders>
            <w:shd w:val="clear" w:color="auto" w:fill="auto"/>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120%</w:t>
            </w:r>
          </w:p>
        </w:tc>
        <w:tc>
          <w:tcPr>
            <w:tcW w:w="1430" w:type="dxa"/>
            <w:tcBorders>
              <w:top w:val="nil"/>
              <w:left w:val="nil"/>
              <w:bottom w:val="nil"/>
              <w:right w:val="nil"/>
            </w:tcBorders>
            <w:shd w:val="clear" w:color="auto" w:fill="auto"/>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100%</w:t>
            </w:r>
          </w:p>
        </w:tc>
      </w:tr>
      <w:tr w:rsidR="00C67E97" w:rsidRPr="005D2BC3" w:rsidTr="000B0CD0">
        <w:trPr>
          <w:trHeight w:val="841"/>
        </w:trPr>
        <w:tc>
          <w:tcPr>
            <w:tcW w:w="5066" w:type="dxa"/>
            <w:tcBorders>
              <w:top w:val="nil"/>
              <w:left w:val="nil"/>
              <w:right w:val="nil"/>
            </w:tcBorders>
          </w:tcPr>
          <w:p w:rsidR="00C67E97" w:rsidRPr="005D2BC3" w:rsidRDefault="00C67E97" w:rsidP="00870C93">
            <w:pPr>
              <w:pStyle w:val="Tabletextindenta"/>
              <w:spacing w:before="10" w:after="10"/>
            </w:pPr>
            <w:r w:rsidRPr="005D2BC3">
              <w:t>Civil Case Clearance Indicator</w:t>
            </w:r>
            <w:r w:rsidRPr="005D2BC3">
              <w:softHyphen/>
              <w:t xml:space="preserve"> </w:t>
            </w:r>
            <w:r>
              <w:t xml:space="preserve">– </w:t>
            </w:r>
            <w:r w:rsidRPr="005D2BC3">
              <w:t>Percentage of Magistrates Court finalisations, divided by the number of lodgements</w:t>
            </w:r>
          </w:p>
        </w:tc>
        <w:tc>
          <w:tcPr>
            <w:tcW w:w="1430" w:type="dxa"/>
            <w:tcBorders>
              <w:top w:val="nil"/>
              <w:left w:val="nil"/>
              <w:right w:val="nil"/>
            </w:tcBorders>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5D2BC3">
              <w:rPr>
                <w:rFonts w:cs="Calibri"/>
                <w:szCs w:val="20"/>
              </w:rPr>
              <w:t>100%</w:t>
            </w:r>
          </w:p>
        </w:tc>
        <w:tc>
          <w:tcPr>
            <w:tcW w:w="1430" w:type="dxa"/>
            <w:tcBorders>
              <w:top w:val="nil"/>
              <w:left w:val="nil"/>
              <w:right w:val="nil"/>
            </w:tcBorders>
            <w:shd w:val="clear" w:color="auto" w:fill="auto"/>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95%</w:t>
            </w:r>
          </w:p>
        </w:tc>
        <w:tc>
          <w:tcPr>
            <w:tcW w:w="1430" w:type="dxa"/>
            <w:tcBorders>
              <w:top w:val="nil"/>
              <w:left w:val="nil"/>
              <w:right w:val="nil"/>
            </w:tcBorders>
            <w:shd w:val="clear" w:color="auto" w:fill="auto"/>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100%</w:t>
            </w:r>
          </w:p>
        </w:tc>
      </w:tr>
      <w:tr w:rsidR="00C67E97" w:rsidRPr="005D2BC3" w:rsidTr="0092267D">
        <w:trPr>
          <w:trHeight w:val="137"/>
        </w:trPr>
        <w:tc>
          <w:tcPr>
            <w:tcW w:w="5066" w:type="dxa"/>
            <w:tcBorders>
              <w:top w:val="nil"/>
              <w:left w:val="nil"/>
              <w:bottom w:val="nil"/>
              <w:right w:val="nil"/>
            </w:tcBorders>
          </w:tcPr>
          <w:p w:rsidR="00C67E97" w:rsidRPr="005D2BC3" w:rsidRDefault="00C67E97" w:rsidP="00870C93">
            <w:pPr>
              <w:pStyle w:val="AIIndent"/>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ind w:left="0" w:right="-108" w:firstLine="0"/>
              <w:rPr>
                <w:rFonts w:cs="Calibri"/>
              </w:rPr>
            </w:pPr>
            <w:r w:rsidRPr="005D2BC3">
              <w:rPr>
                <w:rFonts w:cs="Calibri"/>
                <w:b/>
                <w:bCs/>
              </w:rPr>
              <w:t>Tribunal</w:t>
            </w:r>
          </w:p>
        </w:tc>
        <w:tc>
          <w:tcPr>
            <w:tcW w:w="1430" w:type="dxa"/>
            <w:tcBorders>
              <w:top w:val="nil"/>
              <w:left w:val="nil"/>
              <w:bottom w:val="nil"/>
              <w:right w:val="nil"/>
            </w:tcBorders>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p>
        </w:tc>
        <w:tc>
          <w:tcPr>
            <w:tcW w:w="1430" w:type="dxa"/>
            <w:tcBorders>
              <w:top w:val="nil"/>
              <w:left w:val="nil"/>
              <w:bottom w:val="nil"/>
              <w:right w:val="nil"/>
            </w:tcBorders>
            <w:shd w:val="clear" w:color="auto" w:fill="auto"/>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p>
        </w:tc>
        <w:tc>
          <w:tcPr>
            <w:tcW w:w="1430" w:type="dxa"/>
            <w:tcBorders>
              <w:top w:val="nil"/>
              <w:left w:val="nil"/>
              <w:bottom w:val="nil"/>
              <w:right w:val="nil"/>
            </w:tcBorders>
            <w:shd w:val="clear" w:color="auto" w:fill="auto"/>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p>
        </w:tc>
      </w:tr>
      <w:tr w:rsidR="00C67E97" w:rsidRPr="004A60D9" w:rsidTr="00912A38">
        <w:tc>
          <w:tcPr>
            <w:tcW w:w="5066" w:type="dxa"/>
            <w:tcBorders>
              <w:top w:val="nil"/>
              <w:left w:val="nil"/>
              <w:bottom w:val="nil"/>
              <w:right w:val="nil"/>
            </w:tcBorders>
          </w:tcPr>
          <w:p w:rsidR="00C67E97" w:rsidRPr="004A60D9" w:rsidRDefault="00C67E97" w:rsidP="00870C93">
            <w:pPr>
              <w:pStyle w:val="Tabletextindenta"/>
              <w:spacing w:before="10" w:after="10"/>
            </w:pPr>
            <w:r w:rsidRPr="004A60D9">
              <w:t>Appropriate presidential resources – number of presidential members per 100,000 population</w:t>
            </w:r>
          </w:p>
        </w:tc>
        <w:tc>
          <w:tcPr>
            <w:tcW w:w="1430" w:type="dxa"/>
            <w:tcBorders>
              <w:top w:val="nil"/>
              <w:left w:val="nil"/>
              <w:bottom w:val="nil"/>
              <w:right w:val="nil"/>
            </w:tcBorders>
          </w:tcPr>
          <w:p w:rsidR="00C67E97" w:rsidRPr="004A60D9"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4A60D9">
              <w:rPr>
                <w:rFonts w:cs="Calibri"/>
                <w:szCs w:val="20"/>
              </w:rPr>
              <w:t>0.9</w:t>
            </w:r>
          </w:p>
        </w:tc>
        <w:tc>
          <w:tcPr>
            <w:tcW w:w="1430" w:type="dxa"/>
            <w:tcBorders>
              <w:top w:val="nil"/>
              <w:left w:val="nil"/>
              <w:bottom w:val="nil"/>
              <w:right w:val="nil"/>
            </w:tcBorders>
            <w:shd w:val="clear" w:color="auto" w:fill="auto"/>
          </w:tcPr>
          <w:p w:rsidR="00C67E97" w:rsidRPr="004A60D9"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4A60D9">
              <w:rPr>
                <w:rFonts w:cs="Calibri"/>
                <w:szCs w:val="20"/>
              </w:rPr>
              <w:t>0.8</w:t>
            </w:r>
          </w:p>
        </w:tc>
        <w:tc>
          <w:tcPr>
            <w:tcW w:w="1430" w:type="dxa"/>
            <w:tcBorders>
              <w:top w:val="nil"/>
              <w:left w:val="nil"/>
              <w:bottom w:val="nil"/>
              <w:right w:val="nil"/>
            </w:tcBorders>
            <w:shd w:val="clear" w:color="auto" w:fill="auto"/>
          </w:tcPr>
          <w:p w:rsidR="00C67E97" w:rsidRPr="004A60D9"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4A60D9">
              <w:rPr>
                <w:rFonts w:cs="Calibri"/>
                <w:szCs w:val="20"/>
              </w:rPr>
              <w:t>0.8</w:t>
            </w:r>
          </w:p>
        </w:tc>
      </w:tr>
      <w:tr w:rsidR="00C67E97" w:rsidRPr="005D2BC3" w:rsidTr="00912A38">
        <w:tc>
          <w:tcPr>
            <w:tcW w:w="5066" w:type="dxa"/>
            <w:tcBorders>
              <w:top w:val="nil"/>
              <w:left w:val="nil"/>
              <w:bottom w:val="nil"/>
              <w:right w:val="nil"/>
            </w:tcBorders>
          </w:tcPr>
          <w:p w:rsidR="00C67E97" w:rsidRPr="005D2BC3" w:rsidRDefault="00C67E97" w:rsidP="00870C93">
            <w:pPr>
              <w:pStyle w:val="Tabletextindenta"/>
              <w:spacing w:before="10" w:after="10"/>
            </w:pPr>
            <w:r w:rsidRPr="005D2BC3">
              <w:t>Reasonable cost of lodgement at the ACT Civil and Administrative Tribunal (ACAT) – average fees collected per ACAT matter where fees are paid</w:t>
            </w:r>
            <w:r w:rsidR="00476636" w:rsidRPr="00476636">
              <w:rPr>
                <w:vertAlign w:val="superscript"/>
              </w:rPr>
              <w:t>2</w:t>
            </w:r>
          </w:p>
        </w:tc>
        <w:tc>
          <w:tcPr>
            <w:tcW w:w="1430" w:type="dxa"/>
            <w:tcBorders>
              <w:top w:val="nil"/>
              <w:left w:val="nil"/>
              <w:bottom w:val="nil"/>
              <w:right w:val="nil"/>
            </w:tcBorders>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5D2BC3">
              <w:rPr>
                <w:rFonts w:cs="Calibri"/>
                <w:szCs w:val="20"/>
              </w:rPr>
              <w:t>$1</w:t>
            </w:r>
            <w:r>
              <w:rPr>
                <w:rFonts w:cs="Calibri"/>
                <w:szCs w:val="20"/>
              </w:rPr>
              <w:t>38</w:t>
            </w:r>
          </w:p>
        </w:tc>
        <w:tc>
          <w:tcPr>
            <w:tcW w:w="1430" w:type="dxa"/>
            <w:tcBorders>
              <w:top w:val="nil"/>
              <w:left w:val="nil"/>
              <w:bottom w:val="nil"/>
              <w:right w:val="nil"/>
            </w:tcBorders>
            <w:shd w:val="clear" w:color="auto" w:fill="auto"/>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$140</w:t>
            </w:r>
          </w:p>
        </w:tc>
        <w:tc>
          <w:tcPr>
            <w:tcW w:w="1430" w:type="dxa"/>
            <w:tcBorders>
              <w:top w:val="nil"/>
              <w:left w:val="nil"/>
              <w:bottom w:val="nil"/>
              <w:right w:val="nil"/>
            </w:tcBorders>
            <w:shd w:val="clear" w:color="auto" w:fill="auto"/>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$143</w:t>
            </w:r>
          </w:p>
        </w:tc>
      </w:tr>
      <w:tr w:rsidR="00C67E97" w:rsidRPr="005D2BC3" w:rsidTr="00912A38">
        <w:tc>
          <w:tcPr>
            <w:tcW w:w="5066" w:type="dxa"/>
            <w:tcBorders>
              <w:top w:val="nil"/>
              <w:left w:val="nil"/>
              <w:right w:val="nil"/>
            </w:tcBorders>
          </w:tcPr>
          <w:p w:rsidR="00C67E97" w:rsidRPr="005D2BC3" w:rsidRDefault="00C67E97" w:rsidP="00870C93">
            <w:pPr>
              <w:pStyle w:val="Tabletextindenta"/>
              <w:spacing w:before="10" w:after="10"/>
            </w:pPr>
            <w:r w:rsidRPr="005D2BC3">
              <w:t xml:space="preserve">Backlog Indicator </w:t>
            </w:r>
            <w:r w:rsidRPr="005D2BC3">
              <w:softHyphen/>
            </w:r>
            <w:r>
              <w:t xml:space="preserve">– </w:t>
            </w:r>
            <w:r w:rsidRPr="005D2BC3">
              <w:t>Percentage of pending active cases in ACAT not resolved within 12 months</w:t>
            </w:r>
          </w:p>
        </w:tc>
        <w:tc>
          <w:tcPr>
            <w:tcW w:w="1430" w:type="dxa"/>
            <w:tcBorders>
              <w:top w:val="nil"/>
              <w:left w:val="nil"/>
              <w:right w:val="nil"/>
            </w:tcBorders>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5D2BC3">
              <w:rPr>
                <w:rFonts w:cs="Calibri"/>
                <w:szCs w:val="20"/>
              </w:rPr>
              <w:t>&lt;5%</w:t>
            </w:r>
          </w:p>
        </w:tc>
        <w:tc>
          <w:tcPr>
            <w:tcW w:w="1430" w:type="dxa"/>
            <w:tcBorders>
              <w:top w:val="nil"/>
              <w:left w:val="nil"/>
              <w:right w:val="nil"/>
            </w:tcBorders>
            <w:shd w:val="clear" w:color="auto" w:fill="auto"/>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&lt;5%</w:t>
            </w:r>
          </w:p>
        </w:tc>
        <w:tc>
          <w:tcPr>
            <w:tcW w:w="1430" w:type="dxa"/>
            <w:tcBorders>
              <w:top w:val="nil"/>
              <w:left w:val="nil"/>
              <w:right w:val="nil"/>
            </w:tcBorders>
            <w:shd w:val="clear" w:color="auto" w:fill="auto"/>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&lt;5%</w:t>
            </w:r>
          </w:p>
        </w:tc>
      </w:tr>
      <w:tr w:rsidR="00C67E97" w:rsidRPr="005D2BC3" w:rsidTr="00912A38">
        <w:tc>
          <w:tcPr>
            <w:tcW w:w="5066" w:type="dxa"/>
            <w:tcBorders>
              <w:top w:val="nil"/>
              <w:left w:val="nil"/>
              <w:bottom w:val="single" w:sz="4" w:space="0" w:color="auto"/>
              <w:right w:val="nil"/>
            </w:tcBorders>
          </w:tcPr>
          <w:p w:rsidR="00C67E97" w:rsidRPr="005D2BC3" w:rsidRDefault="00C67E97" w:rsidP="00870C93">
            <w:pPr>
              <w:pStyle w:val="Tabletextindenta"/>
              <w:spacing w:before="10" w:after="10"/>
            </w:pPr>
            <w:r w:rsidRPr="005D2BC3">
              <w:t xml:space="preserve">Clearance Indicator  </w:t>
            </w:r>
            <w:r>
              <w:t xml:space="preserve">– </w:t>
            </w:r>
            <w:r w:rsidRPr="005D2BC3">
              <w:t>Percentage of ACAT finalisations, divided by the number of lodgements</w:t>
            </w:r>
            <w:r w:rsidR="001C579C">
              <w:rPr>
                <w:vertAlign w:val="superscript"/>
              </w:rPr>
              <w:t>1</w:t>
            </w:r>
            <w:r w:rsidR="00476636">
              <w:rPr>
                <w:vertAlign w:val="superscript"/>
              </w:rPr>
              <w:t>2</w:t>
            </w:r>
          </w:p>
        </w:tc>
        <w:tc>
          <w:tcPr>
            <w:tcW w:w="1430" w:type="dxa"/>
            <w:tcBorders>
              <w:top w:val="nil"/>
              <w:left w:val="nil"/>
              <w:bottom w:val="single" w:sz="4" w:space="0" w:color="auto"/>
              <w:right w:val="nil"/>
            </w:tcBorders>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sidRPr="005D2BC3">
              <w:rPr>
                <w:rFonts w:cs="Calibri"/>
                <w:szCs w:val="20"/>
              </w:rPr>
              <w:t>100%</w:t>
            </w:r>
          </w:p>
        </w:tc>
        <w:tc>
          <w:tcPr>
            <w:tcW w:w="1430" w:type="dxa"/>
            <w:tcBorders>
              <w:top w:val="nil"/>
              <w:left w:val="nil"/>
              <w:bottom w:val="single" w:sz="4" w:space="0" w:color="auto"/>
              <w:right w:val="nil"/>
            </w:tcBorders>
            <w:shd w:val="clear" w:color="auto" w:fill="auto"/>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125%</w:t>
            </w:r>
          </w:p>
        </w:tc>
        <w:tc>
          <w:tcPr>
            <w:tcW w:w="1430" w:type="dxa"/>
            <w:tcBorders>
              <w:top w:val="nil"/>
              <w:left w:val="nil"/>
              <w:bottom w:val="single" w:sz="4" w:space="0" w:color="auto"/>
              <w:right w:val="nil"/>
            </w:tcBorders>
            <w:shd w:val="clear" w:color="auto" w:fill="auto"/>
          </w:tcPr>
          <w:p w:rsidR="00C67E97" w:rsidRPr="005D2BC3" w:rsidRDefault="00C67E97" w:rsidP="00870C93">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100%</w:t>
            </w:r>
          </w:p>
        </w:tc>
      </w:tr>
    </w:tbl>
    <w:p w:rsidR="000B0CD0" w:rsidRDefault="000B0CD0" w:rsidP="00C258E6">
      <w:pPr>
        <w:pStyle w:val="Heading3"/>
        <w:spacing w:before="0"/>
      </w:pPr>
    </w:p>
    <w:p w:rsidR="000B0CD0" w:rsidRDefault="000B0CD0" w:rsidP="000B0CD0">
      <w:pPr>
        <w:pStyle w:val="BodyText"/>
        <w:rPr>
          <w:rFonts w:ascii="Arial" w:hAnsi="Arial" w:cs="Arial"/>
          <w:szCs w:val="26"/>
        </w:rPr>
      </w:pPr>
      <w:r>
        <w:br w:type="page"/>
      </w:r>
    </w:p>
    <w:p w:rsidR="00C258E6" w:rsidRPr="00D325FA" w:rsidRDefault="00C258E6" w:rsidP="00C258E6">
      <w:pPr>
        <w:pStyle w:val="Heading3"/>
        <w:spacing w:before="0"/>
      </w:pPr>
      <w:proofErr w:type="gramStart"/>
      <w:r w:rsidRPr="00D325FA">
        <w:lastRenderedPageBreak/>
        <w:t>Accountability Indicators</w:t>
      </w:r>
      <w:r>
        <w:t xml:space="preserve"> cont.</w:t>
      </w:r>
      <w:proofErr w:type="gramEnd"/>
    </w:p>
    <w:p w:rsidR="00C67E97" w:rsidRPr="004A60D9" w:rsidRDefault="00C67E97" w:rsidP="00C67E97">
      <w:pPr>
        <w:pStyle w:val="NoteHeading0"/>
      </w:pPr>
      <w:r w:rsidRPr="004A60D9">
        <w:t xml:space="preserve">Notes: </w:t>
      </w:r>
    </w:p>
    <w:p w:rsidR="008B6F53" w:rsidRPr="004A60D9" w:rsidRDefault="008B6F53" w:rsidP="00A2331E">
      <w:pPr>
        <w:pStyle w:val="AINotes"/>
        <w:numPr>
          <w:ilvl w:val="0"/>
          <w:numId w:val="44"/>
        </w:numPr>
        <w:rPr>
          <w:color w:val="000000"/>
        </w:rPr>
      </w:pPr>
      <w:r w:rsidRPr="004A60D9">
        <w:rPr>
          <w:color w:val="000000"/>
        </w:rPr>
        <w:t xml:space="preserve">The 2012-13 estimated </w:t>
      </w:r>
      <w:proofErr w:type="gramStart"/>
      <w:r w:rsidRPr="004A60D9">
        <w:rPr>
          <w:color w:val="000000"/>
        </w:rPr>
        <w:t>outcome</w:t>
      </w:r>
      <w:proofErr w:type="gramEnd"/>
      <w:r w:rsidRPr="004A60D9">
        <w:rPr>
          <w:color w:val="000000"/>
        </w:rPr>
        <w:t xml:space="preserve"> is 3.5 reflecting the impact of judicial officers on long service leave during the year and a downward revision in the allocation of the court registrars’ time on judicial functions compared to the original target for 2012-13.  It also accounts for the additional judicial resources including for the ‘Blitz’ period and an increase in the total ACT population.</w:t>
      </w:r>
      <w:r w:rsidR="00180889">
        <w:rPr>
          <w:color w:val="000000"/>
        </w:rPr>
        <w:t xml:space="preserve"> </w:t>
      </w:r>
      <w:r w:rsidRPr="004A60D9">
        <w:rPr>
          <w:color w:val="000000"/>
        </w:rPr>
        <w:t xml:space="preserve"> The revised 2013-14 target reflects the impact of the increase in the population over time and no change in number of jud</w:t>
      </w:r>
      <w:r w:rsidR="007958BB">
        <w:rPr>
          <w:color w:val="000000"/>
        </w:rPr>
        <w:t>icial officers for the 2013-14 B</w:t>
      </w:r>
      <w:r w:rsidRPr="004A60D9">
        <w:rPr>
          <w:color w:val="000000"/>
        </w:rPr>
        <w:t xml:space="preserve">udget </w:t>
      </w:r>
      <w:r w:rsidR="007958BB">
        <w:rPr>
          <w:color w:val="000000"/>
        </w:rPr>
        <w:t>period compared to the 2012-13 B</w:t>
      </w:r>
      <w:r w:rsidRPr="004A60D9">
        <w:rPr>
          <w:color w:val="000000"/>
        </w:rPr>
        <w:t>udget period.</w:t>
      </w:r>
    </w:p>
    <w:p w:rsidR="00895079" w:rsidRDefault="001C579C" w:rsidP="00A2331E">
      <w:pPr>
        <w:pStyle w:val="AINotes"/>
        <w:numPr>
          <w:ilvl w:val="0"/>
          <w:numId w:val="44"/>
        </w:numPr>
      </w:pPr>
      <w:r>
        <w:t>2012-13 target amended by s19D instrument NI2013-37 Amendment of Performance Criteria.</w:t>
      </w:r>
    </w:p>
    <w:p w:rsidR="00895079" w:rsidRDefault="00895079" w:rsidP="00A2331E">
      <w:pPr>
        <w:pStyle w:val="AINotes"/>
        <w:numPr>
          <w:ilvl w:val="0"/>
          <w:numId w:val="44"/>
        </w:numPr>
      </w:pPr>
      <w:r>
        <w:t>This reflects the mix of matters currently coming to the court and the imposition of variance hearing fees.</w:t>
      </w:r>
    </w:p>
    <w:p w:rsidR="00C67E97" w:rsidRPr="005D2BC3" w:rsidRDefault="00C67E97" w:rsidP="00A2331E">
      <w:pPr>
        <w:pStyle w:val="AINotes"/>
        <w:numPr>
          <w:ilvl w:val="0"/>
          <w:numId w:val="44"/>
        </w:numPr>
      </w:pPr>
      <w:r w:rsidRPr="005D2BC3">
        <w:t>The variance associated with this indicator is mainly due to lower economies of scale and the relatively small number of criminal case lodgements and finalisations when compared to other jurisdictions, even when compared to other small jurisdictions.</w:t>
      </w:r>
    </w:p>
    <w:p w:rsidR="00C67E97" w:rsidRDefault="00C67E97" w:rsidP="00A2331E">
      <w:pPr>
        <w:pStyle w:val="AINotes"/>
        <w:numPr>
          <w:ilvl w:val="0"/>
          <w:numId w:val="44"/>
        </w:numPr>
      </w:pPr>
      <w:r w:rsidRPr="005D2BC3">
        <w:t>The variance associated with this indicator is mainly due to lower economies of scale and the relatively small number of civil case lodgements and finalisations when compared to other jurisdictions.</w:t>
      </w:r>
    </w:p>
    <w:p w:rsidR="00895079" w:rsidRPr="00455E34" w:rsidRDefault="00895079" w:rsidP="00A2331E">
      <w:pPr>
        <w:pStyle w:val="AINotes"/>
        <w:numPr>
          <w:ilvl w:val="0"/>
          <w:numId w:val="44"/>
        </w:numPr>
        <w:rPr>
          <w:color w:val="000000"/>
        </w:rPr>
      </w:pPr>
      <w:r w:rsidRPr="00455E34">
        <w:rPr>
          <w:color w:val="000000"/>
        </w:rPr>
        <w:t>The criminal backlog over 24 months in the Supreme Court inc</w:t>
      </w:r>
      <w:r w:rsidR="003947BD">
        <w:rPr>
          <w:color w:val="000000"/>
        </w:rPr>
        <w:t>ludes matters with pending judg</w:t>
      </w:r>
      <w:r w:rsidRPr="00455E34">
        <w:rPr>
          <w:color w:val="000000"/>
        </w:rPr>
        <w:t>ments from judge only trials, matters on hold awaiting the outcome of an appeal, matters set down for a retrial due to the original tri</w:t>
      </w:r>
      <w:r w:rsidR="00860241">
        <w:rPr>
          <w:color w:val="000000"/>
        </w:rPr>
        <w:t xml:space="preserve">al being aborted or a hung jury.  </w:t>
      </w:r>
      <w:proofErr w:type="gramStart"/>
      <w:r w:rsidR="00860241">
        <w:rPr>
          <w:color w:val="000000"/>
        </w:rPr>
        <w:t>This  also</w:t>
      </w:r>
      <w:proofErr w:type="gramEnd"/>
      <w:r w:rsidR="00860241">
        <w:rPr>
          <w:color w:val="000000"/>
        </w:rPr>
        <w:t xml:space="preserve"> includes </w:t>
      </w:r>
      <w:r w:rsidRPr="00455E34">
        <w:rPr>
          <w:color w:val="000000"/>
        </w:rPr>
        <w:t>matters where the defendant is currently serving time in custody in another state and the ACT matter cannot proceed until the interstate sentence is completed.</w:t>
      </w:r>
    </w:p>
    <w:p w:rsidR="00895079" w:rsidRPr="00455E34" w:rsidRDefault="00895079" w:rsidP="00A2331E">
      <w:pPr>
        <w:pStyle w:val="AINotes"/>
        <w:numPr>
          <w:ilvl w:val="0"/>
          <w:numId w:val="44"/>
        </w:numPr>
        <w:rPr>
          <w:color w:val="000000"/>
        </w:rPr>
      </w:pPr>
      <w:r w:rsidRPr="00455E34">
        <w:rPr>
          <w:color w:val="000000"/>
        </w:rPr>
        <w:t xml:space="preserve">The criminal backlog in the Magistrates Court mainly relates to matters where the defendant has been provided with a deferred sentence pending compliance with a good behaviour bond and matters awaiting the outcome of </w:t>
      </w:r>
      <w:r w:rsidR="003947BD">
        <w:rPr>
          <w:color w:val="000000"/>
        </w:rPr>
        <w:t xml:space="preserve">a </w:t>
      </w:r>
      <w:r w:rsidRPr="00455E34">
        <w:rPr>
          <w:color w:val="000000"/>
        </w:rPr>
        <w:t>Supreme Court matter</w:t>
      </w:r>
      <w:r w:rsidR="003947BD">
        <w:rPr>
          <w:color w:val="000000"/>
        </w:rPr>
        <w:t>.</w:t>
      </w:r>
    </w:p>
    <w:p w:rsidR="00C67E97" w:rsidRPr="005D2BC3" w:rsidRDefault="00C67E97" w:rsidP="00A2331E">
      <w:pPr>
        <w:pStyle w:val="AINotes"/>
        <w:numPr>
          <w:ilvl w:val="0"/>
          <w:numId w:val="44"/>
        </w:numPr>
      </w:pPr>
      <w:r w:rsidRPr="005D2BC3">
        <w:t xml:space="preserve">There is an expectation that there will be some further reduction in the backlog due to the </w:t>
      </w:r>
      <w:r>
        <w:t>“</w:t>
      </w:r>
      <w:r w:rsidRPr="005D2BC3">
        <w:t>Blitz</w:t>
      </w:r>
      <w:r>
        <w:t>”</w:t>
      </w:r>
      <w:r w:rsidRPr="005D2BC3">
        <w:t>.</w:t>
      </w:r>
    </w:p>
    <w:p w:rsidR="00C67E97" w:rsidRPr="005D2BC3" w:rsidRDefault="00C67E97" w:rsidP="00A2331E">
      <w:pPr>
        <w:pStyle w:val="AINotes"/>
        <w:numPr>
          <w:ilvl w:val="0"/>
          <w:numId w:val="44"/>
        </w:numPr>
      </w:pPr>
      <w:r w:rsidRPr="005D2BC3">
        <w:t>This variance is largely due to numbers of coronial matters pending.</w:t>
      </w:r>
    </w:p>
    <w:p w:rsidR="00C67E97" w:rsidRPr="005D2BC3" w:rsidRDefault="00C67E97" w:rsidP="00A2331E">
      <w:pPr>
        <w:pStyle w:val="AINotes"/>
        <w:numPr>
          <w:ilvl w:val="0"/>
          <w:numId w:val="44"/>
        </w:numPr>
      </w:pPr>
      <w:r w:rsidRPr="005D2BC3">
        <w:t>There is an expectation that the “Blitz” will see an increase in the Supreme Court criminal finalisation rate</w:t>
      </w:r>
      <w:r>
        <w:t xml:space="preserve"> for the financial year compared to the previous financial year.</w:t>
      </w:r>
    </w:p>
    <w:p w:rsidR="00C67E97" w:rsidRPr="005D2BC3" w:rsidRDefault="00C67E97" w:rsidP="00A2331E">
      <w:pPr>
        <w:pStyle w:val="AINotes"/>
        <w:numPr>
          <w:ilvl w:val="0"/>
          <w:numId w:val="44"/>
        </w:numPr>
      </w:pPr>
      <w:r w:rsidRPr="005D2BC3">
        <w:t>There is an expectation that the “Blitz” will see a</w:t>
      </w:r>
      <w:r>
        <w:t>n</w:t>
      </w:r>
      <w:r w:rsidRPr="005D2BC3">
        <w:t xml:space="preserve"> increase in the Supreme Court civil finalisation rate </w:t>
      </w:r>
      <w:r>
        <w:t>for</w:t>
      </w:r>
      <w:r w:rsidRPr="005D2BC3">
        <w:t xml:space="preserve"> the financial year</w:t>
      </w:r>
      <w:r>
        <w:t xml:space="preserve"> compared to the previous financial year</w:t>
      </w:r>
      <w:r w:rsidRPr="005D2BC3">
        <w:t>.</w:t>
      </w:r>
    </w:p>
    <w:p w:rsidR="00C67E97" w:rsidRDefault="00C67E97" w:rsidP="00A2331E">
      <w:pPr>
        <w:pStyle w:val="AINotes"/>
        <w:numPr>
          <w:ilvl w:val="0"/>
          <w:numId w:val="44"/>
        </w:numPr>
        <w:spacing w:after="60"/>
      </w:pPr>
      <w:r w:rsidRPr="005D2BC3">
        <w:t xml:space="preserve">It is expected that the new appointments to the ACAT </w:t>
      </w:r>
      <w:r>
        <w:t xml:space="preserve">and the finalisation before the end of the financial year of a number of matters that have been grouped for hearing purposes </w:t>
      </w:r>
      <w:r w:rsidRPr="005D2BC3">
        <w:t>will increase the finalisation rate by the end of the financial year.</w:t>
      </w:r>
    </w:p>
    <w:p w:rsidR="001F07B8" w:rsidRPr="005D2BC3" w:rsidRDefault="001F07B8" w:rsidP="001F07B8">
      <w:pPr>
        <w:pStyle w:val="AINotes"/>
        <w:numPr>
          <w:ilvl w:val="0"/>
          <w:numId w:val="0"/>
        </w:numPr>
        <w:spacing w:after="60"/>
        <w:ind w:left="357"/>
      </w:pPr>
    </w:p>
    <w:tbl>
      <w:tblPr>
        <w:tblW w:w="9356" w:type="dxa"/>
        <w:tblLayout w:type="fixed"/>
        <w:tblLook w:val="0000"/>
      </w:tblPr>
      <w:tblGrid>
        <w:gridCol w:w="5066"/>
        <w:gridCol w:w="1430"/>
        <w:gridCol w:w="1430"/>
        <w:gridCol w:w="1430"/>
      </w:tblGrid>
      <w:tr w:rsidR="00C67E97" w:rsidRPr="00D95D95" w:rsidTr="00BD272A">
        <w:tc>
          <w:tcPr>
            <w:tcW w:w="5066" w:type="dxa"/>
            <w:tcBorders>
              <w:top w:val="single" w:sz="4" w:space="0" w:color="auto"/>
              <w:left w:val="nil"/>
              <w:bottom w:val="single" w:sz="4" w:space="0" w:color="auto"/>
              <w:right w:val="nil"/>
            </w:tcBorders>
            <w:shd w:val="clear" w:color="auto" w:fill="auto"/>
          </w:tcPr>
          <w:p w:rsidR="00C67E97"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30" w:type="dxa"/>
            <w:tcBorders>
              <w:top w:val="single" w:sz="4" w:space="0" w:color="auto"/>
              <w:left w:val="nil"/>
              <w:bottom w:val="single" w:sz="4" w:space="0" w:color="auto"/>
              <w:right w:val="nil"/>
            </w:tcBorders>
            <w:shd w:val="clear" w:color="auto" w:fill="auto"/>
          </w:tcPr>
          <w:p w:rsidR="00C67E97" w:rsidRPr="00D95D95"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95D95">
              <w:t>2012-13</w:t>
            </w:r>
            <w:r w:rsidRPr="00D95D95">
              <w:br/>
              <w:t>Targets</w:t>
            </w:r>
          </w:p>
        </w:tc>
        <w:tc>
          <w:tcPr>
            <w:tcW w:w="1430" w:type="dxa"/>
            <w:tcBorders>
              <w:top w:val="single" w:sz="4" w:space="0" w:color="auto"/>
              <w:left w:val="nil"/>
              <w:bottom w:val="single" w:sz="4" w:space="0" w:color="auto"/>
              <w:right w:val="nil"/>
            </w:tcBorders>
            <w:shd w:val="clear" w:color="auto" w:fill="auto"/>
          </w:tcPr>
          <w:p w:rsidR="00C67E97" w:rsidRPr="00D95D95"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95D95">
              <w:t>2012-13</w:t>
            </w:r>
            <w:r w:rsidRPr="00D95D95">
              <w:br/>
              <w:t>Est. Outcome</w:t>
            </w:r>
          </w:p>
        </w:tc>
        <w:tc>
          <w:tcPr>
            <w:tcW w:w="1430" w:type="dxa"/>
            <w:tcBorders>
              <w:top w:val="single" w:sz="4" w:space="0" w:color="auto"/>
              <w:left w:val="nil"/>
              <w:bottom w:val="single" w:sz="4" w:space="0" w:color="auto"/>
              <w:right w:val="nil"/>
            </w:tcBorders>
            <w:shd w:val="clear" w:color="auto" w:fill="auto"/>
          </w:tcPr>
          <w:p w:rsidR="00C67E97" w:rsidRPr="00D95D95" w:rsidRDefault="00C67E97" w:rsidP="007235C9">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95D95">
              <w:t>2013-14</w:t>
            </w:r>
            <w:r w:rsidRPr="00D95D95">
              <w:br/>
              <w:t>Targets</w:t>
            </w:r>
          </w:p>
        </w:tc>
      </w:tr>
      <w:tr w:rsidR="00C67E97" w:rsidRPr="00D95D95" w:rsidTr="00BD272A">
        <w:tc>
          <w:tcPr>
            <w:tcW w:w="5066" w:type="dxa"/>
            <w:tcBorders>
              <w:top w:val="single" w:sz="4" w:space="0" w:color="auto"/>
              <w:left w:val="nil"/>
              <w:bottom w:val="single" w:sz="4" w:space="0" w:color="auto"/>
              <w:right w:val="nil"/>
            </w:tcBorders>
            <w:shd w:val="clear" w:color="auto" w:fill="auto"/>
          </w:tcPr>
          <w:p w:rsidR="00C67E97" w:rsidRPr="00D95D95"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95D95">
              <w:t>Output Class 4:  Emergency Services</w:t>
            </w:r>
          </w:p>
        </w:tc>
        <w:tc>
          <w:tcPr>
            <w:tcW w:w="1430" w:type="dxa"/>
            <w:tcBorders>
              <w:top w:val="single" w:sz="4" w:space="0" w:color="auto"/>
              <w:left w:val="nil"/>
              <w:bottom w:val="single" w:sz="4" w:space="0" w:color="auto"/>
              <w:right w:val="nil"/>
            </w:tcBorders>
            <w:shd w:val="clear" w:color="auto" w:fill="auto"/>
            <w:vAlign w:val="center"/>
          </w:tcPr>
          <w:p w:rsidR="00C67E97" w:rsidRPr="00D95D95"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30" w:type="dxa"/>
            <w:tcBorders>
              <w:top w:val="single" w:sz="4" w:space="0" w:color="auto"/>
              <w:left w:val="nil"/>
              <w:bottom w:val="single" w:sz="4" w:space="0" w:color="auto"/>
              <w:right w:val="nil"/>
            </w:tcBorders>
            <w:shd w:val="clear" w:color="auto" w:fill="auto"/>
            <w:vAlign w:val="center"/>
          </w:tcPr>
          <w:p w:rsidR="00C67E97" w:rsidRPr="00D95D95"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30" w:type="dxa"/>
            <w:tcBorders>
              <w:top w:val="single" w:sz="4" w:space="0" w:color="auto"/>
              <w:left w:val="nil"/>
              <w:bottom w:val="single" w:sz="4" w:space="0" w:color="auto"/>
              <w:right w:val="nil"/>
            </w:tcBorders>
            <w:shd w:val="clear" w:color="auto" w:fill="auto"/>
            <w:vAlign w:val="center"/>
          </w:tcPr>
          <w:p w:rsidR="00C67E97" w:rsidRPr="00D95D95"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hd w:val="clear" w:color="auto" w:fill="FFFF00"/>
              </w:rPr>
            </w:pPr>
          </w:p>
        </w:tc>
      </w:tr>
      <w:tr w:rsidR="00C67E97" w:rsidRPr="00D95D95" w:rsidTr="00BD272A">
        <w:tc>
          <w:tcPr>
            <w:tcW w:w="5066" w:type="dxa"/>
            <w:tcBorders>
              <w:top w:val="single" w:sz="4" w:space="0" w:color="auto"/>
              <w:left w:val="nil"/>
              <w:bottom w:val="single" w:sz="4" w:space="0" w:color="auto"/>
              <w:right w:val="nil"/>
            </w:tcBorders>
            <w:shd w:val="clear" w:color="auto" w:fill="auto"/>
          </w:tcPr>
          <w:p w:rsidR="00C67E97" w:rsidRPr="00D95D95"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95D95">
              <w:t>Output 4.1:  Emergency Services</w:t>
            </w:r>
          </w:p>
        </w:tc>
        <w:tc>
          <w:tcPr>
            <w:tcW w:w="1430" w:type="dxa"/>
            <w:tcBorders>
              <w:top w:val="single" w:sz="4" w:space="0" w:color="auto"/>
              <w:left w:val="nil"/>
              <w:bottom w:val="single" w:sz="4" w:space="0" w:color="auto"/>
              <w:right w:val="nil"/>
            </w:tcBorders>
            <w:shd w:val="clear" w:color="auto" w:fill="auto"/>
            <w:vAlign w:val="center"/>
          </w:tcPr>
          <w:p w:rsidR="00C67E97" w:rsidRPr="00D95D95"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30" w:type="dxa"/>
            <w:tcBorders>
              <w:top w:val="single" w:sz="4" w:space="0" w:color="auto"/>
              <w:left w:val="nil"/>
              <w:bottom w:val="single" w:sz="4" w:space="0" w:color="auto"/>
              <w:right w:val="nil"/>
            </w:tcBorders>
            <w:shd w:val="clear" w:color="auto" w:fill="auto"/>
            <w:vAlign w:val="center"/>
          </w:tcPr>
          <w:p w:rsidR="00C67E97" w:rsidRPr="00D95D95"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30" w:type="dxa"/>
            <w:tcBorders>
              <w:top w:val="single" w:sz="4" w:space="0" w:color="auto"/>
              <w:left w:val="nil"/>
              <w:bottom w:val="single" w:sz="4" w:space="0" w:color="auto"/>
              <w:right w:val="nil"/>
            </w:tcBorders>
            <w:shd w:val="clear" w:color="auto" w:fill="auto"/>
            <w:vAlign w:val="center"/>
          </w:tcPr>
          <w:p w:rsidR="00C67E97" w:rsidRPr="00D95D95"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hd w:val="clear" w:color="auto" w:fill="FFFF00"/>
              </w:rPr>
            </w:pPr>
          </w:p>
        </w:tc>
      </w:tr>
      <w:tr w:rsidR="00C67E97" w:rsidRPr="00D95D95" w:rsidTr="00C30C07">
        <w:trPr>
          <w:trHeight w:hRule="exact" w:val="57"/>
        </w:trPr>
        <w:tc>
          <w:tcPr>
            <w:tcW w:w="5066" w:type="dxa"/>
            <w:tcBorders>
              <w:top w:val="nil"/>
              <w:left w:val="nil"/>
              <w:bottom w:val="nil"/>
              <w:right w:val="nil"/>
            </w:tcBorders>
            <w:shd w:val="clear" w:color="auto" w:fill="auto"/>
          </w:tcPr>
          <w:p w:rsidR="00C67E97" w:rsidRPr="00D95D95" w:rsidRDefault="00C67E97" w:rsidP="007235C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30" w:type="dxa"/>
            <w:tcBorders>
              <w:top w:val="nil"/>
              <w:left w:val="nil"/>
              <w:bottom w:val="nil"/>
              <w:right w:val="nil"/>
            </w:tcBorders>
            <w:shd w:val="clear" w:color="auto" w:fill="auto"/>
          </w:tcPr>
          <w:p w:rsidR="00C67E97" w:rsidRPr="00D95D95"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p>
        </w:tc>
        <w:tc>
          <w:tcPr>
            <w:tcW w:w="1430" w:type="dxa"/>
            <w:tcBorders>
              <w:top w:val="nil"/>
              <w:left w:val="nil"/>
              <w:right w:val="nil"/>
            </w:tcBorders>
            <w:shd w:val="clear" w:color="auto" w:fill="auto"/>
          </w:tcPr>
          <w:p w:rsidR="00C67E97" w:rsidRPr="00D95D95"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p>
        </w:tc>
        <w:tc>
          <w:tcPr>
            <w:tcW w:w="1430" w:type="dxa"/>
            <w:tcBorders>
              <w:top w:val="nil"/>
              <w:left w:val="nil"/>
              <w:bottom w:val="nil"/>
              <w:right w:val="nil"/>
            </w:tcBorders>
            <w:shd w:val="clear" w:color="auto" w:fill="auto"/>
          </w:tcPr>
          <w:p w:rsidR="00C67E97" w:rsidRPr="00D95D95"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p>
        </w:tc>
      </w:tr>
      <w:tr w:rsidR="00C67E97" w:rsidRPr="00D95D95" w:rsidTr="00BD272A">
        <w:tc>
          <w:tcPr>
            <w:tcW w:w="5066" w:type="dxa"/>
            <w:tcBorders>
              <w:top w:val="nil"/>
              <w:left w:val="nil"/>
              <w:bottom w:val="nil"/>
              <w:right w:val="nil"/>
            </w:tcBorders>
            <w:shd w:val="clear" w:color="auto" w:fill="auto"/>
          </w:tcPr>
          <w:p w:rsidR="00C67E97" w:rsidRPr="00D95D95" w:rsidRDefault="00C67E97" w:rsidP="000B0CD0">
            <w:pPr>
              <w:pStyle w:val="Tabletextindenta"/>
              <w:numPr>
                <w:ilvl w:val="0"/>
                <w:numId w:val="65"/>
              </w:numPr>
              <w:spacing w:before="10" w:after="10"/>
            </w:pPr>
            <w:r w:rsidRPr="00D95D95">
              <w:t>Reduction in loss time injury frequency rat</w:t>
            </w:r>
            <w:r w:rsidRPr="00BD272A">
              <w:t>e</w:t>
            </w:r>
            <w:r w:rsidRPr="000B0CD0">
              <w:rPr>
                <w:vertAlign w:val="superscript"/>
              </w:rPr>
              <w:t>1</w:t>
            </w:r>
          </w:p>
        </w:tc>
        <w:tc>
          <w:tcPr>
            <w:tcW w:w="1430" w:type="dxa"/>
            <w:tcBorders>
              <w:top w:val="nil"/>
              <w:left w:val="nil"/>
              <w:bottom w:val="nil"/>
              <w:right w:val="nil"/>
            </w:tcBorders>
            <w:shd w:val="clear" w:color="auto" w:fill="auto"/>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D95D95">
              <w:t>3%</w:t>
            </w:r>
          </w:p>
        </w:tc>
        <w:tc>
          <w:tcPr>
            <w:tcW w:w="1430" w:type="dxa"/>
            <w:tcBorders>
              <w:top w:val="nil"/>
              <w:left w:val="nil"/>
              <w:bottom w:val="nil"/>
              <w:right w:val="nil"/>
            </w:tcBorders>
            <w:shd w:val="clear" w:color="auto" w:fill="auto"/>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D95D95">
              <w:t>3%</w:t>
            </w:r>
          </w:p>
        </w:tc>
        <w:tc>
          <w:tcPr>
            <w:tcW w:w="1430" w:type="dxa"/>
            <w:tcBorders>
              <w:top w:val="nil"/>
              <w:left w:val="nil"/>
              <w:bottom w:val="nil"/>
              <w:right w:val="nil"/>
            </w:tcBorders>
            <w:shd w:val="clear" w:color="auto" w:fill="auto"/>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BD272A">
              <w:t>3%</w:t>
            </w:r>
          </w:p>
        </w:tc>
      </w:tr>
      <w:tr w:rsidR="00C67E97" w:rsidRPr="00D95D95" w:rsidTr="00BD272A">
        <w:tc>
          <w:tcPr>
            <w:tcW w:w="5066" w:type="dxa"/>
            <w:tcBorders>
              <w:top w:val="nil"/>
              <w:left w:val="nil"/>
              <w:bottom w:val="nil"/>
              <w:right w:val="nil"/>
            </w:tcBorders>
            <w:shd w:val="clear" w:color="auto" w:fill="auto"/>
          </w:tcPr>
          <w:p w:rsidR="00C67E97" w:rsidRPr="00D95D95" w:rsidRDefault="00C67E97" w:rsidP="000B0CD0">
            <w:pPr>
              <w:pStyle w:val="Tabletextindenta"/>
              <w:spacing w:before="10" w:after="10"/>
            </w:pPr>
            <w:r w:rsidRPr="00D95D95">
              <w:t xml:space="preserve">Desktop audit of </w:t>
            </w:r>
            <w:r w:rsidR="0089492F">
              <w:t>B</w:t>
            </w:r>
            <w:r w:rsidRPr="00D95D95">
              <w:t xml:space="preserve">ushfire </w:t>
            </w:r>
            <w:r w:rsidR="0089492F">
              <w:t>O</w:t>
            </w:r>
            <w:r w:rsidRPr="00D95D95">
              <w:t xml:space="preserve">perational </w:t>
            </w:r>
            <w:r w:rsidR="0089492F">
              <w:t>P</w:t>
            </w:r>
            <w:r w:rsidRPr="00D95D95">
              <w:t>lans</w:t>
            </w:r>
            <w:r w:rsidR="00975187" w:rsidRPr="00975187">
              <w:rPr>
                <w:vertAlign w:val="superscript"/>
              </w:rPr>
              <w:t>2</w:t>
            </w:r>
          </w:p>
        </w:tc>
        <w:tc>
          <w:tcPr>
            <w:tcW w:w="1430" w:type="dxa"/>
            <w:tcBorders>
              <w:top w:val="nil"/>
              <w:left w:val="nil"/>
              <w:bottom w:val="nil"/>
              <w:right w:val="nil"/>
            </w:tcBorders>
            <w:shd w:val="clear" w:color="auto" w:fill="auto"/>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D95D95">
              <w:t>100%</w:t>
            </w:r>
          </w:p>
        </w:tc>
        <w:tc>
          <w:tcPr>
            <w:tcW w:w="1430" w:type="dxa"/>
            <w:tcBorders>
              <w:top w:val="nil"/>
              <w:left w:val="nil"/>
              <w:bottom w:val="nil"/>
              <w:right w:val="nil"/>
            </w:tcBorders>
            <w:shd w:val="clear" w:color="auto" w:fill="auto"/>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D95D95">
              <w:t>100%</w:t>
            </w:r>
          </w:p>
        </w:tc>
        <w:tc>
          <w:tcPr>
            <w:tcW w:w="1430" w:type="dxa"/>
            <w:tcBorders>
              <w:top w:val="nil"/>
              <w:left w:val="nil"/>
              <w:bottom w:val="nil"/>
              <w:right w:val="nil"/>
            </w:tcBorders>
            <w:shd w:val="clear" w:color="auto" w:fill="auto"/>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D95D95">
              <w:t>n/a</w:t>
            </w:r>
          </w:p>
        </w:tc>
      </w:tr>
      <w:tr w:rsidR="00C67E97" w:rsidRPr="00D95D95" w:rsidTr="00BD272A">
        <w:tc>
          <w:tcPr>
            <w:tcW w:w="5066" w:type="dxa"/>
            <w:tcBorders>
              <w:top w:val="nil"/>
              <w:left w:val="nil"/>
              <w:bottom w:val="nil"/>
              <w:right w:val="nil"/>
            </w:tcBorders>
          </w:tcPr>
          <w:p w:rsidR="00C67E97" w:rsidRPr="00D95D95" w:rsidRDefault="00C67E97" w:rsidP="000B0CD0">
            <w:pPr>
              <w:pStyle w:val="Tabletextindenta"/>
              <w:spacing w:before="10" w:after="10"/>
            </w:pPr>
            <w:r w:rsidRPr="00D95D95">
              <w:t xml:space="preserve">Desktop audit of ACT Government Directorate </w:t>
            </w:r>
            <w:r w:rsidR="00861F78">
              <w:t>B</w:t>
            </w:r>
            <w:r w:rsidRPr="00D95D95">
              <w:t xml:space="preserve">ushfire </w:t>
            </w:r>
            <w:r w:rsidR="00861F78">
              <w:t>O</w:t>
            </w:r>
            <w:r w:rsidRPr="00D95D95">
              <w:t xml:space="preserve">perational </w:t>
            </w:r>
            <w:r w:rsidR="00861F78">
              <w:t>P</w:t>
            </w:r>
            <w:r w:rsidRPr="00D95D95">
              <w:t>lans activity progress reports</w:t>
            </w:r>
            <w:r w:rsidR="00E05441" w:rsidRPr="00E05441">
              <w:rPr>
                <w:vertAlign w:val="superscript"/>
              </w:rPr>
              <w:t>3</w:t>
            </w:r>
          </w:p>
        </w:tc>
        <w:tc>
          <w:tcPr>
            <w:tcW w:w="1430" w:type="dxa"/>
            <w:tcBorders>
              <w:top w:val="nil"/>
              <w:left w:val="nil"/>
              <w:bottom w:val="nil"/>
              <w:right w:val="nil"/>
            </w:tcBorders>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D95D95">
              <w:t>n/a</w:t>
            </w:r>
          </w:p>
        </w:tc>
        <w:tc>
          <w:tcPr>
            <w:tcW w:w="1430" w:type="dxa"/>
            <w:tcBorders>
              <w:top w:val="nil"/>
              <w:left w:val="nil"/>
              <w:bottom w:val="nil"/>
              <w:right w:val="nil"/>
            </w:tcBorders>
            <w:shd w:val="clear" w:color="auto" w:fill="auto"/>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D95D95">
              <w:t>n/a</w:t>
            </w:r>
          </w:p>
        </w:tc>
        <w:tc>
          <w:tcPr>
            <w:tcW w:w="1430" w:type="dxa"/>
            <w:tcBorders>
              <w:top w:val="nil"/>
              <w:left w:val="nil"/>
              <w:bottom w:val="nil"/>
              <w:right w:val="nil"/>
            </w:tcBorders>
            <w:shd w:val="clear" w:color="auto" w:fill="auto"/>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D95D95">
              <w:t>100%</w:t>
            </w:r>
          </w:p>
        </w:tc>
      </w:tr>
      <w:tr w:rsidR="00C67E97" w:rsidRPr="00D95D95" w:rsidTr="00BD272A">
        <w:tc>
          <w:tcPr>
            <w:tcW w:w="5066" w:type="dxa"/>
            <w:tcBorders>
              <w:top w:val="nil"/>
              <w:left w:val="nil"/>
              <w:bottom w:val="nil"/>
              <w:right w:val="nil"/>
            </w:tcBorders>
          </w:tcPr>
          <w:p w:rsidR="00C67E97" w:rsidRPr="00D95D95" w:rsidRDefault="00C67E97" w:rsidP="000B0CD0">
            <w:pPr>
              <w:pStyle w:val="Tabletextindenta"/>
              <w:spacing w:before="10" w:after="10"/>
            </w:pPr>
            <w:r w:rsidRPr="00D95D95">
              <w:t xml:space="preserve">Field assessment of Hazard Reduction burns identified in </w:t>
            </w:r>
            <w:r w:rsidR="000F6DF3">
              <w:t>B</w:t>
            </w:r>
            <w:r w:rsidR="000F6DF3" w:rsidRPr="00D95D95">
              <w:t xml:space="preserve">ushfire </w:t>
            </w:r>
            <w:r w:rsidR="000F6DF3">
              <w:t>O</w:t>
            </w:r>
            <w:r w:rsidR="000F6DF3" w:rsidRPr="00D95D95">
              <w:t xml:space="preserve">perational </w:t>
            </w:r>
            <w:r w:rsidR="000F6DF3">
              <w:t>P</w:t>
            </w:r>
            <w:r w:rsidR="000F6DF3" w:rsidRPr="00D95D95">
              <w:t>lans</w:t>
            </w:r>
            <w:r w:rsidR="000F6DF3" w:rsidRPr="00975187">
              <w:rPr>
                <w:vertAlign w:val="superscript"/>
              </w:rPr>
              <w:t xml:space="preserve"> </w:t>
            </w:r>
            <w:r w:rsidR="00975187" w:rsidRPr="00975187">
              <w:rPr>
                <w:vertAlign w:val="superscript"/>
              </w:rPr>
              <w:t>2</w:t>
            </w:r>
          </w:p>
        </w:tc>
        <w:tc>
          <w:tcPr>
            <w:tcW w:w="1430" w:type="dxa"/>
            <w:tcBorders>
              <w:top w:val="nil"/>
              <w:left w:val="nil"/>
              <w:bottom w:val="nil"/>
              <w:right w:val="nil"/>
            </w:tcBorders>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D95D95">
              <w:t>100%</w:t>
            </w:r>
          </w:p>
        </w:tc>
        <w:tc>
          <w:tcPr>
            <w:tcW w:w="1430" w:type="dxa"/>
            <w:tcBorders>
              <w:top w:val="nil"/>
              <w:left w:val="nil"/>
              <w:bottom w:val="nil"/>
              <w:right w:val="nil"/>
            </w:tcBorders>
            <w:shd w:val="clear" w:color="auto" w:fill="auto"/>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D95D95">
              <w:t>100%</w:t>
            </w:r>
          </w:p>
        </w:tc>
        <w:tc>
          <w:tcPr>
            <w:tcW w:w="1430" w:type="dxa"/>
            <w:tcBorders>
              <w:top w:val="nil"/>
              <w:left w:val="nil"/>
              <w:bottom w:val="nil"/>
              <w:right w:val="nil"/>
            </w:tcBorders>
            <w:shd w:val="clear" w:color="auto" w:fill="auto"/>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D95D95">
              <w:t>n/a</w:t>
            </w:r>
          </w:p>
        </w:tc>
      </w:tr>
      <w:tr w:rsidR="00C67E97" w:rsidRPr="00D95D95" w:rsidTr="00BD272A">
        <w:tc>
          <w:tcPr>
            <w:tcW w:w="5066" w:type="dxa"/>
            <w:tcBorders>
              <w:top w:val="nil"/>
              <w:left w:val="nil"/>
              <w:bottom w:val="nil"/>
              <w:right w:val="nil"/>
            </w:tcBorders>
          </w:tcPr>
          <w:p w:rsidR="00C67E97" w:rsidRPr="00D95D95" w:rsidRDefault="00C67E97" w:rsidP="000B0CD0">
            <w:pPr>
              <w:pStyle w:val="Tabletextindenta"/>
              <w:spacing w:before="10" w:after="10"/>
            </w:pPr>
            <w:r w:rsidRPr="00D95D95">
              <w:t xml:space="preserve">Field assessment of Access Management Upgrades and Hazard Reduction burns identified in </w:t>
            </w:r>
            <w:r w:rsidR="000F6DF3">
              <w:t>B</w:t>
            </w:r>
            <w:r w:rsidR="000F6DF3" w:rsidRPr="00D95D95">
              <w:t xml:space="preserve">ushfire </w:t>
            </w:r>
            <w:r w:rsidR="000F6DF3">
              <w:t>O</w:t>
            </w:r>
            <w:r w:rsidR="000F6DF3" w:rsidRPr="00D95D95">
              <w:t xml:space="preserve">perational </w:t>
            </w:r>
            <w:r w:rsidR="000F6DF3">
              <w:t>P</w:t>
            </w:r>
            <w:r w:rsidR="000F6DF3" w:rsidRPr="00D95D95">
              <w:t>lans</w:t>
            </w:r>
            <w:r w:rsidRPr="00D95D95">
              <w:t xml:space="preserve"> of ACT Government Directorates</w:t>
            </w:r>
            <w:r w:rsidR="00E05441">
              <w:rPr>
                <w:vertAlign w:val="superscript"/>
              </w:rPr>
              <w:t>3</w:t>
            </w:r>
          </w:p>
        </w:tc>
        <w:tc>
          <w:tcPr>
            <w:tcW w:w="1430" w:type="dxa"/>
            <w:tcBorders>
              <w:top w:val="nil"/>
              <w:left w:val="nil"/>
              <w:bottom w:val="nil"/>
              <w:right w:val="nil"/>
            </w:tcBorders>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D95D95">
              <w:t>n/a</w:t>
            </w:r>
          </w:p>
        </w:tc>
        <w:tc>
          <w:tcPr>
            <w:tcW w:w="1430" w:type="dxa"/>
            <w:tcBorders>
              <w:top w:val="nil"/>
              <w:left w:val="nil"/>
              <w:bottom w:val="nil"/>
              <w:right w:val="nil"/>
            </w:tcBorders>
            <w:shd w:val="clear" w:color="auto" w:fill="auto"/>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D95D95">
              <w:t>n/a</w:t>
            </w:r>
          </w:p>
        </w:tc>
        <w:tc>
          <w:tcPr>
            <w:tcW w:w="1430" w:type="dxa"/>
            <w:tcBorders>
              <w:top w:val="nil"/>
              <w:left w:val="nil"/>
              <w:bottom w:val="nil"/>
              <w:right w:val="nil"/>
            </w:tcBorders>
            <w:shd w:val="clear" w:color="auto" w:fill="auto"/>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D95D95">
              <w:t>100%</w:t>
            </w:r>
          </w:p>
        </w:tc>
      </w:tr>
      <w:tr w:rsidR="00C67E97" w:rsidRPr="00D95D95" w:rsidTr="00C30C07">
        <w:trPr>
          <w:trHeight w:val="415"/>
        </w:trPr>
        <w:tc>
          <w:tcPr>
            <w:tcW w:w="5066" w:type="dxa"/>
            <w:tcBorders>
              <w:top w:val="nil"/>
              <w:left w:val="nil"/>
              <w:bottom w:val="nil"/>
              <w:right w:val="nil"/>
            </w:tcBorders>
          </w:tcPr>
          <w:p w:rsidR="00C67E97" w:rsidRPr="00D95D95" w:rsidRDefault="00C67E97" w:rsidP="000B0CD0">
            <w:pPr>
              <w:pStyle w:val="Tabletextindenta"/>
              <w:spacing w:before="10" w:after="10"/>
            </w:pPr>
            <w:r w:rsidRPr="00D95D95">
              <w:t>Percentage of staff who have completed accredited training in AIIMS</w:t>
            </w:r>
            <w:r w:rsidR="00975187" w:rsidRPr="00975187">
              <w:rPr>
                <w:vertAlign w:val="superscript"/>
              </w:rPr>
              <w:t>2</w:t>
            </w:r>
            <w:r w:rsidR="000E13BF">
              <w:rPr>
                <w:vertAlign w:val="superscript"/>
              </w:rPr>
              <w:t>,4,5</w:t>
            </w:r>
          </w:p>
        </w:tc>
        <w:tc>
          <w:tcPr>
            <w:tcW w:w="1430" w:type="dxa"/>
            <w:tcBorders>
              <w:top w:val="nil"/>
              <w:left w:val="nil"/>
              <w:bottom w:val="nil"/>
              <w:right w:val="nil"/>
            </w:tcBorders>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D95D95">
              <w:t>30%</w:t>
            </w:r>
          </w:p>
        </w:tc>
        <w:tc>
          <w:tcPr>
            <w:tcW w:w="1430" w:type="dxa"/>
            <w:tcBorders>
              <w:top w:val="nil"/>
              <w:left w:val="nil"/>
              <w:bottom w:val="nil"/>
              <w:right w:val="nil"/>
            </w:tcBorders>
            <w:shd w:val="clear" w:color="auto" w:fill="auto"/>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D95D95">
              <w:t>33%</w:t>
            </w:r>
          </w:p>
        </w:tc>
        <w:tc>
          <w:tcPr>
            <w:tcW w:w="1430" w:type="dxa"/>
            <w:tcBorders>
              <w:top w:val="nil"/>
              <w:left w:val="nil"/>
              <w:bottom w:val="nil"/>
              <w:right w:val="nil"/>
            </w:tcBorders>
            <w:shd w:val="clear" w:color="auto" w:fill="auto"/>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D95D95">
              <w:t>n/a</w:t>
            </w:r>
          </w:p>
        </w:tc>
      </w:tr>
      <w:tr w:rsidR="00C67E97" w:rsidRPr="00D95D95" w:rsidTr="00BD272A">
        <w:tc>
          <w:tcPr>
            <w:tcW w:w="5066" w:type="dxa"/>
            <w:tcBorders>
              <w:top w:val="nil"/>
              <w:left w:val="nil"/>
              <w:bottom w:val="nil"/>
              <w:right w:val="nil"/>
            </w:tcBorders>
            <w:shd w:val="clear" w:color="auto" w:fill="auto"/>
          </w:tcPr>
          <w:p w:rsidR="00C67E97" w:rsidRPr="00D95D95" w:rsidRDefault="00C67E97" w:rsidP="000B0CD0">
            <w:pPr>
              <w:pStyle w:val="Tabletextindenta"/>
              <w:spacing w:before="10" w:after="10"/>
            </w:pPr>
            <w:r w:rsidRPr="00D95D95">
              <w:t>Percentage of ESA staff who have completed accredited training in AIIMS</w:t>
            </w:r>
            <w:r w:rsidR="00E05441">
              <w:rPr>
                <w:vertAlign w:val="superscript"/>
              </w:rPr>
              <w:t>3</w:t>
            </w:r>
            <w:r w:rsidR="000E13BF">
              <w:rPr>
                <w:vertAlign w:val="superscript"/>
              </w:rPr>
              <w:t>,5</w:t>
            </w:r>
          </w:p>
        </w:tc>
        <w:tc>
          <w:tcPr>
            <w:tcW w:w="1430" w:type="dxa"/>
            <w:tcBorders>
              <w:top w:val="nil"/>
              <w:left w:val="nil"/>
              <w:bottom w:val="nil"/>
              <w:right w:val="nil"/>
            </w:tcBorders>
            <w:shd w:val="clear" w:color="auto" w:fill="auto"/>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D95D95">
              <w:t>n/a</w:t>
            </w:r>
          </w:p>
        </w:tc>
        <w:tc>
          <w:tcPr>
            <w:tcW w:w="1430" w:type="dxa"/>
            <w:tcBorders>
              <w:top w:val="nil"/>
              <w:left w:val="nil"/>
              <w:bottom w:val="nil"/>
              <w:right w:val="nil"/>
            </w:tcBorders>
            <w:shd w:val="clear" w:color="auto" w:fill="auto"/>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D95D95">
              <w:t>n/a</w:t>
            </w:r>
          </w:p>
        </w:tc>
        <w:tc>
          <w:tcPr>
            <w:tcW w:w="1430" w:type="dxa"/>
            <w:tcBorders>
              <w:top w:val="nil"/>
              <w:left w:val="nil"/>
              <w:bottom w:val="nil"/>
              <w:right w:val="nil"/>
            </w:tcBorders>
            <w:shd w:val="clear" w:color="auto" w:fill="auto"/>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D95D95">
              <w:t>30%</w:t>
            </w:r>
          </w:p>
        </w:tc>
      </w:tr>
      <w:tr w:rsidR="00C67E97" w:rsidRPr="00D95D95" w:rsidTr="00C30C07">
        <w:trPr>
          <w:trHeight w:val="303"/>
        </w:trPr>
        <w:tc>
          <w:tcPr>
            <w:tcW w:w="5066" w:type="dxa"/>
            <w:tcBorders>
              <w:top w:val="nil"/>
              <w:left w:val="nil"/>
              <w:bottom w:val="nil"/>
              <w:right w:val="nil"/>
            </w:tcBorders>
            <w:shd w:val="clear" w:color="auto" w:fill="auto"/>
          </w:tcPr>
          <w:p w:rsidR="00C67E97" w:rsidRPr="00D95D95" w:rsidRDefault="00C67E97" w:rsidP="000E13BF">
            <w:pPr>
              <w:pStyle w:val="Tabletextindenta"/>
              <w:spacing w:before="10" w:after="10"/>
            </w:pPr>
            <w:r w:rsidRPr="00D95D95">
              <w:t>Maintain</w:t>
            </w:r>
            <w:r w:rsidR="00467CA8">
              <w:t xml:space="preserve"> or increase volunteer levels </w:t>
            </w:r>
            <w:r w:rsidRPr="00D95D95">
              <w:t>Percentage change in levels</w:t>
            </w:r>
            <w:r w:rsidR="000E13BF">
              <w:rPr>
                <w:vertAlign w:val="superscript"/>
              </w:rPr>
              <w:t>7</w:t>
            </w:r>
          </w:p>
        </w:tc>
        <w:tc>
          <w:tcPr>
            <w:tcW w:w="1430" w:type="dxa"/>
            <w:tcBorders>
              <w:top w:val="nil"/>
              <w:left w:val="nil"/>
              <w:bottom w:val="nil"/>
              <w:right w:val="nil"/>
            </w:tcBorders>
            <w:shd w:val="clear" w:color="auto" w:fill="auto"/>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D95D95">
              <w:t>1.5%</w:t>
            </w:r>
          </w:p>
        </w:tc>
        <w:tc>
          <w:tcPr>
            <w:tcW w:w="1430" w:type="dxa"/>
            <w:tcBorders>
              <w:top w:val="nil"/>
              <w:left w:val="nil"/>
              <w:bottom w:val="nil"/>
              <w:right w:val="nil"/>
            </w:tcBorders>
            <w:shd w:val="clear" w:color="auto" w:fill="auto"/>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t>10%</w:t>
            </w:r>
          </w:p>
        </w:tc>
        <w:tc>
          <w:tcPr>
            <w:tcW w:w="1430" w:type="dxa"/>
            <w:tcBorders>
              <w:top w:val="nil"/>
              <w:left w:val="nil"/>
              <w:bottom w:val="nil"/>
              <w:right w:val="nil"/>
            </w:tcBorders>
            <w:shd w:val="clear" w:color="auto" w:fill="auto"/>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t>1.5%</w:t>
            </w:r>
          </w:p>
        </w:tc>
      </w:tr>
      <w:tr w:rsidR="00C67E97" w:rsidRPr="00D95D95" w:rsidTr="00BD272A">
        <w:tc>
          <w:tcPr>
            <w:tcW w:w="5066" w:type="dxa"/>
            <w:tcBorders>
              <w:top w:val="nil"/>
              <w:left w:val="nil"/>
              <w:bottom w:val="nil"/>
              <w:right w:val="nil"/>
            </w:tcBorders>
            <w:shd w:val="clear" w:color="auto" w:fill="auto"/>
          </w:tcPr>
          <w:p w:rsidR="00C67E97" w:rsidRPr="00D95D95" w:rsidRDefault="00C67E97" w:rsidP="000B0CD0">
            <w:pPr>
              <w:pStyle w:val="Tabletextindenta"/>
              <w:spacing w:before="10" w:after="10"/>
            </w:pPr>
            <w:r w:rsidRPr="00D95D95">
              <w:t>Maintain annual programs of storm and bushfire media awareness - Percentage change in number of programs</w:t>
            </w:r>
            <w:r w:rsidR="00975187" w:rsidRPr="00975187">
              <w:rPr>
                <w:vertAlign w:val="superscript"/>
              </w:rPr>
              <w:t>2</w:t>
            </w:r>
          </w:p>
        </w:tc>
        <w:tc>
          <w:tcPr>
            <w:tcW w:w="1430" w:type="dxa"/>
            <w:tcBorders>
              <w:top w:val="nil"/>
              <w:left w:val="nil"/>
              <w:bottom w:val="nil"/>
              <w:right w:val="nil"/>
            </w:tcBorders>
            <w:shd w:val="clear" w:color="auto" w:fill="auto"/>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D95D95">
              <w:t>0%</w:t>
            </w:r>
          </w:p>
        </w:tc>
        <w:tc>
          <w:tcPr>
            <w:tcW w:w="1430" w:type="dxa"/>
            <w:tcBorders>
              <w:top w:val="nil"/>
              <w:left w:val="nil"/>
              <w:bottom w:val="nil"/>
              <w:right w:val="nil"/>
            </w:tcBorders>
            <w:shd w:val="clear" w:color="auto" w:fill="auto"/>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D95D95">
              <w:t>0%</w:t>
            </w:r>
          </w:p>
        </w:tc>
        <w:tc>
          <w:tcPr>
            <w:tcW w:w="1430" w:type="dxa"/>
            <w:tcBorders>
              <w:top w:val="nil"/>
              <w:left w:val="nil"/>
              <w:bottom w:val="nil"/>
              <w:right w:val="nil"/>
            </w:tcBorders>
            <w:shd w:val="clear" w:color="auto" w:fill="auto"/>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D95D95">
              <w:t>n/a</w:t>
            </w:r>
          </w:p>
        </w:tc>
      </w:tr>
      <w:tr w:rsidR="00C67E97" w:rsidRPr="00D95D95" w:rsidTr="00BD272A">
        <w:tc>
          <w:tcPr>
            <w:tcW w:w="5066" w:type="dxa"/>
            <w:tcBorders>
              <w:top w:val="nil"/>
              <w:left w:val="nil"/>
              <w:bottom w:val="nil"/>
              <w:right w:val="nil"/>
            </w:tcBorders>
            <w:shd w:val="clear" w:color="auto" w:fill="auto"/>
          </w:tcPr>
          <w:p w:rsidR="00C67E97" w:rsidRPr="00636F42" w:rsidRDefault="00C67E97" w:rsidP="000B0CD0">
            <w:pPr>
              <w:pStyle w:val="Tabletextindenta"/>
              <w:spacing w:before="10" w:after="10"/>
            </w:pPr>
            <w:r w:rsidRPr="00636F42">
              <w:t>Maintain annual programs of storm and bushfire media awareness</w:t>
            </w:r>
            <w:r w:rsidR="000E13BF">
              <w:rPr>
                <w:vertAlign w:val="superscript"/>
              </w:rPr>
              <w:t>3</w:t>
            </w:r>
          </w:p>
        </w:tc>
        <w:tc>
          <w:tcPr>
            <w:tcW w:w="1430" w:type="dxa"/>
            <w:tcBorders>
              <w:top w:val="nil"/>
              <w:left w:val="nil"/>
              <w:bottom w:val="nil"/>
              <w:right w:val="nil"/>
            </w:tcBorders>
            <w:shd w:val="clear" w:color="auto" w:fill="auto"/>
          </w:tcPr>
          <w:p w:rsidR="00C67E97" w:rsidRPr="00636F42"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636F42">
              <w:t>n/a</w:t>
            </w:r>
          </w:p>
        </w:tc>
        <w:tc>
          <w:tcPr>
            <w:tcW w:w="1430" w:type="dxa"/>
            <w:tcBorders>
              <w:top w:val="nil"/>
              <w:left w:val="nil"/>
              <w:bottom w:val="nil"/>
              <w:right w:val="nil"/>
            </w:tcBorders>
            <w:shd w:val="clear" w:color="auto" w:fill="auto"/>
          </w:tcPr>
          <w:p w:rsidR="00C67E97" w:rsidRPr="00636F42"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636F42">
              <w:t>n/a</w:t>
            </w:r>
          </w:p>
        </w:tc>
        <w:tc>
          <w:tcPr>
            <w:tcW w:w="1430" w:type="dxa"/>
            <w:tcBorders>
              <w:top w:val="nil"/>
              <w:left w:val="nil"/>
              <w:bottom w:val="nil"/>
              <w:right w:val="nil"/>
            </w:tcBorders>
            <w:shd w:val="clear" w:color="auto" w:fill="auto"/>
          </w:tcPr>
          <w:p w:rsidR="00C67E97" w:rsidRPr="00636F42"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636F42">
              <w:t>100%</w:t>
            </w:r>
          </w:p>
        </w:tc>
      </w:tr>
      <w:tr w:rsidR="00C67E97" w:rsidRPr="00D95D95" w:rsidTr="00BD272A">
        <w:tc>
          <w:tcPr>
            <w:tcW w:w="5066" w:type="dxa"/>
            <w:tcBorders>
              <w:top w:val="nil"/>
              <w:left w:val="nil"/>
              <w:bottom w:val="nil"/>
              <w:right w:val="nil"/>
            </w:tcBorders>
          </w:tcPr>
          <w:p w:rsidR="00C67E97" w:rsidRPr="00D95D95" w:rsidRDefault="00C67E97" w:rsidP="000B0CD0">
            <w:pPr>
              <w:pStyle w:val="Tabletextindenta"/>
              <w:spacing w:before="10" w:after="10"/>
            </w:pPr>
            <w:r w:rsidRPr="00D95D95">
              <w:t>Percentage of non-participating rural properties approached to implement Farm Fire Wise</w:t>
            </w:r>
          </w:p>
        </w:tc>
        <w:tc>
          <w:tcPr>
            <w:tcW w:w="1430" w:type="dxa"/>
            <w:tcBorders>
              <w:top w:val="nil"/>
              <w:left w:val="nil"/>
              <w:bottom w:val="nil"/>
              <w:right w:val="nil"/>
            </w:tcBorders>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D95D95">
              <w:t>33%</w:t>
            </w:r>
          </w:p>
        </w:tc>
        <w:tc>
          <w:tcPr>
            <w:tcW w:w="1430" w:type="dxa"/>
            <w:tcBorders>
              <w:top w:val="nil"/>
              <w:left w:val="nil"/>
              <w:bottom w:val="nil"/>
              <w:right w:val="nil"/>
            </w:tcBorders>
            <w:shd w:val="clear" w:color="auto" w:fill="auto"/>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D95D95">
              <w:t>33%</w:t>
            </w:r>
          </w:p>
        </w:tc>
        <w:tc>
          <w:tcPr>
            <w:tcW w:w="1430" w:type="dxa"/>
            <w:tcBorders>
              <w:top w:val="nil"/>
              <w:left w:val="nil"/>
              <w:bottom w:val="nil"/>
              <w:right w:val="nil"/>
            </w:tcBorders>
            <w:shd w:val="clear" w:color="auto" w:fill="auto"/>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D95D95">
              <w:t>33%</w:t>
            </w:r>
          </w:p>
        </w:tc>
      </w:tr>
      <w:tr w:rsidR="00C67E97" w:rsidRPr="00D95D95" w:rsidTr="00BD272A">
        <w:tc>
          <w:tcPr>
            <w:tcW w:w="5066" w:type="dxa"/>
            <w:tcBorders>
              <w:top w:val="nil"/>
              <w:left w:val="nil"/>
              <w:bottom w:val="nil"/>
              <w:right w:val="nil"/>
            </w:tcBorders>
          </w:tcPr>
          <w:p w:rsidR="00C67E97" w:rsidRPr="00D95D95" w:rsidRDefault="00C67E97" w:rsidP="000B0CD0">
            <w:pPr>
              <w:pStyle w:val="Tabletextindenta"/>
              <w:spacing w:before="10" w:after="10"/>
            </w:pPr>
            <w:r w:rsidRPr="00D95D95">
              <w:t>Fire Brigade 50 percentile (minutes)</w:t>
            </w:r>
            <w:r w:rsidRPr="00D95D95">
              <w:rPr>
                <w:vertAlign w:val="superscript"/>
              </w:rPr>
              <w:t xml:space="preserve"> </w:t>
            </w:r>
          </w:p>
        </w:tc>
        <w:tc>
          <w:tcPr>
            <w:tcW w:w="1430" w:type="dxa"/>
            <w:tcBorders>
              <w:top w:val="nil"/>
              <w:left w:val="nil"/>
              <w:bottom w:val="nil"/>
              <w:right w:val="nil"/>
            </w:tcBorders>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D95D95">
              <w:t>6.5</w:t>
            </w:r>
          </w:p>
        </w:tc>
        <w:tc>
          <w:tcPr>
            <w:tcW w:w="1430" w:type="dxa"/>
            <w:tcBorders>
              <w:top w:val="nil"/>
              <w:left w:val="nil"/>
              <w:bottom w:val="nil"/>
              <w:right w:val="nil"/>
            </w:tcBorders>
            <w:shd w:val="clear" w:color="auto" w:fill="auto"/>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t>6.9</w:t>
            </w:r>
          </w:p>
        </w:tc>
        <w:tc>
          <w:tcPr>
            <w:tcW w:w="1430" w:type="dxa"/>
            <w:tcBorders>
              <w:top w:val="nil"/>
              <w:left w:val="nil"/>
              <w:bottom w:val="nil"/>
              <w:right w:val="nil"/>
            </w:tcBorders>
            <w:shd w:val="clear" w:color="auto" w:fill="auto"/>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t>6.5</w:t>
            </w:r>
          </w:p>
        </w:tc>
      </w:tr>
      <w:tr w:rsidR="00C67E97" w:rsidRPr="00D95D95" w:rsidTr="00BD272A">
        <w:tc>
          <w:tcPr>
            <w:tcW w:w="5066" w:type="dxa"/>
            <w:tcBorders>
              <w:top w:val="nil"/>
              <w:left w:val="nil"/>
              <w:bottom w:val="nil"/>
              <w:right w:val="nil"/>
            </w:tcBorders>
          </w:tcPr>
          <w:p w:rsidR="00C67E97" w:rsidRPr="00D95D95" w:rsidRDefault="00C67E97" w:rsidP="000B0CD0">
            <w:pPr>
              <w:pStyle w:val="Tabletextindenta"/>
              <w:spacing w:before="10" w:after="10"/>
            </w:pPr>
            <w:r w:rsidRPr="00D95D95">
              <w:t xml:space="preserve">Fire Brigade 90 percentile (minutes) </w:t>
            </w:r>
          </w:p>
        </w:tc>
        <w:tc>
          <w:tcPr>
            <w:tcW w:w="1430" w:type="dxa"/>
            <w:tcBorders>
              <w:top w:val="nil"/>
              <w:left w:val="nil"/>
              <w:bottom w:val="nil"/>
              <w:right w:val="nil"/>
            </w:tcBorders>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D95D95">
              <w:t>10</w:t>
            </w:r>
          </w:p>
        </w:tc>
        <w:tc>
          <w:tcPr>
            <w:tcW w:w="1430" w:type="dxa"/>
            <w:tcBorders>
              <w:top w:val="nil"/>
              <w:left w:val="nil"/>
              <w:bottom w:val="nil"/>
              <w:right w:val="nil"/>
            </w:tcBorders>
            <w:shd w:val="clear" w:color="auto" w:fill="auto"/>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t>10.5</w:t>
            </w:r>
          </w:p>
        </w:tc>
        <w:tc>
          <w:tcPr>
            <w:tcW w:w="1430" w:type="dxa"/>
            <w:tcBorders>
              <w:top w:val="nil"/>
              <w:left w:val="nil"/>
              <w:bottom w:val="nil"/>
              <w:right w:val="nil"/>
            </w:tcBorders>
            <w:shd w:val="clear" w:color="auto" w:fill="auto"/>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t>10</w:t>
            </w:r>
          </w:p>
        </w:tc>
      </w:tr>
      <w:tr w:rsidR="00C67E97" w:rsidRPr="00D95D95" w:rsidTr="00BD272A">
        <w:tc>
          <w:tcPr>
            <w:tcW w:w="5066" w:type="dxa"/>
            <w:tcBorders>
              <w:top w:val="nil"/>
              <w:left w:val="nil"/>
              <w:bottom w:val="nil"/>
              <w:right w:val="nil"/>
            </w:tcBorders>
          </w:tcPr>
          <w:p w:rsidR="00C67E97" w:rsidRPr="00D95D95" w:rsidRDefault="00C67E97" w:rsidP="000B0CD0">
            <w:pPr>
              <w:pStyle w:val="Tabletextindenta"/>
              <w:spacing w:before="10" w:after="10"/>
            </w:pPr>
            <w:r w:rsidRPr="00D95D95">
              <w:t>Structure fires confined to room of origin</w:t>
            </w:r>
          </w:p>
        </w:tc>
        <w:tc>
          <w:tcPr>
            <w:tcW w:w="1430" w:type="dxa"/>
            <w:tcBorders>
              <w:top w:val="nil"/>
              <w:left w:val="nil"/>
              <w:bottom w:val="nil"/>
              <w:right w:val="nil"/>
            </w:tcBorders>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D95D95">
              <w:t>80%</w:t>
            </w:r>
          </w:p>
        </w:tc>
        <w:tc>
          <w:tcPr>
            <w:tcW w:w="1430" w:type="dxa"/>
            <w:tcBorders>
              <w:top w:val="nil"/>
              <w:left w:val="nil"/>
              <w:bottom w:val="nil"/>
              <w:right w:val="nil"/>
            </w:tcBorders>
            <w:shd w:val="clear" w:color="auto" w:fill="auto"/>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t>70%</w:t>
            </w:r>
          </w:p>
        </w:tc>
        <w:tc>
          <w:tcPr>
            <w:tcW w:w="1430" w:type="dxa"/>
            <w:tcBorders>
              <w:top w:val="nil"/>
              <w:left w:val="nil"/>
              <w:bottom w:val="nil"/>
              <w:right w:val="nil"/>
            </w:tcBorders>
            <w:shd w:val="clear" w:color="auto" w:fill="auto"/>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t>80%</w:t>
            </w:r>
          </w:p>
        </w:tc>
      </w:tr>
      <w:tr w:rsidR="00C67E97" w:rsidRPr="00D95D95" w:rsidTr="00665C42">
        <w:tc>
          <w:tcPr>
            <w:tcW w:w="5066" w:type="dxa"/>
            <w:tcBorders>
              <w:top w:val="nil"/>
              <w:left w:val="nil"/>
              <w:right w:val="nil"/>
            </w:tcBorders>
          </w:tcPr>
          <w:p w:rsidR="00C67E97" w:rsidRPr="00D95D95" w:rsidRDefault="00C67E97" w:rsidP="000B0CD0">
            <w:pPr>
              <w:pStyle w:val="Tabletextindenta"/>
              <w:spacing w:before="10" w:after="10"/>
            </w:pPr>
            <w:r w:rsidRPr="00D95D95">
              <w:t xml:space="preserve">Ambulance priority 1 </w:t>
            </w:r>
            <w:r w:rsidRPr="00D95D95">
              <w:softHyphen/>
              <w:t xml:space="preserve">- 50 percentile (minutes) </w:t>
            </w:r>
          </w:p>
        </w:tc>
        <w:tc>
          <w:tcPr>
            <w:tcW w:w="1430" w:type="dxa"/>
            <w:tcBorders>
              <w:top w:val="nil"/>
              <w:left w:val="nil"/>
              <w:right w:val="nil"/>
            </w:tcBorders>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D95D95">
              <w:t>8</w:t>
            </w:r>
          </w:p>
        </w:tc>
        <w:tc>
          <w:tcPr>
            <w:tcW w:w="1430" w:type="dxa"/>
            <w:tcBorders>
              <w:top w:val="nil"/>
              <w:left w:val="nil"/>
              <w:right w:val="nil"/>
            </w:tcBorders>
            <w:shd w:val="clear" w:color="auto" w:fill="auto"/>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t>8.6</w:t>
            </w:r>
          </w:p>
        </w:tc>
        <w:tc>
          <w:tcPr>
            <w:tcW w:w="1430" w:type="dxa"/>
            <w:tcBorders>
              <w:top w:val="nil"/>
              <w:left w:val="nil"/>
              <w:right w:val="nil"/>
            </w:tcBorders>
            <w:shd w:val="clear" w:color="auto" w:fill="auto"/>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t>8</w:t>
            </w:r>
          </w:p>
        </w:tc>
      </w:tr>
      <w:tr w:rsidR="00C67E97" w:rsidRPr="00D95D95" w:rsidTr="00665C42">
        <w:tc>
          <w:tcPr>
            <w:tcW w:w="5066" w:type="dxa"/>
            <w:tcBorders>
              <w:top w:val="nil"/>
              <w:left w:val="nil"/>
              <w:bottom w:val="single" w:sz="4" w:space="0" w:color="auto"/>
              <w:right w:val="nil"/>
            </w:tcBorders>
          </w:tcPr>
          <w:p w:rsidR="00C67E97" w:rsidRPr="00D95D95" w:rsidRDefault="00C67E97" w:rsidP="000B0CD0">
            <w:pPr>
              <w:pStyle w:val="Tabletextindenta"/>
              <w:spacing w:before="10" w:after="10"/>
            </w:pPr>
            <w:r w:rsidRPr="00D95D95">
              <w:t>Ambulance priori</w:t>
            </w:r>
            <w:r w:rsidR="00E05441">
              <w:t xml:space="preserve">ty 1 </w:t>
            </w:r>
            <w:r w:rsidR="00E05441">
              <w:softHyphen/>
              <w:t>- 90 percentile (minutes)</w:t>
            </w:r>
            <w:r w:rsidR="000E13BF">
              <w:rPr>
                <w:vertAlign w:val="superscript"/>
              </w:rPr>
              <w:t>7</w:t>
            </w:r>
          </w:p>
        </w:tc>
        <w:tc>
          <w:tcPr>
            <w:tcW w:w="1430" w:type="dxa"/>
            <w:tcBorders>
              <w:top w:val="nil"/>
              <w:left w:val="nil"/>
              <w:bottom w:val="single" w:sz="4" w:space="0" w:color="auto"/>
              <w:right w:val="nil"/>
            </w:tcBorders>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D95D95">
              <w:t>12.5</w:t>
            </w:r>
          </w:p>
        </w:tc>
        <w:tc>
          <w:tcPr>
            <w:tcW w:w="1430" w:type="dxa"/>
            <w:tcBorders>
              <w:top w:val="nil"/>
              <w:left w:val="nil"/>
              <w:bottom w:val="single" w:sz="4" w:space="0" w:color="auto"/>
              <w:right w:val="nil"/>
            </w:tcBorders>
            <w:shd w:val="clear" w:color="auto" w:fill="auto"/>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t>13.9</w:t>
            </w:r>
          </w:p>
        </w:tc>
        <w:tc>
          <w:tcPr>
            <w:tcW w:w="1430" w:type="dxa"/>
            <w:tcBorders>
              <w:top w:val="nil"/>
              <w:left w:val="nil"/>
              <w:bottom w:val="single" w:sz="4" w:space="0" w:color="auto"/>
              <w:right w:val="nil"/>
            </w:tcBorders>
            <w:shd w:val="clear" w:color="auto" w:fill="auto"/>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t>15</w:t>
            </w:r>
          </w:p>
        </w:tc>
      </w:tr>
    </w:tbl>
    <w:p w:rsidR="00C258E6" w:rsidRPr="00D325FA" w:rsidRDefault="00C258E6" w:rsidP="00C258E6">
      <w:pPr>
        <w:pStyle w:val="Heading3"/>
        <w:spacing w:before="0"/>
      </w:pPr>
      <w:proofErr w:type="gramStart"/>
      <w:r w:rsidRPr="00D325FA">
        <w:lastRenderedPageBreak/>
        <w:t>Accountability Indicators</w:t>
      </w:r>
      <w:r>
        <w:t xml:space="preserve"> cont.</w:t>
      </w:r>
      <w:proofErr w:type="gramEnd"/>
    </w:p>
    <w:tbl>
      <w:tblPr>
        <w:tblW w:w="9356" w:type="dxa"/>
        <w:tblLayout w:type="fixed"/>
        <w:tblLook w:val="0000"/>
      </w:tblPr>
      <w:tblGrid>
        <w:gridCol w:w="5066"/>
        <w:gridCol w:w="1430"/>
        <w:gridCol w:w="1430"/>
        <w:gridCol w:w="1430"/>
      </w:tblGrid>
      <w:tr w:rsidR="00E624AE" w:rsidRPr="00D95D95" w:rsidTr="00FE71A6">
        <w:tc>
          <w:tcPr>
            <w:tcW w:w="5066" w:type="dxa"/>
            <w:tcBorders>
              <w:top w:val="single" w:sz="4" w:space="0" w:color="auto"/>
              <w:left w:val="nil"/>
              <w:bottom w:val="single" w:sz="4" w:space="0" w:color="auto"/>
              <w:right w:val="nil"/>
            </w:tcBorders>
            <w:shd w:val="clear" w:color="auto" w:fill="auto"/>
          </w:tcPr>
          <w:p w:rsidR="00E624AE" w:rsidRDefault="00E624AE" w:rsidP="00FE71A6">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30" w:type="dxa"/>
            <w:tcBorders>
              <w:top w:val="single" w:sz="4" w:space="0" w:color="auto"/>
              <w:left w:val="nil"/>
              <w:bottom w:val="single" w:sz="4" w:space="0" w:color="auto"/>
              <w:right w:val="nil"/>
            </w:tcBorders>
            <w:shd w:val="clear" w:color="auto" w:fill="auto"/>
          </w:tcPr>
          <w:p w:rsidR="00E624AE" w:rsidRPr="00D95D95" w:rsidRDefault="00E624AE" w:rsidP="00FE71A6">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95D95">
              <w:t>2012-13</w:t>
            </w:r>
            <w:r w:rsidRPr="00D95D95">
              <w:br/>
              <w:t>Targets</w:t>
            </w:r>
          </w:p>
        </w:tc>
        <w:tc>
          <w:tcPr>
            <w:tcW w:w="1430" w:type="dxa"/>
            <w:tcBorders>
              <w:top w:val="single" w:sz="4" w:space="0" w:color="auto"/>
              <w:left w:val="nil"/>
              <w:bottom w:val="single" w:sz="4" w:space="0" w:color="auto"/>
              <w:right w:val="nil"/>
            </w:tcBorders>
            <w:shd w:val="clear" w:color="auto" w:fill="auto"/>
          </w:tcPr>
          <w:p w:rsidR="00E624AE" w:rsidRPr="00D95D95" w:rsidRDefault="00E624AE" w:rsidP="00FE71A6">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95D95">
              <w:t>2012-13</w:t>
            </w:r>
            <w:r w:rsidRPr="00D95D95">
              <w:br/>
              <w:t>Est. Outcome</w:t>
            </w:r>
          </w:p>
        </w:tc>
        <w:tc>
          <w:tcPr>
            <w:tcW w:w="1430" w:type="dxa"/>
            <w:tcBorders>
              <w:top w:val="single" w:sz="4" w:space="0" w:color="auto"/>
              <w:left w:val="nil"/>
              <w:bottom w:val="single" w:sz="4" w:space="0" w:color="auto"/>
              <w:right w:val="nil"/>
            </w:tcBorders>
            <w:shd w:val="clear" w:color="auto" w:fill="auto"/>
          </w:tcPr>
          <w:p w:rsidR="00E624AE" w:rsidRPr="00D95D95" w:rsidRDefault="00E624AE" w:rsidP="00FE71A6">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95D95">
              <w:t>2013-14</w:t>
            </w:r>
            <w:r w:rsidRPr="00D95D95">
              <w:br/>
              <w:t>Targets</w:t>
            </w:r>
          </w:p>
        </w:tc>
      </w:tr>
      <w:tr w:rsidR="00E624AE" w:rsidRPr="00D95D95" w:rsidTr="00FE71A6">
        <w:tc>
          <w:tcPr>
            <w:tcW w:w="5066" w:type="dxa"/>
            <w:tcBorders>
              <w:top w:val="single" w:sz="4" w:space="0" w:color="auto"/>
              <w:left w:val="nil"/>
              <w:bottom w:val="single" w:sz="4" w:space="0" w:color="auto"/>
              <w:right w:val="nil"/>
            </w:tcBorders>
            <w:shd w:val="clear" w:color="auto" w:fill="auto"/>
          </w:tcPr>
          <w:p w:rsidR="00E624AE" w:rsidRPr="00D95D95" w:rsidRDefault="00E624AE" w:rsidP="00FE71A6">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95D95">
              <w:t>Output Class 4:  Emergency Services</w:t>
            </w:r>
          </w:p>
        </w:tc>
        <w:tc>
          <w:tcPr>
            <w:tcW w:w="1430" w:type="dxa"/>
            <w:tcBorders>
              <w:top w:val="single" w:sz="4" w:space="0" w:color="auto"/>
              <w:left w:val="nil"/>
              <w:bottom w:val="single" w:sz="4" w:space="0" w:color="auto"/>
              <w:right w:val="nil"/>
            </w:tcBorders>
            <w:shd w:val="clear" w:color="auto" w:fill="auto"/>
            <w:vAlign w:val="center"/>
          </w:tcPr>
          <w:p w:rsidR="00E624AE" w:rsidRPr="00D95D95" w:rsidRDefault="00E624AE" w:rsidP="00FE71A6">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30" w:type="dxa"/>
            <w:tcBorders>
              <w:top w:val="single" w:sz="4" w:space="0" w:color="auto"/>
              <w:left w:val="nil"/>
              <w:bottom w:val="single" w:sz="4" w:space="0" w:color="auto"/>
              <w:right w:val="nil"/>
            </w:tcBorders>
            <w:shd w:val="clear" w:color="auto" w:fill="auto"/>
            <w:vAlign w:val="center"/>
          </w:tcPr>
          <w:p w:rsidR="00E624AE" w:rsidRPr="00D95D95" w:rsidRDefault="00E624AE" w:rsidP="00FE71A6">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30" w:type="dxa"/>
            <w:tcBorders>
              <w:top w:val="single" w:sz="4" w:space="0" w:color="auto"/>
              <w:left w:val="nil"/>
              <w:bottom w:val="single" w:sz="4" w:space="0" w:color="auto"/>
              <w:right w:val="nil"/>
            </w:tcBorders>
            <w:shd w:val="clear" w:color="auto" w:fill="auto"/>
            <w:vAlign w:val="center"/>
          </w:tcPr>
          <w:p w:rsidR="00E624AE" w:rsidRPr="00D95D95" w:rsidRDefault="00E624AE" w:rsidP="00FE71A6">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hd w:val="clear" w:color="auto" w:fill="FFFF00"/>
              </w:rPr>
            </w:pPr>
          </w:p>
        </w:tc>
      </w:tr>
      <w:tr w:rsidR="00E624AE" w:rsidRPr="00D95D95" w:rsidTr="00FE71A6">
        <w:tc>
          <w:tcPr>
            <w:tcW w:w="5066" w:type="dxa"/>
            <w:tcBorders>
              <w:top w:val="single" w:sz="4" w:space="0" w:color="auto"/>
              <w:left w:val="nil"/>
              <w:bottom w:val="single" w:sz="4" w:space="0" w:color="auto"/>
              <w:right w:val="nil"/>
            </w:tcBorders>
            <w:shd w:val="clear" w:color="auto" w:fill="auto"/>
          </w:tcPr>
          <w:p w:rsidR="00E624AE" w:rsidRPr="00D95D95" w:rsidRDefault="00E624AE" w:rsidP="00FE71A6">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95D95">
              <w:t>Output 4.1:  Emergency Services</w:t>
            </w:r>
            <w:r>
              <w:t xml:space="preserve"> cont.</w:t>
            </w:r>
          </w:p>
        </w:tc>
        <w:tc>
          <w:tcPr>
            <w:tcW w:w="1430" w:type="dxa"/>
            <w:tcBorders>
              <w:top w:val="single" w:sz="4" w:space="0" w:color="auto"/>
              <w:left w:val="nil"/>
              <w:bottom w:val="single" w:sz="4" w:space="0" w:color="auto"/>
              <w:right w:val="nil"/>
            </w:tcBorders>
            <w:shd w:val="clear" w:color="auto" w:fill="auto"/>
            <w:vAlign w:val="center"/>
          </w:tcPr>
          <w:p w:rsidR="00E624AE" w:rsidRPr="00D95D95" w:rsidRDefault="00E624AE" w:rsidP="00FE71A6">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30" w:type="dxa"/>
            <w:tcBorders>
              <w:top w:val="single" w:sz="4" w:space="0" w:color="auto"/>
              <w:left w:val="nil"/>
              <w:bottom w:val="single" w:sz="4" w:space="0" w:color="auto"/>
              <w:right w:val="nil"/>
            </w:tcBorders>
            <w:shd w:val="clear" w:color="auto" w:fill="auto"/>
            <w:vAlign w:val="center"/>
          </w:tcPr>
          <w:p w:rsidR="00E624AE" w:rsidRPr="00D95D95" w:rsidRDefault="00E624AE" w:rsidP="00FE71A6">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30" w:type="dxa"/>
            <w:tcBorders>
              <w:top w:val="single" w:sz="4" w:space="0" w:color="auto"/>
              <w:left w:val="nil"/>
              <w:bottom w:val="single" w:sz="4" w:space="0" w:color="auto"/>
              <w:right w:val="nil"/>
            </w:tcBorders>
            <w:shd w:val="clear" w:color="auto" w:fill="auto"/>
            <w:vAlign w:val="center"/>
          </w:tcPr>
          <w:p w:rsidR="00E624AE" w:rsidRPr="00D95D95" w:rsidRDefault="00E624AE" w:rsidP="00FE71A6">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hd w:val="clear" w:color="auto" w:fill="FFFF00"/>
              </w:rPr>
            </w:pPr>
          </w:p>
        </w:tc>
      </w:tr>
      <w:tr w:rsidR="00C67E97" w:rsidRPr="00D95D95" w:rsidTr="00BD272A">
        <w:tc>
          <w:tcPr>
            <w:tcW w:w="5066" w:type="dxa"/>
            <w:tcBorders>
              <w:top w:val="nil"/>
              <w:left w:val="nil"/>
              <w:bottom w:val="nil"/>
              <w:right w:val="nil"/>
            </w:tcBorders>
          </w:tcPr>
          <w:p w:rsidR="00C67E97" w:rsidRPr="00D95D95" w:rsidRDefault="00C67E97" w:rsidP="000B0CD0">
            <w:pPr>
              <w:pStyle w:val="Tabletextindenta"/>
              <w:spacing w:before="10" w:after="10"/>
            </w:pPr>
            <w:r w:rsidRPr="00D95D95">
              <w:t>Patient Transport Service ‘fixed booking’ attended by booked time</w:t>
            </w:r>
            <w:r w:rsidR="000E13BF">
              <w:rPr>
                <w:vertAlign w:val="superscript"/>
              </w:rPr>
              <w:t>8</w:t>
            </w:r>
          </w:p>
        </w:tc>
        <w:tc>
          <w:tcPr>
            <w:tcW w:w="1430" w:type="dxa"/>
            <w:tcBorders>
              <w:top w:val="nil"/>
              <w:left w:val="nil"/>
              <w:bottom w:val="nil"/>
              <w:right w:val="nil"/>
            </w:tcBorders>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D95D95">
              <w:t>65%</w:t>
            </w:r>
          </w:p>
        </w:tc>
        <w:tc>
          <w:tcPr>
            <w:tcW w:w="1430" w:type="dxa"/>
            <w:tcBorders>
              <w:top w:val="nil"/>
              <w:left w:val="nil"/>
              <w:bottom w:val="nil"/>
              <w:right w:val="nil"/>
            </w:tcBorders>
            <w:shd w:val="clear" w:color="auto" w:fill="auto"/>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t>70.8%</w:t>
            </w:r>
          </w:p>
        </w:tc>
        <w:tc>
          <w:tcPr>
            <w:tcW w:w="1430" w:type="dxa"/>
            <w:tcBorders>
              <w:top w:val="nil"/>
              <w:left w:val="nil"/>
              <w:bottom w:val="nil"/>
              <w:right w:val="nil"/>
            </w:tcBorders>
            <w:shd w:val="clear" w:color="auto" w:fill="auto"/>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t>65%</w:t>
            </w:r>
          </w:p>
        </w:tc>
      </w:tr>
      <w:tr w:rsidR="00C67E97" w:rsidRPr="00D95D95" w:rsidTr="00BD272A">
        <w:tc>
          <w:tcPr>
            <w:tcW w:w="5066" w:type="dxa"/>
            <w:tcBorders>
              <w:top w:val="nil"/>
              <w:left w:val="nil"/>
              <w:right w:val="nil"/>
            </w:tcBorders>
          </w:tcPr>
          <w:p w:rsidR="00C67E97" w:rsidRPr="00D95D95" w:rsidRDefault="00C67E97" w:rsidP="000B0CD0">
            <w:pPr>
              <w:pStyle w:val="Tabletextindenta"/>
              <w:spacing w:before="10" w:after="10"/>
            </w:pPr>
            <w:r w:rsidRPr="00D95D95">
              <w:t>Unscheduled bushfires confined to less than 5 hectares within the Bushfire Abatement Zone (BAZ) and built up areas</w:t>
            </w:r>
            <w:r w:rsidR="00975187" w:rsidRPr="00975187">
              <w:rPr>
                <w:vertAlign w:val="superscript"/>
              </w:rPr>
              <w:t>2</w:t>
            </w:r>
          </w:p>
        </w:tc>
        <w:tc>
          <w:tcPr>
            <w:tcW w:w="1430" w:type="dxa"/>
            <w:tcBorders>
              <w:top w:val="nil"/>
              <w:left w:val="nil"/>
              <w:right w:val="nil"/>
            </w:tcBorders>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D95D95">
              <w:t>100%</w:t>
            </w:r>
          </w:p>
        </w:tc>
        <w:tc>
          <w:tcPr>
            <w:tcW w:w="1430" w:type="dxa"/>
            <w:tcBorders>
              <w:top w:val="nil"/>
              <w:left w:val="nil"/>
              <w:right w:val="nil"/>
            </w:tcBorders>
            <w:shd w:val="clear" w:color="auto" w:fill="auto"/>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D95D95">
              <w:t>&gt;99%</w:t>
            </w:r>
          </w:p>
        </w:tc>
        <w:tc>
          <w:tcPr>
            <w:tcW w:w="1430" w:type="dxa"/>
            <w:tcBorders>
              <w:top w:val="nil"/>
              <w:left w:val="nil"/>
              <w:right w:val="nil"/>
            </w:tcBorders>
            <w:shd w:val="clear" w:color="auto" w:fill="auto"/>
          </w:tcPr>
          <w:p w:rsidR="00C67E97" w:rsidRPr="00D95D95"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D95D95">
              <w:t>n/a</w:t>
            </w:r>
          </w:p>
        </w:tc>
      </w:tr>
      <w:tr w:rsidR="00C67E97" w:rsidTr="00BD272A">
        <w:tc>
          <w:tcPr>
            <w:tcW w:w="5066" w:type="dxa"/>
            <w:tcBorders>
              <w:top w:val="nil"/>
              <w:left w:val="nil"/>
              <w:bottom w:val="nil"/>
              <w:right w:val="nil"/>
            </w:tcBorders>
          </w:tcPr>
          <w:p w:rsidR="00C67E97" w:rsidRPr="00D95D95" w:rsidRDefault="00C67E97" w:rsidP="000B0CD0">
            <w:pPr>
              <w:pStyle w:val="Tabletextindenta"/>
              <w:spacing w:before="10" w:after="10"/>
            </w:pPr>
            <w:r w:rsidRPr="00D95D95">
              <w:t>Total cost per head of population</w:t>
            </w:r>
            <w:r w:rsidR="000E13BF">
              <w:rPr>
                <w:vertAlign w:val="superscript"/>
              </w:rPr>
              <w:t>9</w:t>
            </w:r>
          </w:p>
        </w:tc>
        <w:tc>
          <w:tcPr>
            <w:tcW w:w="1430" w:type="dxa"/>
            <w:tcBorders>
              <w:top w:val="nil"/>
              <w:left w:val="nil"/>
              <w:bottom w:val="nil"/>
              <w:right w:val="nil"/>
            </w:tcBorders>
          </w:tcPr>
          <w:p w:rsidR="00C67E97" w:rsidRDefault="00C67E9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pPr>
            <w:r w:rsidRPr="00D95D95">
              <w:rPr>
                <w:color w:val="000000"/>
              </w:rPr>
              <w:t>$309.57</w:t>
            </w:r>
          </w:p>
        </w:tc>
        <w:tc>
          <w:tcPr>
            <w:tcW w:w="1430" w:type="dxa"/>
            <w:tcBorders>
              <w:top w:val="nil"/>
              <w:left w:val="nil"/>
              <w:bottom w:val="nil"/>
              <w:right w:val="nil"/>
            </w:tcBorders>
            <w:shd w:val="clear" w:color="auto" w:fill="auto"/>
          </w:tcPr>
          <w:p w:rsidR="00C67E97" w:rsidRPr="00C30C07" w:rsidRDefault="00C30C0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color w:val="000000"/>
              </w:rPr>
            </w:pPr>
            <w:r w:rsidRPr="00C30C07">
              <w:rPr>
                <w:color w:val="000000"/>
              </w:rPr>
              <w:t>$310.67</w:t>
            </w:r>
          </w:p>
        </w:tc>
        <w:tc>
          <w:tcPr>
            <w:tcW w:w="1430" w:type="dxa"/>
            <w:tcBorders>
              <w:top w:val="nil"/>
              <w:left w:val="nil"/>
              <w:bottom w:val="nil"/>
              <w:right w:val="nil"/>
            </w:tcBorders>
            <w:shd w:val="clear" w:color="auto" w:fill="auto"/>
          </w:tcPr>
          <w:p w:rsidR="00C67E97" w:rsidRPr="00C30C07" w:rsidRDefault="00C30C07" w:rsidP="000B0CD0">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color w:val="000000"/>
              </w:rPr>
            </w:pPr>
            <w:r w:rsidRPr="00C30C07">
              <w:rPr>
                <w:color w:val="000000"/>
              </w:rPr>
              <w:t>$325.99</w:t>
            </w:r>
            <w:r w:rsidR="00C67E97" w:rsidRPr="00C30C07">
              <w:rPr>
                <w:color w:val="000000"/>
              </w:rPr>
              <w:t xml:space="preserve"> </w:t>
            </w:r>
          </w:p>
        </w:tc>
      </w:tr>
      <w:tr w:rsidR="00C67E97" w:rsidRPr="002E3DCC" w:rsidTr="00C30C07">
        <w:trPr>
          <w:trHeight w:hRule="exact" w:val="57"/>
        </w:trPr>
        <w:tc>
          <w:tcPr>
            <w:tcW w:w="5066" w:type="dxa"/>
            <w:tcBorders>
              <w:top w:val="nil"/>
              <w:left w:val="nil"/>
              <w:bottom w:val="single" w:sz="4" w:space="0" w:color="auto"/>
              <w:right w:val="nil"/>
            </w:tcBorders>
          </w:tcPr>
          <w:p w:rsidR="00C67E97" w:rsidRPr="002E3DCC" w:rsidRDefault="00C67E97" w:rsidP="005E1840">
            <w:pPr>
              <w:pStyle w:val="Tabletextindenta"/>
            </w:pPr>
          </w:p>
        </w:tc>
        <w:tc>
          <w:tcPr>
            <w:tcW w:w="1430" w:type="dxa"/>
            <w:tcBorders>
              <w:top w:val="nil"/>
              <w:left w:val="nil"/>
              <w:bottom w:val="single" w:sz="4" w:space="0" w:color="auto"/>
              <w:right w:val="nil"/>
            </w:tcBorders>
          </w:tcPr>
          <w:p w:rsidR="00C67E97" w:rsidRPr="002E3DCC" w:rsidRDefault="00C67E97" w:rsidP="007235C9">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sz w:val="12"/>
                <w:szCs w:val="12"/>
              </w:rPr>
            </w:pPr>
          </w:p>
        </w:tc>
        <w:tc>
          <w:tcPr>
            <w:tcW w:w="1430" w:type="dxa"/>
            <w:tcBorders>
              <w:top w:val="nil"/>
              <w:left w:val="nil"/>
              <w:bottom w:val="single" w:sz="4" w:space="0" w:color="auto"/>
              <w:right w:val="nil"/>
            </w:tcBorders>
            <w:shd w:val="clear" w:color="auto" w:fill="auto"/>
          </w:tcPr>
          <w:p w:rsidR="00C67E97" w:rsidRPr="00C30C07" w:rsidRDefault="00C67E97" w:rsidP="00C30C07">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color w:val="000000"/>
                <w:sz w:val="12"/>
                <w:szCs w:val="12"/>
              </w:rPr>
            </w:pPr>
          </w:p>
        </w:tc>
        <w:tc>
          <w:tcPr>
            <w:tcW w:w="1430" w:type="dxa"/>
            <w:tcBorders>
              <w:top w:val="nil"/>
              <w:left w:val="nil"/>
              <w:bottom w:val="single" w:sz="4" w:space="0" w:color="auto"/>
              <w:right w:val="nil"/>
            </w:tcBorders>
            <w:shd w:val="clear" w:color="auto" w:fill="auto"/>
          </w:tcPr>
          <w:p w:rsidR="00C67E97" w:rsidRPr="00C30C07" w:rsidRDefault="00C67E97" w:rsidP="00C30C07">
            <w:pPr>
              <w:pStyle w:val="AI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color w:val="000000"/>
                <w:sz w:val="12"/>
                <w:szCs w:val="12"/>
              </w:rPr>
            </w:pPr>
          </w:p>
        </w:tc>
      </w:tr>
    </w:tbl>
    <w:p w:rsidR="00C67E97" w:rsidRDefault="00C67E97" w:rsidP="00C67E97">
      <w:pPr>
        <w:pStyle w:val="NoteHeading0"/>
        <w:rPr>
          <w:b w:val="0"/>
          <w:color w:val="FF0000"/>
        </w:rPr>
      </w:pPr>
      <w:r>
        <w:t>Notes:</w:t>
      </w:r>
      <w:r w:rsidRPr="009F07EA">
        <w:rPr>
          <w:b w:val="0"/>
          <w:color w:val="FF0000"/>
          <w:highlight w:val="yellow"/>
        </w:rPr>
        <w:t xml:space="preserve"> </w:t>
      </w:r>
    </w:p>
    <w:p w:rsidR="00C67E97" w:rsidRDefault="00C67E97" w:rsidP="00A2331E">
      <w:pPr>
        <w:pStyle w:val="AINotes"/>
        <w:numPr>
          <w:ilvl w:val="0"/>
          <w:numId w:val="45"/>
        </w:numPr>
      </w:pPr>
      <w:r w:rsidRPr="0046606E">
        <w:t xml:space="preserve">The lost time injury frequency rate is highly variable and </w:t>
      </w:r>
      <w:r>
        <w:t xml:space="preserve">low numbers of </w:t>
      </w:r>
      <w:r w:rsidRPr="0046606E">
        <w:t>claim</w:t>
      </w:r>
      <w:r>
        <w:t>s</w:t>
      </w:r>
      <w:r w:rsidRPr="0046606E">
        <w:t xml:space="preserve"> can have a significant impact on the estimated outcome.</w:t>
      </w:r>
      <w:r>
        <w:t xml:space="preserve"> </w:t>
      </w:r>
    </w:p>
    <w:p w:rsidR="00861F78" w:rsidRDefault="00861F78" w:rsidP="00A2331E">
      <w:pPr>
        <w:pStyle w:val="AINotes"/>
        <w:numPr>
          <w:ilvl w:val="0"/>
          <w:numId w:val="45"/>
        </w:numPr>
      </w:pPr>
      <w:r>
        <w:t>Measure to be discontinued in 2013-14.</w:t>
      </w:r>
    </w:p>
    <w:p w:rsidR="000E13BF" w:rsidRDefault="000E13BF" w:rsidP="00A2331E">
      <w:pPr>
        <w:pStyle w:val="AINotes"/>
        <w:numPr>
          <w:ilvl w:val="0"/>
          <w:numId w:val="45"/>
        </w:numPr>
      </w:pPr>
      <w:r>
        <w:t>New measure in 2013-14.</w:t>
      </w:r>
    </w:p>
    <w:p w:rsidR="000E13BF" w:rsidRPr="00B21317" w:rsidRDefault="000E13BF" w:rsidP="000E13BF">
      <w:pPr>
        <w:pStyle w:val="NoteText"/>
        <w:numPr>
          <w:ilvl w:val="0"/>
          <w:numId w:val="45"/>
        </w:numPr>
      </w:pPr>
      <w:r w:rsidRPr="00B21317">
        <w:t>AIIMS</w:t>
      </w:r>
      <w:r>
        <w:t xml:space="preserve"> refers to the</w:t>
      </w:r>
      <w:r w:rsidRPr="00B21317">
        <w:t xml:space="preserve"> Australasian Inter-Service Incident Management System.</w:t>
      </w:r>
    </w:p>
    <w:p w:rsidR="000E13BF" w:rsidRDefault="000E13BF" w:rsidP="000E13BF">
      <w:pPr>
        <w:pStyle w:val="AINotes"/>
        <w:numPr>
          <w:ilvl w:val="0"/>
          <w:numId w:val="45"/>
        </w:numPr>
      </w:pPr>
      <w:r w:rsidRPr="00CF1C4E">
        <w:t>Higher volume of AIIMS trained personnel in 2012-13 than anticipated in original target.</w:t>
      </w:r>
    </w:p>
    <w:p w:rsidR="00C67E97" w:rsidRDefault="00C67E97" w:rsidP="00A2331E">
      <w:pPr>
        <w:pStyle w:val="AINotes"/>
        <w:numPr>
          <w:ilvl w:val="0"/>
          <w:numId w:val="45"/>
        </w:numPr>
      </w:pPr>
      <w:r w:rsidRPr="00CF1C4E">
        <w:t xml:space="preserve">Increase in volunteer numbers in 2012-13 particularly in ACTSES, ACTRFS and Community Fire Units (CFU) due to ongoing recruitment activity, canvassing of the public in 2012, and interest following </w:t>
      </w:r>
      <w:r w:rsidR="00995303">
        <w:t xml:space="preserve">the </w:t>
      </w:r>
      <w:r w:rsidRPr="00CF1C4E">
        <w:t xml:space="preserve">2012-13 fire </w:t>
      </w:r>
      <w:proofErr w:type="gramStart"/>
      <w:r w:rsidRPr="00CF1C4E">
        <w:t>season</w:t>
      </w:r>
      <w:proofErr w:type="gramEnd"/>
      <w:r w:rsidRPr="00CF1C4E">
        <w:t>.</w:t>
      </w:r>
    </w:p>
    <w:p w:rsidR="00E05441" w:rsidRPr="00E05441" w:rsidRDefault="00E05441" w:rsidP="00A2331E">
      <w:pPr>
        <w:pStyle w:val="AINotes"/>
        <w:numPr>
          <w:ilvl w:val="0"/>
          <w:numId w:val="45"/>
        </w:numPr>
        <w:rPr>
          <w:szCs w:val="16"/>
        </w:rPr>
      </w:pPr>
      <w:r w:rsidRPr="004E6675">
        <w:rPr>
          <w:szCs w:val="16"/>
        </w:rPr>
        <w:t>The 90</w:t>
      </w:r>
      <w:r w:rsidRPr="004E6675">
        <w:rPr>
          <w:szCs w:val="16"/>
          <w:vertAlign w:val="superscript"/>
        </w:rPr>
        <w:t>th</w:t>
      </w:r>
      <w:r w:rsidRPr="004E6675">
        <w:rPr>
          <w:szCs w:val="16"/>
        </w:rPr>
        <w:t xml:space="preserve"> percentile indicator for ambulance </w:t>
      </w:r>
      <w:r w:rsidR="00636F42">
        <w:rPr>
          <w:szCs w:val="16"/>
        </w:rPr>
        <w:t>has been revised for 2013-14</w:t>
      </w:r>
      <w:r w:rsidRPr="004E6675">
        <w:rPr>
          <w:szCs w:val="16"/>
        </w:rPr>
        <w:t xml:space="preserve">.  This follows emergency ambulance response time modelling by ORH recommending that the target of 12.5 minutes in 90% of cases be adjusted to 15 minutes which would be a more realistic measurement of performance.  This would also align the ACT </w:t>
      </w:r>
      <w:r w:rsidR="009E1E1B">
        <w:rPr>
          <w:szCs w:val="16"/>
        </w:rPr>
        <w:t xml:space="preserve">with similar measurements of </w:t>
      </w:r>
      <w:r w:rsidR="001968E0">
        <w:rPr>
          <w:szCs w:val="16"/>
        </w:rPr>
        <w:t>pe</w:t>
      </w:r>
      <w:r w:rsidR="001968E0" w:rsidRPr="004E6675">
        <w:rPr>
          <w:szCs w:val="16"/>
        </w:rPr>
        <w:t>rformance</w:t>
      </w:r>
      <w:r w:rsidRPr="004E6675">
        <w:rPr>
          <w:szCs w:val="16"/>
        </w:rPr>
        <w:t xml:space="preserve"> reporting previously adopted by ambulance jurisdictions including Queensland, NSW and Victoria.</w:t>
      </w:r>
    </w:p>
    <w:p w:rsidR="00C67E97" w:rsidRPr="0046606E" w:rsidRDefault="00C67E97" w:rsidP="00A2331E">
      <w:pPr>
        <w:pStyle w:val="AINotes"/>
        <w:numPr>
          <w:ilvl w:val="0"/>
          <w:numId w:val="45"/>
        </w:numPr>
      </w:pPr>
      <w:r w:rsidRPr="0046606E">
        <w:t xml:space="preserve">A joint initiative between the ACT Ambulance Services and ACT Health for the provision of an additional Non-Emergency Patient Transport resources commenced operations in August 2011. </w:t>
      </w:r>
      <w:r w:rsidR="000D4212">
        <w:t xml:space="preserve"> </w:t>
      </w:r>
      <w:r w:rsidRPr="0046606E">
        <w:t>The additional vehicle and a review of Patient Transport procedures have resulted in significant improvements in this indicator.</w:t>
      </w:r>
    </w:p>
    <w:p w:rsidR="00C67E97" w:rsidRPr="00B61BC9" w:rsidRDefault="00C67E97" w:rsidP="00A2331E">
      <w:pPr>
        <w:pStyle w:val="AINotes"/>
        <w:numPr>
          <w:ilvl w:val="0"/>
          <w:numId w:val="45"/>
        </w:numPr>
      </w:pPr>
      <w:r>
        <w:t xml:space="preserve">The </w:t>
      </w:r>
      <w:r w:rsidRPr="0046606E">
        <w:t>201</w:t>
      </w:r>
      <w:r w:rsidR="00C30C07">
        <w:t>2</w:t>
      </w:r>
      <w:r w:rsidRPr="0046606E">
        <w:noBreakHyphen/>
        <w:t>1</w:t>
      </w:r>
      <w:r w:rsidR="00C30C07">
        <w:t>3</w:t>
      </w:r>
      <w:r w:rsidRPr="0046606E">
        <w:t xml:space="preserve"> </w:t>
      </w:r>
      <w:r>
        <w:t>target</w:t>
      </w:r>
      <w:r w:rsidRPr="0046606E">
        <w:t xml:space="preserve"> and estimated outcome is based on an estimated population of </w:t>
      </w:r>
      <w:r w:rsidR="00C30C07">
        <w:t>374,435</w:t>
      </w:r>
      <w:r w:rsidRPr="0046606E">
        <w:t>.  The target for 201</w:t>
      </w:r>
      <w:r w:rsidR="00C30C07">
        <w:t>3</w:t>
      </w:r>
      <w:r w:rsidR="00C30C07">
        <w:noBreakHyphen/>
        <w:t xml:space="preserve">14 </w:t>
      </w:r>
      <w:r w:rsidRPr="0046606E">
        <w:t>is based on an estimated population of 37</w:t>
      </w:r>
      <w:r w:rsidR="00C30C07">
        <w:t>6,460</w:t>
      </w:r>
      <w:r w:rsidRPr="0046606E">
        <w:t>.</w:t>
      </w:r>
    </w:p>
    <w:p w:rsidR="004D310B" w:rsidRDefault="004D310B">
      <w:pPr>
        <w:rPr>
          <w:b/>
          <w:bCs/>
        </w:rPr>
      </w:pPr>
      <w:r>
        <w:rPr>
          <w:b/>
          <w:bCs/>
        </w:rPr>
        <w:br w:type="page"/>
      </w:r>
    </w:p>
    <w:p w:rsidR="00AA6895" w:rsidRDefault="00AA6895" w:rsidP="00AA6895">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pPr>
      <w:r>
        <w:lastRenderedPageBreak/>
        <w:t>Changes to Appropriation</w:t>
      </w:r>
    </w:p>
    <w:tbl>
      <w:tblPr>
        <w:tblW w:w="9356" w:type="dxa"/>
        <w:tblLook w:val="04A0"/>
      </w:tblPr>
      <w:tblGrid>
        <w:gridCol w:w="4556"/>
        <w:gridCol w:w="960"/>
        <w:gridCol w:w="960"/>
        <w:gridCol w:w="960"/>
        <w:gridCol w:w="960"/>
        <w:gridCol w:w="960"/>
      </w:tblGrid>
      <w:tr w:rsidR="00AA6895" w:rsidRPr="00341D88" w:rsidTr="00AA00D9">
        <w:trPr>
          <w:trHeight w:val="240"/>
        </w:trPr>
        <w:tc>
          <w:tcPr>
            <w:tcW w:w="4556" w:type="dxa"/>
            <w:tcBorders>
              <w:top w:val="nil"/>
              <w:left w:val="nil"/>
              <w:bottom w:val="nil"/>
              <w:right w:val="nil"/>
            </w:tcBorders>
            <w:shd w:val="clear" w:color="auto" w:fill="auto"/>
            <w:hideMark/>
          </w:tcPr>
          <w:p w:rsidR="00AA6895" w:rsidRPr="00341D88" w:rsidRDefault="00AA6895" w:rsidP="00AA00D9">
            <w:pPr>
              <w:rPr>
                <w:b/>
                <w:bCs/>
                <w:sz w:val="18"/>
                <w:szCs w:val="18"/>
                <w:lang w:eastAsia="en-AU"/>
              </w:rPr>
            </w:pPr>
            <w:r w:rsidRPr="00341D88">
              <w:rPr>
                <w:b/>
                <w:bCs/>
                <w:sz w:val="18"/>
                <w:szCs w:val="18"/>
                <w:lang w:eastAsia="en-AU"/>
              </w:rPr>
              <w:t>Changes to Appropriation - Controlled</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p>
        </w:tc>
      </w:tr>
      <w:tr w:rsidR="00AA6895" w:rsidRPr="00341D88" w:rsidTr="00AA00D9">
        <w:trPr>
          <w:trHeight w:val="240"/>
        </w:trPr>
        <w:tc>
          <w:tcPr>
            <w:tcW w:w="4556" w:type="dxa"/>
            <w:tcBorders>
              <w:top w:val="single" w:sz="4" w:space="0" w:color="auto"/>
              <w:left w:val="nil"/>
              <w:bottom w:val="nil"/>
              <w:right w:val="nil"/>
            </w:tcBorders>
            <w:shd w:val="clear" w:color="auto" w:fill="auto"/>
            <w:hideMark/>
          </w:tcPr>
          <w:p w:rsidR="00AA6895" w:rsidRPr="00341D88" w:rsidRDefault="00AA6895" w:rsidP="00AA00D9">
            <w:pPr>
              <w:rPr>
                <w:b/>
                <w:bCs/>
                <w:sz w:val="18"/>
                <w:szCs w:val="18"/>
                <w:lang w:eastAsia="en-AU"/>
              </w:rPr>
            </w:pPr>
            <w:r w:rsidRPr="00341D88">
              <w:rPr>
                <w:b/>
                <w:bCs/>
                <w:sz w:val="18"/>
                <w:szCs w:val="18"/>
                <w:lang w:eastAsia="en-AU"/>
              </w:rPr>
              <w:t> </w:t>
            </w:r>
          </w:p>
        </w:tc>
        <w:tc>
          <w:tcPr>
            <w:tcW w:w="960" w:type="dxa"/>
            <w:tcBorders>
              <w:top w:val="single" w:sz="4" w:space="0" w:color="auto"/>
              <w:left w:val="nil"/>
              <w:bottom w:val="nil"/>
              <w:right w:val="nil"/>
            </w:tcBorders>
            <w:shd w:val="clear" w:color="auto" w:fill="auto"/>
            <w:noWrap/>
            <w:hideMark/>
          </w:tcPr>
          <w:p w:rsidR="00AA6895" w:rsidRPr="00341D88" w:rsidRDefault="00AA6895" w:rsidP="00AA00D9">
            <w:pPr>
              <w:jc w:val="right"/>
              <w:rPr>
                <w:b/>
                <w:bCs/>
                <w:sz w:val="18"/>
                <w:szCs w:val="18"/>
                <w:lang w:eastAsia="en-AU"/>
              </w:rPr>
            </w:pPr>
            <w:r w:rsidRPr="00341D88">
              <w:rPr>
                <w:b/>
                <w:bCs/>
                <w:sz w:val="18"/>
                <w:szCs w:val="18"/>
                <w:lang w:eastAsia="en-AU"/>
              </w:rPr>
              <w:t>2012-13</w:t>
            </w:r>
          </w:p>
        </w:tc>
        <w:tc>
          <w:tcPr>
            <w:tcW w:w="960" w:type="dxa"/>
            <w:tcBorders>
              <w:top w:val="single" w:sz="4" w:space="0" w:color="auto"/>
              <w:left w:val="nil"/>
              <w:bottom w:val="nil"/>
              <w:right w:val="nil"/>
            </w:tcBorders>
            <w:shd w:val="clear" w:color="auto" w:fill="auto"/>
            <w:noWrap/>
            <w:hideMark/>
          </w:tcPr>
          <w:p w:rsidR="00AA6895" w:rsidRPr="00341D88" w:rsidRDefault="00AA6895" w:rsidP="00AA00D9">
            <w:pPr>
              <w:jc w:val="right"/>
              <w:rPr>
                <w:b/>
                <w:bCs/>
                <w:sz w:val="18"/>
                <w:szCs w:val="18"/>
                <w:lang w:eastAsia="en-AU"/>
              </w:rPr>
            </w:pPr>
            <w:r w:rsidRPr="00341D88">
              <w:rPr>
                <w:b/>
                <w:bCs/>
                <w:sz w:val="18"/>
                <w:szCs w:val="18"/>
                <w:lang w:eastAsia="en-AU"/>
              </w:rPr>
              <w:t>2013-14</w:t>
            </w:r>
          </w:p>
        </w:tc>
        <w:tc>
          <w:tcPr>
            <w:tcW w:w="960" w:type="dxa"/>
            <w:tcBorders>
              <w:top w:val="single" w:sz="4" w:space="0" w:color="auto"/>
              <w:left w:val="nil"/>
              <w:bottom w:val="nil"/>
              <w:right w:val="nil"/>
            </w:tcBorders>
            <w:shd w:val="clear" w:color="auto" w:fill="auto"/>
            <w:noWrap/>
            <w:hideMark/>
          </w:tcPr>
          <w:p w:rsidR="00AA6895" w:rsidRPr="00341D88" w:rsidRDefault="00AA6895" w:rsidP="00AA00D9">
            <w:pPr>
              <w:jc w:val="right"/>
              <w:rPr>
                <w:b/>
                <w:bCs/>
                <w:sz w:val="18"/>
                <w:szCs w:val="18"/>
                <w:lang w:eastAsia="en-AU"/>
              </w:rPr>
            </w:pPr>
            <w:r w:rsidRPr="00341D88">
              <w:rPr>
                <w:b/>
                <w:bCs/>
                <w:sz w:val="18"/>
                <w:szCs w:val="18"/>
                <w:lang w:eastAsia="en-AU"/>
              </w:rPr>
              <w:t>2014-15</w:t>
            </w:r>
          </w:p>
        </w:tc>
        <w:tc>
          <w:tcPr>
            <w:tcW w:w="960" w:type="dxa"/>
            <w:tcBorders>
              <w:top w:val="single" w:sz="4" w:space="0" w:color="auto"/>
              <w:left w:val="nil"/>
              <w:bottom w:val="nil"/>
              <w:right w:val="nil"/>
            </w:tcBorders>
            <w:shd w:val="clear" w:color="auto" w:fill="auto"/>
            <w:noWrap/>
            <w:hideMark/>
          </w:tcPr>
          <w:p w:rsidR="00AA6895" w:rsidRPr="00341D88" w:rsidRDefault="00AA6895" w:rsidP="00AA00D9">
            <w:pPr>
              <w:jc w:val="right"/>
              <w:rPr>
                <w:b/>
                <w:bCs/>
                <w:sz w:val="18"/>
                <w:szCs w:val="18"/>
                <w:lang w:eastAsia="en-AU"/>
              </w:rPr>
            </w:pPr>
            <w:r w:rsidRPr="00341D88">
              <w:rPr>
                <w:b/>
                <w:bCs/>
                <w:sz w:val="18"/>
                <w:szCs w:val="18"/>
                <w:lang w:eastAsia="en-AU"/>
              </w:rPr>
              <w:t>2015-16</w:t>
            </w:r>
          </w:p>
        </w:tc>
        <w:tc>
          <w:tcPr>
            <w:tcW w:w="960" w:type="dxa"/>
            <w:tcBorders>
              <w:top w:val="single" w:sz="4" w:space="0" w:color="auto"/>
              <w:left w:val="nil"/>
              <w:bottom w:val="nil"/>
              <w:right w:val="nil"/>
            </w:tcBorders>
            <w:shd w:val="clear" w:color="auto" w:fill="auto"/>
            <w:noWrap/>
            <w:hideMark/>
          </w:tcPr>
          <w:p w:rsidR="00AA6895" w:rsidRPr="00341D88" w:rsidRDefault="00AA6895" w:rsidP="00AA00D9">
            <w:pPr>
              <w:jc w:val="right"/>
              <w:rPr>
                <w:b/>
                <w:bCs/>
                <w:sz w:val="18"/>
                <w:szCs w:val="18"/>
                <w:lang w:eastAsia="en-AU"/>
              </w:rPr>
            </w:pPr>
            <w:r w:rsidRPr="00341D88">
              <w:rPr>
                <w:b/>
                <w:bCs/>
                <w:sz w:val="18"/>
                <w:szCs w:val="18"/>
                <w:lang w:eastAsia="en-AU"/>
              </w:rPr>
              <w:t>2016-17</w:t>
            </w:r>
          </w:p>
        </w:tc>
      </w:tr>
      <w:tr w:rsidR="00AA6895" w:rsidRPr="00341D88" w:rsidTr="00AA00D9">
        <w:trPr>
          <w:trHeight w:val="240"/>
        </w:trPr>
        <w:tc>
          <w:tcPr>
            <w:tcW w:w="4556" w:type="dxa"/>
            <w:tcBorders>
              <w:top w:val="nil"/>
              <w:left w:val="nil"/>
              <w:bottom w:val="nil"/>
              <w:right w:val="nil"/>
            </w:tcBorders>
            <w:shd w:val="clear" w:color="auto" w:fill="auto"/>
            <w:hideMark/>
          </w:tcPr>
          <w:p w:rsidR="00AA6895" w:rsidRPr="00341D88" w:rsidRDefault="00AA6895" w:rsidP="00AA00D9">
            <w:pPr>
              <w:rPr>
                <w:b/>
                <w:bCs/>
                <w:sz w:val="18"/>
                <w:szCs w:val="18"/>
                <w:lang w:eastAsia="en-AU"/>
              </w:rPr>
            </w:pPr>
            <w:r w:rsidRPr="00341D88">
              <w:rPr>
                <w:b/>
                <w:bCs/>
                <w:sz w:val="18"/>
                <w:szCs w:val="18"/>
                <w:lang w:eastAsia="en-AU"/>
              </w:rPr>
              <w:t>Government Payment for Outputs</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b/>
                <w:bCs/>
                <w:sz w:val="18"/>
                <w:szCs w:val="18"/>
                <w:lang w:eastAsia="en-AU"/>
              </w:rPr>
            </w:pPr>
            <w:r w:rsidRPr="00341D88">
              <w:rPr>
                <w:b/>
                <w:bCs/>
                <w:sz w:val="18"/>
                <w:szCs w:val="18"/>
                <w:lang w:eastAsia="en-AU"/>
              </w:rPr>
              <w:t>Est. Out.</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b/>
                <w:bCs/>
                <w:sz w:val="18"/>
                <w:szCs w:val="18"/>
                <w:lang w:eastAsia="en-AU"/>
              </w:rPr>
            </w:pPr>
            <w:r w:rsidRPr="00341D88">
              <w:rPr>
                <w:b/>
                <w:bCs/>
                <w:sz w:val="18"/>
                <w:szCs w:val="18"/>
                <w:lang w:eastAsia="en-AU"/>
              </w:rPr>
              <w:t>Budget</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b/>
                <w:bCs/>
                <w:sz w:val="18"/>
                <w:szCs w:val="18"/>
                <w:lang w:eastAsia="en-AU"/>
              </w:rPr>
            </w:pPr>
            <w:r w:rsidRPr="00341D88">
              <w:rPr>
                <w:b/>
                <w:bCs/>
                <w:sz w:val="18"/>
                <w:szCs w:val="18"/>
                <w:lang w:eastAsia="en-AU"/>
              </w:rPr>
              <w:t>Estimate</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b/>
                <w:bCs/>
                <w:sz w:val="18"/>
                <w:szCs w:val="18"/>
                <w:lang w:eastAsia="en-AU"/>
              </w:rPr>
            </w:pPr>
            <w:r w:rsidRPr="00341D88">
              <w:rPr>
                <w:b/>
                <w:bCs/>
                <w:sz w:val="18"/>
                <w:szCs w:val="18"/>
                <w:lang w:eastAsia="en-AU"/>
              </w:rPr>
              <w:t>Estimate</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b/>
                <w:bCs/>
                <w:sz w:val="18"/>
                <w:szCs w:val="18"/>
                <w:lang w:eastAsia="en-AU"/>
              </w:rPr>
            </w:pPr>
            <w:r w:rsidRPr="00341D88">
              <w:rPr>
                <w:b/>
                <w:bCs/>
                <w:sz w:val="18"/>
                <w:szCs w:val="18"/>
                <w:lang w:eastAsia="en-AU"/>
              </w:rPr>
              <w:t>Estimate</w:t>
            </w:r>
          </w:p>
        </w:tc>
      </w:tr>
      <w:tr w:rsidR="00AA6895" w:rsidRPr="00341D88" w:rsidTr="00AA00D9">
        <w:trPr>
          <w:trHeight w:val="240"/>
        </w:trPr>
        <w:tc>
          <w:tcPr>
            <w:tcW w:w="4556" w:type="dxa"/>
            <w:tcBorders>
              <w:top w:val="nil"/>
              <w:left w:val="nil"/>
              <w:bottom w:val="single" w:sz="4" w:space="0" w:color="auto"/>
              <w:right w:val="nil"/>
            </w:tcBorders>
            <w:shd w:val="clear" w:color="auto" w:fill="auto"/>
            <w:hideMark/>
          </w:tcPr>
          <w:p w:rsidR="00AA6895" w:rsidRPr="00341D88" w:rsidRDefault="00AA6895" w:rsidP="00AA00D9">
            <w:pPr>
              <w:rPr>
                <w:b/>
                <w:bCs/>
                <w:sz w:val="18"/>
                <w:szCs w:val="18"/>
                <w:lang w:eastAsia="en-AU"/>
              </w:rPr>
            </w:pPr>
            <w:r w:rsidRPr="00341D88">
              <w:rPr>
                <w:b/>
                <w:bCs/>
                <w:sz w:val="18"/>
                <w:szCs w:val="18"/>
                <w:lang w:eastAsia="en-AU"/>
              </w:rPr>
              <w:t> </w:t>
            </w:r>
          </w:p>
        </w:tc>
        <w:tc>
          <w:tcPr>
            <w:tcW w:w="960" w:type="dxa"/>
            <w:tcBorders>
              <w:top w:val="nil"/>
              <w:left w:val="nil"/>
              <w:bottom w:val="single" w:sz="4" w:space="0" w:color="auto"/>
              <w:right w:val="nil"/>
            </w:tcBorders>
            <w:shd w:val="clear" w:color="auto" w:fill="auto"/>
            <w:noWrap/>
            <w:hideMark/>
          </w:tcPr>
          <w:p w:rsidR="00AA6895" w:rsidRPr="00341D88" w:rsidRDefault="00AA6895" w:rsidP="00AA00D9">
            <w:pPr>
              <w:jc w:val="right"/>
              <w:rPr>
                <w:b/>
                <w:bCs/>
                <w:sz w:val="18"/>
                <w:szCs w:val="18"/>
                <w:lang w:eastAsia="en-AU"/>
              </w:rPr>
            </w:pPr>
            <w:r w:rsidRPr="00341D88">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AA6895" w:rsidRPr="00341D88" w:rsidRDefault="00AA6895" w:rsidP="00AA00D9">
            <w:pPr>
              <w:jc w:val="right"/>
              <w:rPr>
                <w:b/>
                <w:bCs/>
                <w:sz w:val="18"/>
                <w:szCs w:val="18"/>
                <w:lang w:eastAsia="en-AU"/>
              </w:rPr>
            </w:pPr>
            <w:r w:rsidRPr="00341D88">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AA6895" w:rsidRPr="00341D88" w:rsidRDefault="00AA6895" w:rsidP="00AA00D9">
            <w:pPr>
              <w:jc w:val="right"/>
              <w:rPr>
                <w:b/>
                <w:bCs/>
                <w:sz w:val="18"/>
                <w:szCs w:val="18"/>
                <w:lang w:eastAsia="en-AU"/>
              </w:rPr>
            </w:pPr>
            <w:r w:rsidRPr="00341D88">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AA6895" w:rsidRPr="00341D88" w:rsidRDefault="00AA6895" w:rsidP="00AA00D9">
            <w:pPr>
              <w:jc w:val="right"/>
              <w:rPr>
                <w:b/>
                <w:bCs/>
                <w:sz w:val="18"/>
                <w:szCs w:val="18"/>
                <w:lang w:eastAsia="en-AU"/>
              </w:rPr>
            </w:pPr>
            <w:r w:rsidRPr="00341D88">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AA6895" w:rsidRPr="00341D88" w:rsidRDefault="00AA6895" w:rsidP="00AA00D9">
            <w:pPr>
              <w:jc w:val="right"/>
              <w:rPr>
                <w:b/>
                <w:bCs/>
                <w:sz w:val="18"/>
                <w:szCs w:val="18"/>
                <w:lang w:eastAsia="en-AU"/>
              </w:rPr>
            </w:pPr>
            <w:r w:rsidRPr="00341D88">
              <w:rPr>
                <w:b/>
                <w:bCs/>
                <w:sz w:val="18"/>
                <w:szCs w:val="18"/>
                <w:lang w:eastAsia="en-AU"/>
              </w:rPr>
              <w:t>$'000</w:t>
            </w:r>
          </w:p>
        </w:tc>
      </w:tr>
      <w:tr w:rsidR="00AA6895" w:rsidRPr="00C6223E" w:rsidTr="00C6223E">
        <w:trPr>
          <w:trHeight w:val="103"/>
        </w:trPr>
        <w:tc>
          <w:tcPr>
            <w:tcW w:w="4556" w:type="dxa"/>
            <w:tcBorders>
              <w:top w:val="nil"/>
              <w:left w:val="nil"/>
              <w:bottom w:val="nil"/>
              <w:right w:val="nil"/>
            </w:tcBorders>
            <w:shd w:val="clear" w:color="auto" w:fill="auto"/>
            <w:hideMark/>
          </w:tcPr>
          <w:p w:rsidR="00AA6895" w:rsidRPr="00C6223E" w:rsidRDefault="00AA6895" w:rsidP="00AA00D9">
            <w:pPr>
              <w:rPr>
                <w:sz w:val="6"/>
                <w:szCs w:val="6"/>
                <w:lang w:eastAsia="en-AU"/>
              </w:rPr>
            </w:pPr>
          </w:p>
        </w:tc>
        <w:tc>
          <w:tcPr>
            <w:tcW w:w="960" w:type="dxa"/>
            <w:tcBorders>
              <w:top w:val="nil"/>
              <w:left w:val="nil"/>
              <w:bottom w:val="nil"/>
              <w:right w:val="nil"/>
            </w:tcBorders>
            <w:shd w:val="clear" w:color="auto" w:fill="auto"/>
            <w:noWrap/>
            <w:hideMark/>
          </w:tcPr>
          <w:p w:rsidR="00AA6895" w:rsidRPr="00C6223E" w:rsidRDefault="00AA6895" w:rsidP="00AA00D9">
            <w:pPr>
              <w:jc w:val="right"/>
              <w:rPr>
                <w:sz w:val="6"/>
                <w:szCs w:val="6"/>
                <w:lang w:eastAsia="en-AU"/>
              </w:rPr>
            </w:pPr>
          </w:p>
        </w:tc>
        <w:tc>
          <w:tcPr>
            <w:tcW w:w="960" w:type="dxa"/>
            <w:tcBorders>
              <w:top w:val="nil"/>
              <w:left w:val="nil"/>
              <w:bottom w:val="nil"/>
              <w:right w:val="nil"/>
            </w:tcBorders>
            <w:shd w:val="clear" w:color="auto" w:fill="auto"/>
            <w:noWrap/>
            <w:hideMark/>
          </w:tcPr>
          <w:p w:rsidR="00AA6895" w:rsidRPr="00C6223E" w:rsidRDefault="00AA6895" w:rsidP="00AA00D9">
            <w:pPr>
              <w:jc w:val="right"/>
              <w:rPr>
                <w:sz w:val="6"/>
                <w:szCs w:val="6"/>
                <w:lang w:eastAsia="en-AU"/>
              </w:rPr>
            </w:pPr>
          </w:p>
        </w:tc>
        <w:tc>
          <w:tcPr>
            <w:tcW w:w="960" w:type="dxa"/>
            <w:tcBorders>
              <w:top w:val="nil"/>
              <w:left w:val="nil"/>
              <w:bottom w:val="nil"/>
              <w:right w:val="nil"/>
            </w:tcBorders>
            <w:shd w:val="clear" w:color="auto" w:fill="auto"/>
            <w:noWrap/>
            <w:hideMark/>
          </w:tcPr>
          <w:p w:rsidR="00AA6895" w:rsidRPr="00C6223E" w:rsidRDefault="00AA6895" w:rsidP="00AA00D9">
            <w:pPr>
              <w:jc w:val="right"/>
              <w:rPr>
                <w:sz w:val="6"/>
                <w:szCs w:val="6"/>
                <w:lang w:eastAsia="en-AU"/>
              </w:rPr>
            </w:pPr>
          </w:p>
        </w:tc>
        <w:tc>
          <w:tcPr>
            <w:tcW w:w="960" w:type="dxa"/>
            <w:tcBorders>
              <w:top w:val="nil"/>
              <w:left w:val="nil"/>
              <w:bottom w:val="nil"/>
              <w:right w:val="nil"/>
            </w:tcBorders>
            <w:shd w:val="clear" w:color="auto" w:fill="auto"/>
            <w:noWrap/>
            <w:hideMark/>
          </w:tcPr>
          <w:p w:rsidR="00AA6895" w:rsidRPr="00C6223E" w:rsidRDefault="00AA6895" w:rsidP="00AA00D9">
            <w:pPr>
              <w:jc w:val="right"/>
              <w:rPr>
                <w:sz w:val="6"/>
                <w:szCs w:val="6"/>
                <w:lang w:eastAsia="en-AU"/>
              </w:rPr>
            </w:pPr>
          </w:p>
        </w:tc>
        <w:tc>
          <w:tcPr>
            <w:tcW w:w="960" w:type="dxa"/>
            <w:tcBorders>
              <w:top w:val="nil"/>
              <w:left w:val="nil"/>
              <w:bottom w:val="nil"/>
              <w:right w:val="nil"/>
            </w:tcBorders>
            <w:shd w:val="clear" w:color="auto" w:fill="auto"/>
            <w:noWrap/>
            <w:hideMark/>
          </w:tcPr>
          <w:p w:rsidR="00AA6895" w:rsidRPr="00C6223E" w:rsidRDefault="00AA6895" w:rsidP="00AA00D9">
            <w:pPr>
              <w:jc w:val="right"/>
              <w:rPr>
                <w:sz w:val="6"/>
                <w:szCs w:val="6"/>
                <w:lang w:eastAsia="en-AU"/>
              </w:rPr>
            </w:pPr>
          </w:p>
        </w:tc>
      </w:tr>
      <w:tr w:rsidR="00AA6895" w:rsidRPr="00341D88" w:rsidTr="00AA00D9">
        <w:trPr>
          <w:trHeight w:val="240"/>
        </w:trPr>
        <w:tc>
          <w:tcPr>
            <w:tcW w:w="4556" w:type="dxa"/>
            <w:tcBorders>
              <w:top w:val="nil"/>
              <w:left w:val="nil"/>
              <w:bottom w:val="nil"/>
              <w:right w:val="nil"/>
            </w:tcBorders>
            <w:shd w:val="clear" w:color="auto" w:fill="auto"/>
            <w:hideMark/>
          </w:tcPr>
          <w:p w:rsidR="00AA6895" w:rsidRPr="00341D88" w:rsidRDefault="00AA6895" w:rsidP="00AA00D9">
            <w:pPr>
              <w:rPr>
                <w:b/>
                <w:bCs/>
                <w:sz w:val="18"/>
                <w:szCs w:val="18"/>
                <w:lang w:eastAsia="en-AU"/>
              </w:rPr>
            </w:pPr>
            <w:r w:rsidRPr="00341D88">
              <w:rPr>
                <w:b/>
                <w:bCs/>
                <w:sz w:val="18"/>
                <w:szCs w:val="18"/>
                <w:lang w:eastAsia="en-AU"/>
              </w:rPr>
              <w:t>2012-13 Budget</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b/>
                <w:bCs/>
                <w:sz w:val="18"/>
                <w:szCs w:val="18"/>
                <w:lang w:eastAsia="en-AU"/>
              </w:rPr>
            </w:pPr>
            <w:r w:rsidRPr="00341D88">
              <w:rPr>
                <w:b/>
                <w:bCs/>
                <w:sz w:val="18"/>
                <w:szCs w:val="18"/>
                <w:lang w:eastAsia="en-AU"/>
              </w:rPr>
              <w:t>246,937</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b/>
                <w:bCs/>
                <w:sz w:val="18"/>
                <w:szCs w:val="18"/>
                <w:lang w:eastAsia="en-AU"/>
              </w:rPr>
            </w:pPr>
            <w:r w:rsidRPr="00341D88">
              <w:rPr>
                <w:b/>
                <w:bCs/>
                <w:sz w:val="18"/>
                <w:szCs w:val="18"/>
                <w:lang w:eastAsia="en-AU"/>
              </w:rPr>
              <w:t>239,259</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b/>
                <w:bCs/>
                <w:sz w:val="18"/>
                <w:szCs w:val="18"/>
                <w:lang w:eastAsia="en-AU"/>
              </w:rPr>
            </w:pPr>
            <w:r w:rsidRPr="00341D88">
              <w:rPr>
                <w:b/>
                <w:bCs/>
                <w:sz w:val="18"/>
                <w:szCs w:val="18"/>
                <w:lang w:eastAsia="en-AU"/>
              </w:rPr>
              <w:t>240,531</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b/>
                <w:bCs/>
                <w:sz w:val="18"/>
                <w:szCs w:val="18"/>
                <w:lang w:eastAsia="en-AU"/>
              </w:rPr>
            </w:pPr>
            <w:r w:rsidRPr="00341D88">
              <w:rPr>
                <w:b/>
                <w:bCs/>
                <w:sz w:val="18"/>
                <w:szCs w:val="18"/>
                <w:lang w:eastAsia="en-AU"/>
              </w:rPr>
              <w:t>243,523</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b/>
                <w:bCs/>
                <w:sz w:val="18"/>
                <w:szCs w:val="18"/>
                <w:lang w:eastAsia="en-AU"/>
              </w:rPr>
            </w:pPr>
            <w:r w:rsidRPr="00341D88">
              <w:rPr>
                <w:b/>
                <w:bCs/>
                <w:sz w:val="18"/>
                <w:szCs w:val="18"/>
                <w:lang w:eastAsia="en-AU"/>
              </w:rPr>
              <w:t>243,523</w:t>
            </w:r>
          </w:p>
        </w:tc>
      </w:tr>
      <w:tr w:rsidR="00AA6895" w:rsidRPr="00C6223E" w:rsidTr="00AA00D9">
        <w:trPr>
          <w:trHeight w:val="57"/>
        </w:trPr>
        <w:tc>
          <w:tcPr>
            <w:tcW w:w="4556" w:type="dxa"/>
            <w:tcBorders>
              <w:top w:val="nil"/>
              <w:left w:val="nil"/>
              <w:bottom w:val="nil"/>
              <w:right w:val="nil"/>
            </w:tcBorders>
            <w:shd w:val="clear" w:color="auto" w:fill="auto"/>
            <w:hideMark/>
          </w:tcPr>
          <w:p w:rsidR="00AA6895" w:rsidRPr="00C6223E" w:rsidRDefault="00AA6895" w:rsidP="00AA00D9">
            <w:pPr>
              <w:rPr>
                <w:b/>
                <w:bCs/>
                <w:sz w:val="6"/>
                <w:szCs w:val="6"/>
                <w:lang w:eastAsia="en-AU"/>
              </w:rPr>
            </w:pPr>
          </w:p>
        </w:tc>
        <w:tc>
          <w:tcPr>
            <w:tcW w:w="960" w:type="dxa"/>
            <w:tcBorders>
              <w:top w:val="nil"/>
              <w:left w:val="nil"/>
              <w:bottom w:val="nil"/>
              <w:right w:val="nil"/>
            </w:tcBorders>
            <w:shd w:val="clear" w:color="auto" w:fill="auto"/>
            <w:noWrap/>
            <w:hideMark/>
          </w:tcPr>
          <w:p w:rsidR="00AA6895" w:rsidRPr="00C6223E" w:rsidRDefault="00AA6895" w:rsidP="00AA00D9">
            <w:pPr>
              <w:jc w:val="right"/>
              <w:rPr>
                <w:b/>
                <w:bCs/>
                <w:sz w:val="6"/>
                <w:szCs w:val="6"/>
                <w:lang w:eastAsia="en-AU"/>
              </w:rPr>
            </w:pPr>
          </w:p>
        </w:tc>
        <w:tc>
          <w:tcPr>
            <w:tcW w:w="960" w:type="dxa"/>
            <w:tcBorders>
              <w:top w:val="nil"/>
              <w:left w:val="nil"/>
              <w:bottom w:val="nil"/>
              <w:right w:val="nil"/>
            </w:tcBorders>
            <w:shd w:val="clear" w:color="auto" w:fill="auto"/>
            <w:noWrap/>
            <w:hideMark/>
          </w:tcPr>
          <w:p w:rsidR="00AA6895" w:rsidRPr="00C6223E" w:rsidRDefault="00AA6895" w:rsidP="00AA00D9">
            <w:pPr>
              <w:jc w:val="right"/>
              <w:rPr>
                <w:b/>
                <w:bCs/>
                <w:sz w:val="6"/>
                <w:szCs w:val="6"/>
                <w:lang w:eastAsia="en-AU"/>
              </w:rPr>
            </w:pPr>
          </w:p>
        </w:tc>
        <w:tc>
          <w:tcPr>
            <w:tcW w:w="960" w:type="dxa"/>
            <w:tcBorders>
              <w:top w:val="nil"/>
              <w:left w:val="nil"/>
              <w:bottom w:val="nil"/>
              <w:right w:val="nil"/>
            </w:tcBorders>
            <w:shd w:val="clear" w:color="auto" w:fill="auto"/>
            <w:noWrap/>
            <w:hideMark/>
          </w:tcPr>
          <w:p w:rsidR="00AA6895" w:rsidRPr="00C6223E" w:rsidRDefault="00AA6895" w:rsidP="00AA00D9">
            <w:pPr>
              <w:jc w:val="right"/>
              <w:rPr>
                <w:b/>
                <w:bCs/>
                <w:sz w:val="6"/>
                <w:szCs w:val="6"/>
                <w:lang w:eastAsia="en-AU"/>
              </w:rPr>
            </w:pPr>
          </w:p>
        </w:tc>
        <w:tc>
          <w:tcPr>
            <w:tcW w:w="960" w:type="dxa"/>
            <w:tcBorders>
              <w:top w:val="nil"/>
              <w:left w:val="nil"/>
              <w:bottom w:val="nil"/>
              <w:right w:val="nil"/>
            </w:tcBorders>
            <w:shd w:val="clear" w:color="auto" w:fill="auto"/>
            <w:noWrap/>
            <w:hideMark/>
          </w:tcPr>
          <w:p w:rsidR="00AA6895" w:rsidRPr="00C6223E" w:rsidRDefault="00AA6895" w:rsidP="00AA00D9">
            <w:pPr>
              <w:jc w:val="right"/>
              <w:rPr>
                <w:b/>
                <w:bCs/>
                <w:sz w:val="6"/>
                <w:szCs w:val="6"/>
                <w:lang w:eastAsia="en-AU"/>
              </w:rPr>
            </w:pPr>
          </w:p>
        </w:tc>
        <w:tc>
          <w:tcPr>
            <w:tcW w:w="960" w:type="dxa"/>
            <w:tcBorders>
              <w:top w:val="nil"/>
              <w:left w:val="nil"/>
              <w:bottom w:val="nil"/>
              <w:right w:val="nil"/>
            </w:tcBorders>
            <w:shd w:val="clear" w:color="auto" w:fill="auto"/>
            <w:noWrap/>
            <w:hideMark/>
          </w:tcPr>
          <w:p w:rsidR="00AA6895" w:rsidRPr="00C6223E" w:rsidRDefault="00AA6895" w:rsidP="00AA00D9">
            <w:pPr>
              <w:jc w:val="right"/>
              <w:rPr>
                <w:b/>
                <w:bCs/>
                <w:sz w:val="6"/>
                <w:szCs w:val="6"/>
                <w:lang w:eastAsia="en-AU"/>
              </w:rPr>
            </w:pPr>
          </w:p>
        </w:tc>
      </w:tr>
      <w:tr w:rsidR="00AA6895" w:rsidRPr="00341D88" w:rsidTr="00AA00D9">
        <w:trPr>
          <w:trHeight w:val="240"/>
        </w:trPr>
        <w:tc>
          <w:tcPr>
            <w:tcW w:w="4556" w:type="dxa"/>
            <w:tcBorders>
              <w:top w:val="nil"/>
              <w:left w:val="nil"/>
              <w:bottom w:val="nil"/>
              <w:right w:val="nil"/>
            </w:tcBorders>
            <w:shd w:val="clear" w:color="auto" w:fill="auto"/>
            <w:hideMark/>
          </w:tcPr>
          <w:p w:rsidR="00AA6895" w:rsidRPr="00341D88" w:rsidRDefault="00AA6895" w:rsidP="00AA00D9">
            <w:pPr>
              <w:rPr>
                <w:b/>
                <w:bCs/>
                <w:sz w:val="18"/>
                <w:szCs w:val="18"/>
                <w:lang w:eastAsia="en-AU"/>
              </w:rPr>
            </w:pPr>
            <w:r w:rsidRPr="00341D88">
              <w:rPr>
                <w:b/>
                <w:bCs/>
                <w:sz w:val="18"/>
                <w:szCs w:val="18"/>
                <w:lang w:eastAsia="en-AU"/>
              </w:rPr>
              <w:t>FMA Section 16B Rollovers from 2011-12</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p>
        </w:tc>
      </w:tr>
      <w:tr w:rsidR="00AA6895" w:rsidRPr="00341D88" w:rsidTr="00AA00D9">
        <w:trPr>
          <w:trHeight w:val="240"/>
        </w:trPr>
        <w:tc>
          <w:tcPr>
            <w:tcW w:w="4556" w:type="dxa"/>
            <w:tcBorders>
              <w:top w:val="nil"/>
              <w:left w:val="nil"/>
              <w:bottom w:val="nil"/>
              <w:right w:val="nil"/>
            </w:tcBorders>
            <w:shd w:val="clear" w:color="auto" w:fill="auto"/>
            <w:hideMark/>
          </w:tcPr>
          <w:p w:rsidR="00AA6895" w:rsidRPr="00341D88" w:rsidRDefault="00AA6895" w:rsidP="00AA00D9">
            <w:pPr>
              <w:rPr>
                <w:sz w:val="18"/>
                <w:szCs w:val="18"/>
                <w:lang w:eastAsia="en-AU"/>
              </w:rPr>
            </w:pPr>
            <w:r w:rsidRPr="00341D88">
              <w:rPr>
                <w:sz w:val="18"/>
                <w:szCs w:val="18"/>
                <w:lang w:eastAsia="en-AU"/>
              </w:rPr>
              <w:t>ACT Fire &amp; Rescue Wage Agreement</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1,132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r>
      <w:tr w:rsidR="00AA6895" w:rsidRPr="00341D88" w:rsidTr="00AA00D9">
        <w:trPr>
          <w:trHeight w:val="240"/>
        </w:trPr>
        <w:tc>
          <w:tcPr>
            <w:tcW w:w="4556" w:type="dxa"/>
            <w:tcBorders>
              <w:top w:val="nil"/>
              <w:left w:val="nil"/>
              <w:bottom w:val="nil"/>
              <w:right w:val="nil"/>
            </w:tcBorders>
            <w:shd w:val="clear" w:color="auto" w:fill="auto"/>
            <w:hideMark/>
          </w:tcPr>
          <w:p w:rsidR="00AA6895" w:rsidRPr="00341D88" w:rsidRDefault="00AA6895" w:rsidP="00AA00D9">
            <w:pPr>
              <w:rPr>
                <w:sz w:val="18"/>
                <w:szCs w:val="18"/>
                <w:lang w:eastAsia="en-AU"/>
              </w:rPr>
            </w:pPr>
            <w:r w:rsidRPr="00341D88">
              <w:rPr>
                <w:sz w:val="18"/>
                <w:szCs w:val="18"/>
                <w:lang w:eastAsia="en-AU"/>
              </w:rPr>
              <w:t>National Disaster Resilience Program</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813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r>
      <w:tr w:rsidR="00AA6895" w:rsidRPr="00341D88" w:rsidTr="00AA00D9">
        <w:trPr>
          <w:trHeight w:val="240"/>
        </w:trPr>
        <w:tc>
          <w:tcPr>
            <w:tcW w:w="4556" w:type="dxa"/>
            <w:tcBorders>
              <w:top w:val="nil"/>
              <w:left w:val="nil"/>
              <w:bottom w:val="nil"/>
              <w:right w:val="nil"/>
            </w:tcBorders>
            <w:shd w:val="clear" w:color="auto" w:fill="auto"/>
            <w:hideMark/>
          </w:tcPr>
          <w:p w:rsidR="00AA6895" w:rsidRPr="00341D88" w:rsidRDefault="00AA6895" w:rsidP="00AA00D9">
            <w:pPr>
              <w:rPr>
                <w:sz w:val="18"/>
                <w:szCs w:val="18"/>
                <w:lang w:eastAsia="en-AU"/>
              </w:rPr>
            </w:pPr>
            <w:r w:rsidRPr="00341D88">
              <w:rPr>
                <w:sz w:val="18"/>
                <w:szCs w:val="18"/>
                <w:lang w:eastAsia="en-AU"/>
              </w:rPr>
              <w:t>ACT Ambulance Service Wage Agreement</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509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r>
      <w:tr w:rsidR="00AA6895" w:rsidRPr="00C6223E" w:rsidTr="00AA00D9">
        <w:trPr>
          <w:trHeight w:val="105"/>
        </w:trPr>
        <w:tc>
          <w:tcPr>
            <w:tcW w:w="4556" w:type="dxa"/>
            <w:tcBorders>
              <w:top w:val="nil"/>
              <w:left w:val="nil"/>
              <w:bottom w:val="nil"/>
              <w:right w:val="nil"/>
            </w:tcBorders>
            <w:shd w:val="clear" w:color="auto" w:fill="auto"/>
            <w:hideMark/>
          </w:tcPr>
          <w:p w:rsidR="00AA6895" w:rsidRPr="00C6223E" w:rsidRDefault="00AA6895" w:rsidP="00AA00D9">
            <w:pPr>
              <w:rPr>
                <w:sz w:val="6"/>
                <w:szCs w:val="6"/>
                <w:lang w:eastAsia="en-AU"/>
              </w:rPr>
            </w:pPr>
          </w:p>
        </w:tc>
        <w:tc>
          <w:tcPr>
            <w:tcW w:w="960" w:type="dxa"/>
            <w:tcBorders>
              <w:top w:val="nil"/>
              <w:left w:val="nil"/>
              <w:bottom w:val="nil"/>
              <w:right w:val="nil"/>
            </w:tcBorders>
            <w:shd w:val="clear" w:color="auto" w:fill="auto"/>
            <w:noWrap/>
            <w:hideMark/>
          </w:tcPr>
          <w:p w:rsidR="00AA6895" w:rsidRPr="00C6223E" w:rsidRDefault="00AA6895" w:rsidP="00AA00D9">
            <w:pPr>
              <w:jc w:val="right"/>
              <w:rPr>
                <w:sz w:val="6"/>
                <w:szCs w:val="6"/>
                <w:lang w:eastAsia="en-AU"/>
              </w:rPr>
            </w:pPr>
          </w:p>
        </w:tc>
        <w:tc>
          <w:tcPr>
            <w:tcW w:w="960" w:type="dxa"/>
            <w:tcBorders>
              <w:top w:val="nil"/>
              <w:left w:val="nil"/>
              <w:bottom w:val="nil"/>
              <w:right w:val="nil"/>
            </w:tcBorders>
            <w:shd w:val="clear" w:color="auto" w:fill="auto"/>
            <w:noWrap/>
            <w:hideMark/>
          </w:tcPr>
          <w:p w:rsidR="00AA6895" w:rsidRPr="00C6223E" w:rsidRDefault="00AA6895" w:rsidP="00AA00D9">
            <w:pPr>
              <w:jc w:val="right"/>
              <w:rPr>
                <w:sz w:val="6"/>
                <w:szCs w:val="6"/>
                <w:lang w:eastAsia="en-AU"/>
              </w:rPr>
            </w:pPr>
          </w:p>
        </w:tc>
        <w:tc>
          <w:tcPr>
            <w:tcW w:w="960" w:type="dxa"/>
            <w:tcBorders>
              <w:top w:val="nil"/>
              <w:left w:val="nil"/>
              <w:bottom w:val="nil"/>
              <w:right w:val="nil"/>
            </w:tcBorders>
            <w:shd w:val="clear" w:color="auto" w:fill="auto"/>
            <w:noWrap/>
            <w:hideMark/>
          </w:tcPr>
          <w:p w:rsidR="00AA6895" w:rsidRPr="00C6223E" w:rsidRDefault="00AA6895" w:rsidP="00AA00D9">
            <w:pPr>
              <w:jc w:val="right"/>
              <w:rPr>
                <w:sz w:val="6"/>
                <w:szCs w:val="6"/>
                <w:lang w:eastAsia="en-AU"/>
              </w:rPr>
            </w:pPr>
          </w:p>
        </w:tc>
        <w:tc>
          <w:tcPr>
            <w:tcW w:w="960" w:type="dxa"/>
            <w:tcBorders>
              <w:top w:val="nil"/>
              <w:left w:val="nil"/>
              <w:bottom w:val="nil"/>
              <w:right w:val="nil"/>
            </w:tcBorders>
            <w:shd w:val="clear" w:color="auto" w:fill="auto"/>
            <w:noWrap/>
            <w:hideMark/>
          </w:tcPr>
          <w:p w:rsidR="00AA6895" w:rsidRPr="00C6223E" w:rsidRDefault="00AA6895" w:rsidP="00AA00D9">
            <w:pPr>
              <w:jc w:val="right"/>
              <w:rPr>
                <w:sz w:val="6"/>
                <w:szCs w:val="6"/>
                <w:lang w:eastAsia="en-AU"/>
              </w:rPr>
            </w:pPr>
          </w:p>
        </w:tc>
        <w:tc>
          <w:tcPr>
            <w:tcW w:w="960" w:type="dxa"/>
            <w:tcBorders>
              <w:top w:val="nil"/>
              <w:left w:val="nil"/>
              <w:bottom w:val="nil"/>
              <w:right w:val="nil"/>
            </w:tcBorders>
            <w:shd w:val="clear" w:color="auto" w:fill="auto"/>
            <w:noWrap/>
            <w:hideMark/>
          </w:tcPr>
          <w:p w:rsidR="00AA6895" w:rsidRPr="00C6223E" w:rsidRDefault="00AA6895" w:rsidP="00AA00D9">
            <w:pPr>
              <w:jc w:val="right"/>
              <w:rPr>
                <w:sz w:val="6"/>
                <w:szCs w:val="6"/>
                <w:lang w:eastAsia="en-AU"/>
              </w:rPr>
            </w:pPr>
          </w:p>
        </w:tc>
      </w:tr>
      <w:tr w:rsidR="00AA6895" w:rsidRPr="00341D88" w:rsidTr="00AA00D9">
        <w:trPr>
          <w:trHeight w:val="240"/>
        </w:trPr>
        <w:tc>
          <w:tcPr>
            <w:tcW w:w="4556" w:type="dxa"/>
            <w:tcBorders>
              <w:top w:val="nil"/>
              <w:left w:val="nil"/>
              <w:bottom w:val="nil"/>
              <w:right w:val="nil"/>
            </w:tcBorders>
            <w:shd w:val="clear" w:color="auto" w:fill="auto"/>
            <w:hideMark/>
          </w:tcPr>
          <w:p w:rsidR="00AA6895" w:rsidRPr="00341D88" w:rsidRDefault="00AA6895" w:rsidP="00AA00D9">
            <w:pPr>
              <w:rPr>
                <w:b/>
                <w:bCs/>
                <w:sz w:val="18"/>
                <w:szCs w:val="18"/>
                <w:lang w:eastAsia="en-AU"/>
              </w:rPr>
            </w:pPr>
            <w:r w:rsidRPr="00341D88">
              <w:rPr>
                <w:b/>
                <w:bCs/>
                <w:sz w:val="18"/>
                <w:szCs w:val="18"/>
                <w:lang w:eastAsia="en-AU"/>
              </w:rPr>
              <w:t>2013-14 Budget Policy Adjustments</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p>
        </w:tc>
      </w:tr>
      <w:tr w:rsidR="00AA6895" w:rsidRPr="00341D88" w:rsidTr="00AA00D9">
        <w:trPr>
          <w:trHeight w:val="240"/>
        </w:trPr>
        <w:tc>
          <w:tcPr>
            <w:tcW w:w="4556" w:type="dxa"/>
            <w:tcBorders>
              <w:top w:val="nil"/>
              <w:left w:val="nil"/>
              <w:bottom w:val="nil"/>
              <w:right w:val="nil"/>
            </w:tcBorders>
            <w:shd w:val="clear" w:color="auto" w:fill="auto"/>
            <w:hideMark/>
          </w:tcPr>
          <w:p w:rsidR="00AA6895" w:rsidRPr="00341D88" w:rsidRDefault="00AA6895" w:rsidP="00AA00D9">
            <w:pPr>
              <w:rPr>
                <w:sz w:val="18"/>
                <w:szCs w:val="18"/>
                <w:lang w:eastAsia="en-AU"/>
              </w:rPr>
            </w:pPr>
            <w:r w:rsidRPr="00341D88">
              <w:rPr>
                <w:sz w:val="18"/>
                <w:szCs w:val="18"/>
                <w:lang w:eastAsia="en-AU"/>
              </w:rPr>
              <w:t xml:space="preserve">Community Legal Centres Hub </w:t>
            </w:r>
            <w:r w:rsidR="002565E1" w:rsidRPr="00341D88">
              <w:rPr>
                <w:sz w:val="18"/>
                <w:szCs w:val="18"/>
                <w:lang w:eastAsia="en-AU"/>
              </w:rPr>
              <w:t>Accommodation</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180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280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290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300 </w:t>
            </w:r>
          </w:p>
        </w:tc>
      </w:tr>
      <w:tr w:rsidR="00AA6895" w:rsidRPr="00341D88" w:rsidTr="00AA00D9">
        <w:trPr>
          <w:trHeight w:val="240"/>
        </w:trPr>
        <w:tc>
          <w:tcPr>
            <w:tcW w:w="4556" w:type="dxa"/>
            <w:tcBorders>
              <w:top w:val="nil"/>
              <w:left w:val="nil"/>
              <w:bottom w:val="nil"/>
              <w:right w:val="nil"/>
            </w:tcBorders>
            <w:shd w:val="clear" w:color="auto" w:fill="auto"/>
            <w:hideMark/>
          </w:tcPr>
          <w:p w:rsidR="00AA6895" w:rsidRPr="00341D88" w:rsidRDefault="00AA6895" w:rsidP="00AA00D9">
            <w:pPr>
              <w:rPr>
                <w:sz w:val="18"/>
                <w:szCs w:val="18"/>
                <w:lang w:eastAsia="en-AU"/>
              </w:rPr>
            </w:pPr>
            <w:r w:rsidRPr="00341D88">
              <w:rPr>
                <w:sz w:val="18"/>
                <w:szCs w:val="18"/>
                <w:lang w:eastAsia="en-AU"/>
              </w:rPr>
              <w:t>ACT Fire and Rescue Platform on Demand Staffing</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1,325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894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920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948 </w:t>
            </w:r>
          </w:p>
        </w:tc>
      </w:tr>
      <w:tr w:rsidR="00AA6895" w:rsidRPr="00341D88" w:rsidTr="00013549">
        <w:trPr>
          <w:trHeight w:val="61"/>
        </w:trPr>
        <w:tc>
          <w:tcPr>
            <w:tcW w:w="4556" w:type="dxa"/>
            <w:tcBorders>
              <w:top w:val="nil"/>
              <w:left w:val="nil"/>
              <w:bottom w:val="nil"/>
              <w:right w:val="nil"/>
            </w:tcBorders>
            <w:shd w:val="clear" w:color="auto" w:fill="auto"/>
            <w:hideMark/>
          </w:tcPr>
          <w:p w:rsidR="00AA6895" w:rsidRPr="00341D88" w:rsidRDefault="00AA6895" w:rsidP="00AA00D9">
            <w:pPr>
              <w:rPr>
                <w:sz w:val="18"/>
                <w:szCs w:val="18"/>
                <w:lang w:eastAsia="en-AU"/>
              </w:rPr>
            </w:pPr>
            <w:r w:rsidRPr="00341D88">
              <w:rPr>
                <w:sz w:val="18"/>
                <w:szCs w:val="18"/>
                <w:lang w:eastAsia="en-AU"/>
              </w:rPr>
              <w:t>Motor Vehicle Infringement Management</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884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897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911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925 </w:t>
            </w:r>
          </w:p>
        </w:tc>
      </w:tr>
      <w:tr w:rsidR="00AA6895" w:rsidRPr="00341D88" w:rsidTr="00AA00D9">
        <w:trPr>
          <w:trHeight w:val="240"/>
        </w:trPr>
        <w:tc>
          <w:tcPr>
            <w:tcW w:w="4556" w:type="dxa"/>
            <w:tcBorders>
              <w:top w:val="nil"/>
              <w:left w:val="nil"/>
              <w:bottom w:val="nil"/>
              <w:right w:val="nil"/>
            </w:tcBorders>
            <w:shd w:val="clear" w:color="auto" w:fill="auto"/>
            <w:hideMark/>
          </w:tcPr>
          <w:p w:rsidR="00AA6895" w:rsidRPr="00341D88" w:rsidRDefault="00AA6895" w:rsidP="00AA00D9">
            <w:pPr>
              <w:ind w:left="142" w:hanging="142"/>
              <w:rPr>
                <w:sz w:val="18"/>
                <w:szCs w:val="18"/>
                <w:lang w:eastAsia="en-AU"/>
              </w:rPr>
            </w:pPr>
            <w:r w:rsidRPr="00341D88">
              <w:rPr>
                <w:sz w:val="18"/>
                <w:szCs w:val="18"/>
                <w:lang w:eastAsia="en-AU"/>
              </w:rPr>
              <w:t>Statutory Office Holders</w:t>
            </w:r>
            <w:r w:rsidR="00013549">
              <w:rPr>
                <w:rFonts w:asciiTheme="minorHAnsi" w:hAnsiTheme="minorHAnsi" w:cstheme="minorHAnsi"/>
              </w:rPr>
              <w:t xml:space="preserve"> – </w:t>
            </w:r>
            <w:r w:rsidRPr="00341D88">
              <w:rPr>
                <w:sz w:val="18"/>
                <w:szCs w:val="18"/>
                <w:lang w:eastAsia="en-AU"/>
              </w:rPr>
              <w:t>Remuneration Tribunal Adjustment</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195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195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195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195 </w:t>
            </w:r>
          </w:p>
        </w:tc>
      </w:tr>
      <w:tr w:rsidR="00AA6895" w:rsidRPr="00341D88" w:rsidTr="00AA00D9">
        <w:trPr>
          <w:trHeight w:val="240"/>
        </w:trPr>
        <w:tc>
          <w:tcPr>
            <w:tcW w:w="4556" w:type="dxa"/>
            <w:tcBorders>
              <w:top w:val="nil"/>
              <w:left w:val="nil"/>
              <w:bottom w:val="nil"/>
              <w:right w:val="nil"/>
            </w:tcBorders>
            <w:shd w:val="clear" w:color="auto" w:fill="auto"/>
            <w:hideMark/>
          </w:tcPr>
          <w:p w:rsidR="00AA6895" w:rsidRPr="00341D88" w:rsidRDefault="00AA6895" w:rsidP="00AA00D9">
            <w:pPr>
              <w:rPr>
                <w:sz w:val="18"/>
                <w:szCs w:val="18"/>
                <w:lang w:eastAsia="en-AU"/>
              </w:rPr>
            </w:pPr>
            <w:r w:rsidRPr="00341D88">
              <w:rPr>
                <w:sz w:val="18"/>
                <w:szCs w:val="18"/>
                <w:lang w:eastAsia="en-AU"/>
              </w:rPr>
              <w:t>Eastman Inquiry</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2,470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r>
      <w:tr w:rsidR="00AA6895" w:rsidRPr="00341D88" w:rsidTr="00AA00D9">
        <w:trPr>
          <w:trHeight w:val="240"/>
        </w:trPr>
        <w:tc>
          <w:tcPr>
            <w:tcW w:w="4556" w:type="dxa"/>
            <w:tcBorders>
              <w:top w:val="nil"/>
              <w:left w:val="nil"/>
              <w:bottom w:val="nil"/>
              <w:right w:val="nil"/>
            </w:tcBorders>
            <w:shd w:val="clear" w:color="auto" w:fill="auto"/>
            <w:hideMark/>
          </w:tcPr>
          <w:p w:rsidR="00AA6895" w:rsidRPr="00341D88" w:rsidRDefault="00AA6895" w:rsidP="00AA00D9">
            <w:pPr>
              <w:rPr>
                <w:sz w:val="18"/>
                <w:szCs w:val="18"/>
                <w:lang w:eastAsia="en-AU"/>
              </w:rPr>
            </w:pPr>
            <w:r w:rsidRPr="00341D88">
              <w:rPr>
                <w:sz w:val="18"/>
                <w:szCs w:val="18"/>
                <w:lang w:eastAsia="en-AU"/>
              </w:rPr>
              <w:t>Official Visitor Scheme</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356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361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366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372 </w:t>
            </w:r>
          </w:p>
        </w:tc>
      </w:tr>
      <w:tr w:rsidR="00AA6895" w:rsidRPr="00341D88" w:rsidTr="00AA00D9">
        <w:trPr>
          <w:trHeight w:val="240"/>
        </w:trPr>
        <w:tc>
          <w:tcPr>
            <w:tcW w:w="4556" w:type="dxa"/>
            <w:tcBorders>
              <w:top w:val="nil"/>
              <w:left w:val="nil"/>
              <w:bottom w:val="nil"/>
              <w:right w:val="nil"/>
            </w:tcBorders>
            <w:shd w:val="clear" w:color="auto" w:fill="auto"/>
            <w:hideMark/>
          </w:tcPr>
          <w:p w:rsidR="00AA6895" w:rsidRPr="00341D88" w:rsidRDefault="00AA6895" w:rsidP="00AA00D9">
            <w:pPr>
              <w:rPr>
                <w:sz w:val="18"/>
                <w:szCs w:val="18"/>
                <w:lang w:eastAsia="en-AU"/>
              </w:rPr>
            </w:pPr>
            <w:r w:rsidRPr="00341D88">
              <w:rPr>
                <w:sz w:val="18"/>
                <w:szCs w:val="18"/>
                <w:lang w:eastAsia="en-AU"/>
              </w:rPr>
              <w:t>ESA</w:t>
            </w:r>
            <w:r w:rsidR="00013549" w:rsidRPr="00013549">
              <w:rPr>
                <w:sz w:val="18"/>
                <w:szCs w:val="18"/>
                <w:lang w:eastAsia="en-AU"/>
              </w:rPr>
              <w:t xml:space="preserve"> – </w:t>
            </w:r>
            <w:r w:rsidRPr="00341D88">
              <w:rPr>
                <w:sz w:val="18"/>
                <w:szCs w:val="18"/>
                <w:lang w:eastAsia="en-AU"/>
              </w:rPr>
              <w:t>Supporting Operational Capacity</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3,755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3,810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r>
      <w:tr w:rsidR="00AA6895" w:rsidRPr="00341D88" w:rsidTr="00AA00D9">
        <w:trPr>
          <w:trHeight w:val="240"/>
        </w:trPr>
        <w:tc>
          <w:tcPr>
            <w:tcW w:w="4556" w:type="dxa"/>
            <w:tcBorders>
              <w:top w:val="nil"/>
              <w:left w:val="nil"/>
              <w:bottom w:val="nil"/>
              <w:right w:val="nil"/>
            </w:tcBorders>
            <w:shd w:val="clear" w:color="auto" w:fill="auto"/>
            <w:hideMark/>
          </w:tcPr>
          <w:p w:rsidR="00AA6895" w:rsidRPr="00341D88" w:rsidRDefault="00AA6895" w:rsidP="00AA00D9">
            <w:pPr>
              <w:rPr>
                <w:sz w:val="18"/>
                <w:szCs w:val="18"/>
                <w:lang w:eastAsia="en-AU"/>
              </w:rPr>
            </w:pPr>
            <w:r w:rsidRPr="00341D88">
              <w:rPr>
                <w:sz w:val="18"/>
                <w:szCs w:val="18"/>
                <w:lang w:eastAsia="en-AU"/>
              </w:rPr>
              <w:t>ESA</w:t>
            </w:r>
            <w:r w:rsidR="00013549" w:rsidRPr="00013549">
              <w:rPr>
                <w:sz w:val="18"/>
                <w:szCs w:val="18"/>
                <w:lang w:eastAsia="en-AU"/>
              </w:rPr>
              <w:t xml:space="preserve"> – </w:t>
            </w:r>
            <w:r w:rsidRPr="00341D88">
              <w:rPr>
                <w:sz w:val="18"/>
                <w:szCs w:val="18"/>
                <w:lang w:eastAsia="en-AU"/>
              </w:rPr>
              <w:t>Workers</w:t>
            </w:r>
            <w:r w:rsidR="00856165">
              <w:rPr>
                <w:sz w:val="18"/>
                <w:szCs w:val="18"/>
                <w:lang w:eastAsia="en-AU"/>
              </w:rPr>
              <w:t>’</w:t>
            </w:r>
            <w:r w:rsidRPr="00341D88">
              <w:rPr>
                <w:sz w:val="18"/>
                <w:szCs w:val="18"/>
                <w:lang w:eastAsia="en-AU"/>
              </w:rPr>
              <w:t xml:space="preserve"> Compensation Premium</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3,090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r>
      <w:tr w:rsidR="00AA6895" w:rsidRPr="00341D88" w:rsidTr="00AA00D9">
        <w:trPr>
          <w:trHeight w:val="240"/>
        </w:trPr>
        <w:tc>
          <w:tcPr>
            <w:tcW w:w="4556" w:type="dxa"/>
            <w:tcBorders>
              <w:top w:val="nil"/>
              <w:left w:val="nil"/>
              <w:bottom w:val="nil"/>
              <w:right w:val="nil"/>
            </w:tcBorders>
            <w:shd w:val="clear" w:color="auto" w:fill="auto"/>
            <w:hideMark/>
          </w:tcPr>
          <w:p w:rsidR="00AA6895" w:rsidRPr="00341D88" w:rsidRDefault="00AA6895" w:rsidP="00AA00D9">
            <w:pPr>
              <w:rPr>
                <w:sz w:val="18"/>
                <w:szCs w:val="18"/>
                <w:lang w:eastAsia="en-AU"/>
              </w:rPr>
            </w:pPr>
            <w:r w:rsidRPr="00341D88">
              <w:rPr>
                <w:sz w:val="18"/>
                <w:szCs w:val="18"/>
                <w:lang w:eastAsia="en-AU"/>
              </w:rPr>
              <w:t>Corrective Services</w:t>
            </w:r>
            <w:r w:rsidR="00013549" w:rsidRPr="00013549">
              <w:rPr>
                <w:sz w:val="18"/>
                <w:szCs w:val="18"/>
                <w:lang w:eastAsia="en-AU"/>
              </w:rPr>
              <w:t xml:space="preserve"> – </w:t>
            </w:r>
            <w:r w:rsidRPr="00341D88">
              <w:rPr>
                <w:sz w:val="18"/>
                <w:szCs w:val="18"/>
                <w:lang w:eastAsia="en-AU"/>
              </w:rPr>
              <w:t>Supporting Operational Capacity</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1,467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1,500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1,532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1,566 </w:t>
            </w:r>
          </w:p>
        </w:tc>
      </w:tr>
      <w:tr w:rsidR="00AA6895" w:rsidRPr="00341D88" w:rsidTr="00AA00D9">
        <w:trPr>
          <w:trHeight w:val="240"/>
        </w:trPr>
        <w:tc>
          <w:tcPr>
            <w:tcW w:w="4556" w:type="dxa"/>
            <w:tcBorders>
              <w:top w:val="nil"/>
              <w:left w:val="nil"/>
              <w:bottom w:val="nil"/>
              <w:right w:val="nil"/>
            </w:tcBorders>
            <w:shd w:val="clear" w:color="auto" w:fill="auto"/>
            <w:hideMark/>
          </w:tcPr>
          <w:p w:rsidR="00AA6895" w:rsidRPr="00341D88" w:rsidRDefault="00AA6895" w:rsidP="00AA00D9">
            <w:pPr>
              <w:rPr>
                <w:sz w:val="18"/>
                <w:szCs w:val="18"/>
                <w:lang w:eastAsia="en-AU"/>
              </w:rPr>
            </w:pPr>
            <w:r w:rsidRPr="00341D88">
              <w:rPr>
                <w:sz w:val="18"/>
                <w:szCs w:val="18"/>
                <w:lang w:eastAsia="en-AU"/>
              </w:rPr>
              <w:t>Corrective Services</w:t>
            </w:r>
            <w:r w:rsidR="00013549" w:rsidRPr="00013549">
              <w:rPr>
                <w:sz w:val="18"/>
                <w:szCs w:val="18"/>
                <w:lang w:eastAsia="en-AU"/>
              </w:rPr>
              <w:t xml:space="preserve"> – </w:t>
            </w:r>
            <w:r w:rsidRPr="00341D88">
              <w:rPr>
                <w:sz w:val="18"/>
                <w:szCs w:val="18"/>
                <w:lang w:eastAsia="en-AU"/>
              </w:rPr>
              <w:t>Workers</w:t>
            </w:r>
            <w:r w:rsidR="00856165">
              <w:rPr>
                <w:sz w:val="18"/>
                <w:szCs w:val="18"/>
                <w:lang w:eastAsia="en-AU"/>
              </w:rPr>
              <w:t>’</w:t>
            </w:r>
            <w:r w:rsidRPr="00341D88">
              <w:rPr>
                <w:sz w:val="18"/>
                <w:szCs w:val="18"/>
                <w:lang w:eastAsia="en-AU"/>
              </w:rPr>
              <w:t xml:space="preserve"> Compensation Premium</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942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r>
      <w:tr w:rsidR="00AA6895" w:rsidRPr="00341D88" w:rsidTr="00AA00D9">
        <w:trPr>
          <w:trHeight w:val="403"/>
        </w:trPr>
        <w:tc>
          <w:tcPr>
            <w:tcW w:w="4556" w:type="dxa"/>
            <w:tcBorders>
              <w:top w:val="nil"/>
              <w:left w:val="nil"/>
              <w:bottom w:val="nil"/>
              <w:right w:val="nil"/>
            </w:tcBorders>
            <w:shd w:val="clear" w:color="auto" w:fill="auto"/>
            <w:hideMark/>
          </w:tcPr>
          <w:p w:rsidR="00AA6895" w:rsidRPr="00341D88" w:rsidRDefault="00AA6895" w:rsidP="00AA00D9">
            <w:pPr>
              <w:ind w:left="142" w:hanging="142"/>
              <w:rPr>
                <w:sz w:val="18"/>
                <w:szCs w:val="18"/>
                <w:lang w:eastAsia="en-AU"/>
              </w:rPr>
            </w:pPr>
            <w:r w:rsidRPr="00341D88">
              <w:rPr>
                <w:sz w:val="18"/>
                <w:szCs w:val="18"/>
                <w:lang w:eastAsia="en-AU"/>
              </w:rPr>
              <w:t>Probation and Parole Officers and Community Services Work Unit</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294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r>
      <w:tr w:rsidR="00AA6895" w:rsidRPr="00341D88" w:rsidTr="00AA00D9">
        <w:trPr>
          <w:trHeight w:val="240"/>
        </w:trPr>
        <w:tc>
          <w:tcPr>
            <w:tcW w:w="4556" w:type="dxa"/>
            <w:tcBorders>
              <w:top w:val="nil"/>
              <w:left w:val="nil"/>
              <w:bottom w:val="nil"/>
              <w:right w:val="nil"/>
            </w:tcBorders>
            <w:shd w:val="clear" w:color="auto" w:fill="auto"/>
            <w:hideMark/>
          </w:tcPr>
          <w:p w:rsidR="00AA6895" w:rsidRPr="00341D88" w:rsidRDefault="00AA6895" w:rsidP="00AA00D9">
            <w:pPr>
              <w:rPr>
                <w:sz w:val="18"/>
                <w:szCs w:val="18"/>
                <w:lang w:eastAsia="en-AU"/>
              </w:rPr>
            </w:pPr>
            <w:r w:rsidRPr="00341D88">
              <w:rPr>
                <w:sz w:val="18"/>
                <w:szCs w:val="18"/>
                <w:lang w:eastAsia="en-AU"/>
              </w:rPr>
              <w:t>Alcohol Interlocks</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259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353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461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469 </w:t>
            </w:r>
          </w:p>
        </w:tc>
      </w:tr>
      <w:tr w:rsidR="00AA6895" w:rsidRPr="00341D88" w:rsidTr="00AA00D9">
        <w:trPr>
          <w:trHeight w:val="240"/>
        </w:trPr>
        <w:tc>
          <w:tcPr>
            <w:tcW w:w="4556" w:type="dxa"/>
            <w:tcBorders>
              <w:top w:val="nil"/>
              <w:left w:val="nil"/>
              <w:bottom w:val="nil"/>
              <w:right w:val="nil"/>
            </w:tcBorders>
            <w:shd w:val="clear" w:color="auto" w:fill="auto"/>
            <w:hideMark/>
          </w:tcPr>
          <w:p w:rsidR="00AA6895" w:rsidRPr="00341D88" w:rsidRDefault="00AA6895" w:rsidP="00AA00D9">
            <w:pPr>
              <w:rPr>
                <w:sz w:val="18"/>
                <w:szCs w:val="18"/>
                <w:lang w:eastAsia="en-AU"/>
              </w:rPr>
            </w:pPr>
            <w:r w:rsidRPr="00341D88">
              <w:rPr>
                <w:sz w:val="18"/>
                <w:szCs w:val="18"/>
                <w:lang w:eastAsia="en-AU"/>
              </w:rPr>
              <w:t xml:space="preserve">12 Additional </w:t>
            </w:r>
            <w:proofErr w:type="spellStart"/>
            <w:r w:rsidRPr="00341D88">
              <w:rPr>
                <w:sz w:val="18"/>
                <w:szCs w:val="18"/>
                <w:lang w:eastAsia="en-AU"/>
              </w:rPr>
              <w:t>Worksafe</w:t>
            </w:r>
            <w:proofErr w:type="spellEnd"/>
            <w:r w:rsidRPr="00341D88">
              <w:rPr>
                <w:sz w:val="18"/>
                <w:szCs w:val="18"/>
                <w:lang w:eastAsia="en-AU"/>
              </w:rPr>
              <w:t xml:space="preserve"> Inspectors</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1,031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1,524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1,552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1,581 </w:t>
            </w:r>
          </w:p>
        </w:tc>
      </w:tr>
      <w:tr w:rsidR="00AA6895" w:rsidRPr="00341D88" w:rsidTr="00AA00D9">
        <w:trPr>
          <w:trHeight w:val="431"/>
        </w:trPr>
        <w:tc>
          <w:tcPr>
            <w:tcW w:w="4556" w:type="dxa"/>
            <w:tcBorders>
              <w:top w:val="nil"/>
              <w:left w:val="nil"/>
              <w:bottom w:val="nil"/>
              <w:right w:val="nil"/>
            </w:tcBorders>
            <w:shd w:val="clear" w:color="auto" w:fill="auto"/>
            <w:hideMark/>
          </w:tcPr>
          <w:p w:rsidR="00AA6895" w:rsidRPr="00341D88" w:rsidRDefault="00AA6895" w:rsidP="00771A11">
            <w:pPr>
              <w:ind w:left="142" w:hanging="142"/>
              <w:rPr>
                <w:sz w:val="18"/>
                <w:szCs w:val="18"/>
                <w:lang w:eastAsia="en-AU"/>
              </w:rPr>
            </w:pPr>
            <w:r w:rsidRPr="00341D88">
              <w:rPr>
                <w:sz w:val="18"/>
                <w:szCs w:val="18"/>
                <w:lang w:eastAsia="en-AU"/>
              </w:rPr>
              <w:t>ESA Station Upgrade and Relocation</w:t>
            </w:r>
            <w:r w:rsidR="00013549" w:rsidRPr="00013549">
              <w:rPr>
                <w:sz w:val="18"/>
                <w:szCs w:val="18"/>
                <w:lang w:eastAsia="en-AU"/>
              </w:rPr>
              <w:t xml:space="preserve"> – </w:t>
            </w:r>
            <w:r w:rsidRPr="00341D88">
              <w:rPr>
                <w:sz w:val="18"/>
                <w:szCs w:val="18"/>
                <w:lang w:eastAsia="en-AU"/>
              </w:rPr>
              <w:t>South Tuggeranong Station</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152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183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255 </w:t>
            </w:r>
          </w:p>
        </w:tc>
      </w:tr>
      <w:tr w:rsidR="00AA6895" w:rsidRPr="00341D88" w:rsidTr="00AA00D9">
        <w:trPr>
          <w:trHeight w:val="240"/>
        </w:trPr>
        <w:tc>
          <w:tcPr>
            <w:tcW w:w="4556" w:type="dxa"/>
            <w:tcBorders>
              <w:top w:val="nil"/>
              <w:left w:val="nil"/>
              <w:bottom w:val="nil"/>
              <w:right w:val="nil"/>
            </w:tcBorders>
            <w:shd w:val="clear" w:color="auto" w:fill="auto"/>
            <w:hideMark/>
          </w:tcPr>
          <w:p w:rsidR="00AA6895" w:rsidRPr="00341D88" w:rsidRDefault="00AA6895" w:rsidP="00AA00D9">
            <w:pPr>
              <w:rPr>
                <w:sz w:val="18"/>
                <w:szCs w:val="18"/>
                <w:lang w:eastAsia="en-AU"/>
              </w:rPr>
            </w:pPr>
            <w:r w:rsidRPr="00341D88">
              <w:rPr>
                <w:sz w:val="18"/>
                <w:szCs w:val="18"/>
                <w:lang w:eastAsia="en-AU"/>
              </w:rPr>
              <w:t>Traffic Cameras Replacement</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50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r>
      <w:tr w:rsidR="00AA6895" w:rsidRPr="00341D88" w:rsidTr="00AA00D9">
        <w:trPr>
          <w:trHeight w:val="240"/>
        </w:trPr>
        <w:tc>
          <w:tcPr>
            <w:tcW w:w="4556" w:type="dxa"/>
            <w:tcBorders>
              <w:top w:val="nil"/>
              <w:left w:val="nil"/>
              <w:bottom w:val="nil"/>
              <w:right w:val="nil"/>
            </w:tcBorders>
            <w:shd w:val="clear" w:color="auto" w:fill="auto"/>
            <w:hideMark/>
          </w:tcPr>
          <w:p w:rsidR="00AA6895" w:rsidRPr="00341D88" w:rsidRDefault="00033351" w:rsidP="00AA00D9">
            <w:pPr>
              <w:rPr>
                <w:sz w:val="18"/>
                <w:szCs w:val="18"/>
                <w:lang w:eastAsia="en-AU"/>
              </w:rPr>
            </w:pPr>
            <w:r>
              <w:rPr>
                <w:sz w:val="18"/>
                <w:szCs w:val="18"/>
                <w:lang w:eastAsia="en-AU"/>
              </w:rPr>
              <w:t xml:space="preserve">Service </w:t>
            </w:r>
            <w:proofErr w:type="spellStart"/>
            <w:r>
              <w:rPr>
                <w:sz w:val="18"/>
                <w:szCs w:val="18"/>
                <w:lang w:eastAsia="en-AU"/>
              </w:rPr>
              <w:t>Reprofiling</w:t>
            </w:r>
            <w:proofErr w:type="spellEnd"/>
          </w:p>
        </w:tc>
        <w:tc>
          <w:tcPr>
            <w:tcW w:w="960" w:type="dxa"/>
            <w:tcBorders>
              <w:top w:val="nil"/>
              <w:left w:val="nil"/>
              <w:bottom w:val="nil"/>
              <w:right w:val="nil"/>
            </w:tcBorders>
            <w:shd w:val="clear" w:color="auto" w:fill="auto"/>
            <w:noWrap/>
            <w:hideMark/>
          </w:tcPr>
          <w:p w:rsidR="00AA6895" w:rsidRPr="00341D88" w:rsidRDefault="004B6C09" w:rsidP="00AA00D9">
            <w:pPr>
              <w:jc w:val="right"/>
              <w:rPr>
                <w:sz w:val="18"/>
                <w:szCs w:val="18"/>
                <w:lang w:eastAsia="en-AU"/>
              </w:rPr>
            </w:pPr>
            <w:r w:rsidRPr="00341D88">
              <w:rPr>
                <w:sz w:val="18"/>
                <w:szCs w:val="18"/>
                <w:lang w:eastAsia="en-AU"/>
              </w:rPr>
              <w:t>-</w:t>
            </w:r>
          </w:p>
        </w:tc>
        <w:tc>
          <w:tcPr>
            <w:tcW w:w="960" w:type="dxa"/>
            <w:tcBorders>
              <w:top w:val="nil"/>
              <w:left w:val="nil"/>
              <w:bottom w:val="nil"/>
              <w:right w:val="nil"/>
            </w:tcBorders>
            <w:shd w:val="clear" w:color="auto" w:fill="auto"/>
            <w:noWrap/>
            <w:hideMark/>
          </w:tcPr>
          <w:p w:rsidR="00AA6895" w:rsidRPr="00341D88" w:rsidRDefault="00C6223E" w:rsidP="00AA00D9">
            <w:pPr>
              <w:jc w:val="right"/>
              <w:rPr>
                <w:sz w:val="18"/>
                <w:szCs w:val="18"/>
                <w:lang w:eastAsia="en-AU"/>
              </w:rPr>
            </w:pPr>
            <w:r>
              <w:rPr>
                <w:sz w:val="18"/>
                <w:szCs w:val="18"/>
                <w:lang w:eastAsia="en-AU"/>
              </w:rPr>
              <w:t>(360)</w:t>
            </w:r>
          </w:p>
        </w:tc>
        <w:tc>
          <w:tcPr>
            <w:tcW w:w="960" w:type="dxa"/>
            <w:tcBorders>
              <w:top w:val="nil"/>
              <w:left w:val="nil"/>
              <w:bottom w:val="nil"/>
              <w:right w:val="nil"/>
            </w:tcBorders>
            <w:shd w:val="clear" w:color="auto" w:fill="auto"/>
            <w:noWrap/>
            <w:hideMark/>
          </w:tcPr>
          <w:p w:rsidR="00AA6895" w:rsidRPr="00341D88" w:rsidRDefault="00C6223E" w:rsidP="00AA00D9">
            <w:pPr>
              <w:jc w:val="right"/>
              <w:rPr>
                <w:sz w:val="18"/>
                <w:szCs w:val="18"/>
                <w:lang w:eastAsia="en-AU"/>
              </w:rPr>
            </w:pPr>
            <w:r>
              <w:rPr>
                <w:sz w:val="18"/>
                <w:szCs w:val="18"/>
                <w:lang w:eastAsia="en-AU"/>
              </w:rPr>
              <w:t>(360)</w:t>
            </w:r>
          </w:p>
        </w:tc>
        <w:tc>
          <w:tcPr>
            <w:tcW w:w="960" w:type="dxa"/>
            <w:tcBorders>
              <w:top w:val="nil"/>
              <w:left w:val="nil"/>
              <w:bottom w:val="nil"/>
              <w:right w:val="nil"/>
            </w:tcBorders>
            <w:shd w:val="clear" w:color="auto" w:fill="auto"/>
            <w:noWrap/>
            <w:hideMark/>
          </w:tcPr>
          <w:p w:rsidR="00AA6895" w:rsidRPr="00341D88" w:rsidRDefault="00C6223E" w:rsidP="00AA00D9">
            <w:pPr>
              <w:jc w:val="right"/>
              <w:rPr>
                <w:sz w:val="18"/>
                <w:szCs w:val="18"/>
                <w:lang w:eastAsia="en-AU"/>
              </w:rPr>
            </w:pPr>
            <w:r>
              <w:rPr>
                <w:sz w:val="18"/>
                <w:szCs w:val="18"/>
                <w:lang w:eastAsia="en-AU"/>
              </w:rPr>
              <w:t>(360)</w:t>
            </w:r>
          </w:p>
        </w:tc>
        <w:tc>
          <w:tcPr>
            <w:tcW w:w="960" w:type="dxa"/>
            <w:tcBorders>
              <w:top w:val="nil"/>
              <w:left w:val="nil"/>
              <w:bottom w:val="nil"/>
              <w:right w:val="nil"/>
            </w:tcBorders>
            <w:shd w:val="clear" w:color="auto" w:fill="auto"/>
            <w:noWrap/>
            <w:hideMark/>
          </w:tcPr>
          <w:p w:rsidR="00AA6895" w:rsidRPr="00341D88" w:rsidRDefault="00C6223E" w:rsidP="00AA00D9">
            <w:pPr>
              <w:jc w:val="right"/>
              <w:rPr>
                <w:sz w:val="18"/>
                <w:szCs w:val="18"/>
                <w:lang w:eastAsia="en-AU"/>
              </w:rPr>
            </w:pPr>
            <w:r>
              <w:rPr>
                <w:sz w:val="18"/>
                <w:szCs w:val="18"/>
                <w:lang w:eastAsia="en-AU"/>
              </w:rPr>
              <w:t>(360)</w:t>
            </w:r>
          </w:p>
        </w:tc>
      </w:tr>
      <w:tr w:rsidR="00033351" w:rsidRPr="00341D88" w:rsidTr="00AA00D9">
        <w:trPr>
          <w:trHeight w:val="240"/>
        </w:trPr>
        <w:tc>
          <w:tcPr>
            <w:tcW w:w="4556" w:type="dxa"/>
            <w:tcBorders>
              <w:top w:val="nil"/>
              <w:left w:val="nil"/>
              <w:bottom w:val="nil"/>
              <w:right w:val="nil"/>
            </w:tcBorders>
            <w:shd w:val="clear" w:color="auto" w:fill="auto"/>
            <w:hideMark/>
          </w:tcPr>
          <w:p w:rsidR="00033351" w:rsidRDefault="00033351" w:rsidP="00AA00D9">
            <w:pPr>
              <w:rPr>
                <w:sz w:val="18"/>
                <w:szCs w:val="18"/>
                <w:lang w:eastAsia="en-AU"/>
              </w:rPr>
            </w:pPr>
            <w:r>
              <w:rPr>
                <w:sz w:val="18"/>
                <w:szCs w:val="18"/>
                <w:lang w:eastAsia="en-AU"/>
              </w:rPr>
              <w:t>Ceasing Initiative</w:t>
            </w:r>
          </w:p>
        </w:tc>
        <w:tc>
          <w:tcPr>
            <w:tcW w:w="960" w:type="dxa"/>
            <w:tcBorders>
              <w:top w:val="nil"/>
              <w:left w:val="nil"/>
              <w:bottom w:val="nil"/>
              <w:right w:val="nil"/>
            </w:tcBorders>
            <w:shd w:val="clear" w:color="auto" w:fill="auto"/>
            <w:noWrap/>
            <w:hideMark/>
          </w:tcPr>
          <w:p w:rsidR="00033351" w:rsidRPr="00341D88" w:rsidRDefault="004B6C09" w:rsidP="00AA00D9">
            <w:pPr>
              <w:jc w:val="right"/>
              <w:rPr>
                <w:sz w:val="18"/>
                <w:szCs w:val="18"/>
                <w:lang w:eastAsia="en-AU"/>
              </w:rPr>
            </w:pPr>
            <w:r w:rsidRPr="00341D88">
              <w:rPr>
                <w:sz w:val="18"/>
                <w:szCs w:val="18"/>
                <w:lang w:eastAsia="en-AU"/>
              </w:rPr>
              <w:t>-</w:t>
            </w:r>
          </w:p>
        </w:tc>
        <w:tc>
          <w:tcPr>
            <w:tcW w:w="960" w:type="dxa"/>
            <w:tcBorders>
              <w:top w:val="nil"/>
              <w:left w:val="nil"/>
              <w:bottom w:val="nil"/>
              <w:right w:val="nil"/>
            </w:tcBorders>
            <w:shd w:val="clear" w:color="auto" w:fill="auto"/>
            <w:noWrap/>
            <w:hideMark/>
          </w:tcPr>
          <w:p w:rsidR="00033351" w:rsidRDefault="00C6223E" w:rsidP="00AA00D9">
            <w:pPr>
              <w:jc w:val="right"/>
              <w:rPr>
                <w:sz w:val="18"/>
                <w:szCs w:val="18"/>
                <w:lang w:eastAsia="en-AU"/>
              </w:rPr>
            </w:pPr>
            <w:r>
              <w:rPr>
                <w:sz w:val="18"/>
                <w:szCs w:val="18"/>
                <w:lang w:eastAsia="en-AU"/>
              </w:rPr>
              <w:t>(188)</w:t>
            </w:r>
          </w:p>
        </w:tc>
        <w:tc>
          <w:tcPr>
            <w:tcW w:w="960" w:type="dxa"/>
            <w:tcBorders>
              <w:top w:val="nil"/>
              <w:left w:val="nil"/>
              <w:bottom w:val="nil"/>
              <w:right w:val="nil"/>
            </w:tcBorders>
            <w:shd w:val="clear" w:color="auto" w:fill="auto"/>
            <w:noWrap/>
            <w:hideMark/>
          </w:tcPr>
          <w:p w:rsidR="00033351" w:rsidRDefault="00C6223E" w:rsidP="00AA00D9">
            <w:pPr>
              <w:jc w:val="right"/>
              <w:rPr>
                <w:sz w:val="18"/>
                <w:szCs w:val="18"/>
                <w:lang w:eastAsia="en-AU"/>
              </w:rPr>
            </w:pPr>
            <w:r>
              <w:rPr>
                <w:sz w:val="18"/>
                <w:szCs w:val="18"/>
                <w:lang w:eastAsia="en-AU"/>
              </w:rPr>
              <w:t>(778)</w:t>
            </w:r>
          </w:p>
        </w:tc>
        <w:tc>
          <w:tcPr>
            <w:tcW w:w="960" w:type="dxa"/>
            <w:tcBorders>
              <w:top w:val="nil"/>
              <w:left w:val="nil"/>
              <w:bottom w:val="nil"/>
              <w:right w:val="nil"/>
            </w:tcBorders>
            <w:shd w:val="clear" w:color="auto" w:fill="auto"/>
            <w:noWrap/>
            <w:hideMark/>
          </w:tcPr>
          <w:p w:rsidR="00033351" w:rsidRDefault="00C6223E" w:rsidP="00AA00D9">
            <w:pPr>
              <w:jc w:val="right"/>
              <w:rPr>
                <w:sz w:val="18"/>
                <w:szCs w:val="18"/>
                <w:lang w:eastAsia="en-AU"/>
              </w:rPr>
            </w:pPr>
            <w:r>
              <w:rPr>
                <w:sz w:val="18"/>
                <w:szCs w:val="18"/>
                <w:lang w:eastAsia="en-AU"/>
              </w:rPr>
              <w:t>(804)</w:t>
            </w:r>
          </w:p>
        </w:tc>
        <w:tc>
          <w:tcPr>
            <w:tcW w:w="960" w:type="dxa"/>
            <w:tcBorders>
              <w:top w:val="nil"/>
              <w:left w:val="nil"/>
              <w:bottom w:val="nil"/>
              <w:right w:val="nil"/>
            </w:tcBorders>
            <w:shd w:val="clear" w:color="auto" w:fill="auto"/>
            <w:noWrap/>
            <w:hideMark/>
          </w:tcPr>
          <w:p w:rsidR="00033351" w:rsidRDefault="00C6223E" w:rsidP="00AA00D9">
            <w:pPr>
              <w:jc w:val="right"/>
              <w:rPr>
                <w:sz w:val="18"/>
                <w:szCs w:val="18"/>
                <w:lang w:eastAsia="en-AU"/>
              </w:rPr>
            </w:pPr>
            <w:r>
              <w:rPr>
                <w:sz w:val="18"/>
                <w:szCs w:val="18"/>
                <w:lang w:eastAsia="en-AU"/>
              </w:rPr>
              <w:t>(831)</w:t>
            </w:r>
          </w:p>
        </w:tc>
      </w:tr>
      <w:tr w:rsidR="00033351" w:rsidRPr="00341D88" w:rsidTr="00AA00D9">
        <w:trPr>
          <w:trHeight w:val="240"/>
        </w:trPr>
        <w:tc>
          <w:tcPr>
            <w:tcW w:w="4556" w:type="dxa"/>
            <w:tcBorders>
              <w:top w:val="nil"/>
              <w:left w:val="nil"/>
              <w:bottom w:val="nil"/>
              <w:right w:val="nil"/>
            </w:tcBorders>
            <w:shd w:val="clear" w:color="auto" w:fill="auto"/>
            <w:hideMark/>
          </w:tcPr>
          <w:p w:rsidR="00033351" w:rsidRDefault="00033351" w:rsidP="00AA00D9">
            <w:pPr>
              <w:rPr>
                <w:sz w:val="18"/>
                <w:szCs w:val="18"/>
                <w:lang w:eastAsia="en-AU"/>
              </w:rPr>
            </w:pPr>
            <w:r>
              <w:rPr>
                <w:sz w:val="18"/>
                <w:szCs w:val="18"/>
                <w:lang w:eastAsia="en-AU"/>
              </w:rPr>
              <w:t>General Savings</w:t>
            </w:r>
          </w:p>
        </w:tc>
        <w:tc>
          <w:tcPr>
            <w:tcW w:w="960" w:type="dxa"/>
            <w:tcBorders>
              <w:top w:val="nil"/>
              <w:left w:val="nil"/>
              <w:bottom w:val="nil"/>
              <w:right w:val="nil"/>
            </w:tcBorders>
            <w:shd w:val="clear" w:color="auto" w:fill="auto"/>
            <w:noWrap/>
            <w:hideMark/>
          </w:tcPr>
          <w:p w:rsidR="00033351" w:rsidRPr="00341D88" w:rsidRDefault="004B6C09" w:rsidP="00AA00D9">
            <w:pPr>
              <w:jc w:val="right"/>
              <w:rPr>
                <w:sz w:val="18"/>
                <w:szCs w:val="18"/>
                <w:lang w:eastAsia="en-AU"/>
              </w:rPr>
            </w:pPr>
            <w:r w:rsidRPr="00341D88">
              <w:rPr>
                <w:sz w:val="18"/>
                <w:szCs w:val="18"/>
                <w:lang w:eastAsia="en-AU"/>
              </w:rPr>
              <w:t>-</w:t>
            </w:r>
          </w:p>
        </w:tc>
        <w:tc>
          <w:tcPr>
            <w:tcW w:w="960" w:type="dxa"/>
            <w:tcBorders>
              <w:top w:val="nil"/>
              <w:left w:val="nil"/>
              <w:bottom w:val="nil"/>
              <w:right w:val="nil"/>
            </w:tcBorders>
            <w:shd w:val="clear" w:color="auto" w:fill="auto"/>
            <w:noWrap/>
            <w:hideMark/>
          </w:tcPr>
          <w:p w:rsidR="00033351" w:rsidRDefault="00C6223E" w:rsidP="00AA00D9">
            <w:pPr>
              <w:jc w:val="right"/>
              <w:rPr>
                <w:sz w:val="18"/>
                <w:szCs w:val="18"/>
                <w:lang w:eastAsia="en-AU"/>
              </w:rPr>
            </w:pPr>
            <w:r>
              <w:rPr>
                <w:sz w:val="18"/>
                <w:szCs w:val="18"/>
                <w:lang w:eastAsia="en-AU"/>
              </w:rPr>
              <w:t>(4,191)</w:t>
            </w:r>
          </w:p>
        </w:tc>
        <w:tc>
          <w:tcPr>
            <w:tcW w:w="960" w:type="dxa"/>
            <w:tcBorders>
              <w:top w:val="nil"/>
              <w:left w:val="nil"/>
              <w:bottom w:val="nil"/>
              <w:right w:val="nil"/>
            </w:tcBorders>
            <w:shd w:val="clear" w:color="auto" w:fill="auto"/>
            <w:noWrap/>
            <w:hideMark/>
          </w:tcPr>
          <w:p w:rsidR="00033351" w:rsidRDefault="00C6223E" w:rsidP="00AA00D9">
            <w:pPr>
              <w:jc w:val="right"/>
              <w:rPr>
                <w:sz w:val="18"/>
                <w:szCs w:val="18"/>
                <w:lang w:eastAsia="en-AU"/>
              </w:rPr>
            </w:pPr>
            <w:r>
              <w:rPr>
                <w:sz w:val="18"/>
                <w:szCs w:val="18"/>
                <w:lang w:eastAsia="en-AU"/>
              </w:rPr>
              <w:t>(4,525)</w:t>
            </w:r>
          </w:p>
        </w:tc>
        <w:tc>
          <w:tcPr>
            <w:tcW w:w="960" w:type="dxa"/>
            <w:tcBorders>
              <w:top w:val="nil"/>
              <w:left w:val="nil"/>
              <w:bottom w:val="nil"/>
              <w:right w:val="nil"/>
            </w:tcBorders>
            <w:shd w:val="clear" w:color="auto" w:fill="auto"/>
            <w:noWrap/>
            <w:hideMark/>
          </w:tcPr>
          <w:p w:rsidR="00033351" w:rsidRDefault="00C6223E" w:rsidP="00AA00D9">
            <w:pPr>
              <w:jc w:val="right"/>
              <w:rPr>
                <w:sz w:val="18"/>
                <w:szCs w:val="18"/>
                <w:lang w:eastAsia="en-AU"/>
              </w:rPr>
            </w:pPr>
            <w:r>
              <w:rPr>
                <w:sz w:val="18"/>
                <w:szCs w:val="18"/>
                <w:lang w:eastAsia="en-AU"/>
              </w:rPr>
              <w:t>(5,232)</w:t>
            </w:r>
          </w:p>
        </w:tc>
        <w:tc>
          <w:tcPr>
            <w:tcW w:w="960" w:type="dxa"/>
            <w:tcBorders>
              <w:top w:val="nil"/>
              <w:left w:val="nil"/>
              <w:bottom w:val="nil"/>
              <w:right w:val="nil"/>
            </w:tcBorders>
            <w:shd w:val="clear" w:color="auto" w:fill="auto"/>
            <w:noWrap/>
            <w:hideMark/>
          </w:tcPr>
          <w:p w:rsidR="00033351" w:rsidRDefault="00C6223E" w:rsidP="00AA00D9">
            <w:pPr>
              <w:jc w:val="right"/>
              <w:rPr>
                <w:sz w:val="18"/>
                <w:szCs w:val="18"/>
                <w:lang w:eastAsia="en-AU"/>
              </w:rPr>
            </w:pPr>
            <w:r>
              <w:rPr>
                <w:sz w:val="18"/>
                <w:szCs w:val="18"/>
                <w:lang w:eastAsia="en-AU"/>
              </w:rPr>
              <w:t>(5,778)</w:t>
            </w:r>
          </w:p>
        </w:tc>
      </w:tr>
      <w:tr w:rsidR="00033351" w:rsidRPr="00341D88" w:rsidTr="00AA00D9">
        <w:trPr>
          <w:trHeight w:val="240"/>
        </w:trPr>
        <w:tc>
          <w:tcPr>
            <w:tcW w:w="4556" w:type="dxa"/>
            <w:tcBorders>
              <w:top w:val="nil"/>
              <w:left w:val="nil"/>
              <w:bottom w:val="nil"/>
              <w:right w:val="nil"/>
            </w:tcBorders>
            <w:shd w:val="clear" w:color="auto" w:fill="auto"/>
            <w:hideMark/>
          </w:tcPr>
          <w:p w:rsidR="00033351" w:rsidRDefault="00033351" w:rsidP="00AA00D9">
            <w:pPr>
              <w:rPr>
                <w:sz w:val="18"/>
                <w:szCs w:val="18"/>
                <w:lang w:eastAsia="en-AU"/>
              </w:rPr>
            </w:pPr>
            <w:r>
              <w:rPr>
                <w:sz w:val="18"/>
                <w:szCs w:val="18"/>
                <w:lang w:eastAsia="en-AU"/>
              </w:rPr>
              <w:t>Savings Adjustment</w:t>
            </w:r>
          </w:p>
        </w:tc>
        <w:tc>
          <w:tcPr>
            <w:tcW w:w="960" w:type="dxa"/>
            <w:tcBorders>
              <w:top w:val="nil"/>
              <w:left w:val="nil"/>
              <w:bottom w:val="nil"/>
              <w:right w:val="nil"/>
            </w:tcBorders>
            <w:shd w:val="clear" w:color="auto" w:fill="auto"/>
            <w:noWrap/>
            <w:hideMark/>
          </w:tcPr>
          <w:p w:rsidR="00033351" w:rsidRPr="00341D88" w:rsidRDefault="004B6C09" w:rsidP="00AA00D9">
            <w:pPr>
              <w:jc w:val="right"/>
              <w:rPr>
                <w:sz w:val="18"/>
                <w:szCs w:val="18"/>
                <w:lang w:eastAsia="en-AU"/>
              </w:rPr>
            </w:pPr>
            <w:r w:rsidRPr="00341D88">
              <w:rPr>
                <w:sz w:val="18"/>
                <w:szCs w:val="18"/>
                <w:lang w:eastAsia="en-AU"/>
              </w:rPr>
              <w:t>-</w:t>
            </w:r>
          </w:p>
        </w:tc>
        <w:tc>
          <w:tcPr>
            <w:tcW w:w="960" w:type="dxa"/>
            <w:tcBorders>
              <w:top w:val="nil"/>
              <w:left w:val="nil"/>
              <w:bottom w:val="nil"/>
              <w:right w:val="nil"/>
            </w:tcBorders>
            <w:shd w:val="clear" w:color="auto" w:fill="auto"/>
            <w:noWrap/>
            <w:hideMark/>
          </w:tcPr>
          <w:p w:rsidR="00033351" w:rsidRDefault="00C6223E" w:rsidP="00AA00D9">
            <w:pPr>
              <w:jc w:val="right"/>
              <w:rPr>
                <w:sz w:val="18"/>
                <w:szCs w:val="18"/>
                <w:lang w:eastAsia="en-AU"/>
              </w:rPr>
            </w:pPr>
            <w:r>
              <w:rPr>
                <w:sz w:val="18"/>
                <w:szCs w:val="18"/>
                <w:lang w:eastAsia="en-AU"/>
              </w:rPr>
              <w:t>1,893</w:t>
            </w:r>
          </w:p>
        </w:tc>
        <w:tc>
          <w:tcPr>
            <w:tcW w:w="960" w:type="dxa"/>
            <w:tcBorders>
              <w:top w:val="nil"/>
              <w:left w:val="nil"/>
              <w:bottom w:val="nil"/>
              <w:right w:val="nil"/>
            </w:tcBorders>
            <w:shd w:val="clear" w:color="auto" w:fill="auto"/>
            <w:noWrap/>
            <w:hideMark/>
          </w:tcPr>
          <w:p w:rsidR="00033351" w:rsidRDefault="00C6223E" w:rsidP="00AA00D9">
            <w:pPr>
              <w:jc w:val="right"/>
              <w:rPr>
                <w:sz w:val="18"/>
                <w:szCs w:val="18"/>
                <w:lang w:eastAsia="en-AU"/>
              </w:rPr>
            </w:pPr>
            <w:r>
              <w:rPr>
                <w:sz w:val="18"/>
                <w:szCs w:val="18"/>
                <w:lang w:eastAsia="en-AU"/>
              </w:rPr>
              <w:t>4,353</w:t>
            </w:r>
          </w:p>
        </w:tc>
        <w:tc>
          <w:tcPr>
            <w:tcW w:w="960" w:type="dxa"/>
            <w:tcBorders>
              <w:top w:val="nil"/>
              <w:left w:val="nil"/>
              <w:bottom w:val="nil"/>
              <w:right w:val="nil"/>
            </w:tcBorders>
            <w:shd w:val="clear" w:color="auto" w:fill="auto"/>
            <w:noWrap/>
            <w:hideMark/>
          </w:tcPr>
          <w:p w:rsidR="00033351" w:rsidRDefault="00C6223E" w:rsidP="00AA00D9">
            <w:pPr>
              <w:jc w:val="right"/>
              <w:rPr>
                <w:sz w:val="18"/>
                <w:szCs w:val="18"/>
                <w:lang w:eastAsia="en-AU"/>
              </w:rPr>
            </w:pPr>
            <w:r>
              <w:rPr>
                <w:sz w:val="18"/>
                <w:szCs w:val="18"/>
                <w:lang w:eastAsia="en-AU"/>
              </w:rPr>
              <w:t>5,617</w:t>
            </w:r>
          </w:p>
        </w:tc>
        <w:tc>
          <w:tcPr>
            <w:tcW w:w="960" w:type="dxa"/>
            <w:tcBorders>
              <w:top w:val="nil"/>
              <w:left w:val="nil"/>
              <w:bottom w:val="nil"/>
              <w:right w:val="nil"/>
            </w:tcBorders>
            <w:shd w:val="clear" w:color="auto" w:fill="auto"/>
            <w:noWrap/>
            <w:hideMark/>
          </w:tcPr>
          <w:p w:rsidR="00033351" w:rsidRDefault="00C6223E" w:rsidP="00AA00D9">
            <w:pPr>
              <w:jc w:val="right"/>
              <w:rPr>
                <w:sz w:val="18"/>
                <w:szCs w:val="18"/>
                <w:lang w:eastAsia="en-AU"/>
              </w:rPr>
            </w:pPr>
            <w:r>
              <w:rPr>
                <w:sz w:val="18"/>
                <w:szCs w:val="18"/>
                <w:lang w:eastAsia="en-AU"/>
              </w:rPr>
              <w:t>7,457</w:t>
            </w:r>
          </w:p>
        </w:tc>
      </w:tr>
      <w:tr w:rsidR="00AA6895" w:rsidRPr="00341D88" w:rsidTr="00AA00D9">
        <w:trPr>
          <w:trHeight w:val="240"/>
        </w:trPr>
        <w:tc>
          <w:tcPr>
            <w:tcW w:w="4556" w:type="dxa"/>
            <w:tcBorders>
              <w:top w:val="nil"/>
              <w:left w:val="nil"/>
              <w:bottom w:val="nil"/>
              <w:right w:val="nil"/>
            </w:tcBorders>
            <w:shd w:val="clear" w:color="auto" w:fill="auto"/>
            <w:hideMark/>
          </w:tcPr>
          <w:p w:rsidR="00AA6895" w:rsidRPr="00341D88" w:rsidRDefault="00C14E50" w:rsidP="00AA00D9">
            <w:pPr>
              <w:rPr>
                <w:sz w:val="18"/>
                <w:szCs w:val="18"/>
                <w:lang w:eastAsia="en-AU"/>
              </w:rPr>
            </w:pPr>
            <w:r>
              <w:rPr>
                <w:sz w:val="18"/>
                <w:szCs w:val="18"/>
                <w:lang w:eastAsia="en-AU"/>
              </w:rPr>
              <w:t>Fees and Charges Offset</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(600)</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(625)</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(650)</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(676)</w:t>
            </w:r>
          </w:p>
        </w:tc>
      </w:tr>
      <w:tr w:rsidR="00AA6895" w:rsidRPr="00341D88" w:rsidTr="00AA00D9">
        <w:trPr>
          <w:trHeight w:val="118"/>
        </w:trPr>
        <w:tc>
          <w:tcPr>
            <w:tcW w:w="4556" w:type="dxa"/>
            <w:tcBorders>
              <w:top w:val="nil"/>
              <w:left w:val="nil"/>
              <w:bottom w:val="nil"/>
              <w:right w:val="nil"/>
            </w:tcBorders>
            <w:shd w:val="clear" w:color="auto" w:fill="auto"/>
            <w:hideMark/>
          </w:tcPr>
          <w:p w:rsidR="00AA6895" w:rsidRPr="00341D88" w:rsidRDefault="00AA6895" w:rsidP="00AA00D9">
            <w:pPr>
              <w:rPr>
                <w:sz w:val="10"/>
                <w:szCs w:val="10"/>
                <w:lang w:eastAsia="en-AU"/>
              </w:rPr>
            </w:pP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0"/>
                <w:szCs w:val="10"/>
                <w:lang w:eastAsia="en-AU"/>
              </w:rPr>
            </w:pP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0"/>
                <w:szCs w:val="10"/>
                <w:lang w:eastAsia="en-AU"/>
              </w:rPr>
            </w:pP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0"/>
                <w:szCs w:val="10"/>
                <w:lang w:eastAsia="en-AU"/>
              </w:rPr>
            </w:pP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0"/>
                <w:szCs w:val="10"/>
                <w:lang w:eastAsia="en-AU"/>
              </w:rPr>
            </w:pP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0"/>
                <w:szCs w:val="10"/>
                <w:lang w:eastAsia="en-AU"/>
              </w:rPr>
            </w:pPr>
          </w:p>
        </w:tc>
      </w:tr>
      <w:tr w:rsidR="00AA6895" w:rsidRPr="00341D88" w:rsidTr="00AA00D9">
        <w:trPr>
          <w:trHeight w:val="240"/>
        </w:trPr>
        <w:tc>
          <w:tcPr>
            <w:tcW w:w="4556" w:type="dxa"/>
            <w:tcBorders>
              <w:top w:val="nil"/>
              <w:left w:val="nil"/>
              <w:bottom w:val="nil"/>
              <w:right w:val="nil"/>
            </w:tcBorders>
            <w:shd w:val="clear" w:color="auto" w:fill="auto"/>
            <w:hideMark/>
          </w:tcPr>
          <w:p w:rsidR="00AA6895" w:rsidRPr="00341D88" w:rsidRDefault="00AA6895" w:rsidP="00AA00D9">
            <w:pPr>
              <w:rPr>
                <w:b/>
                <w:bCs/>
                <w:sz w:val="18"/>
                <w:szCs w:val="18"/>
                <w:lang w:eastAsia="en-AU"/>
              </w:rPr>
            </w:pPr>
            <w:r w:rsidRPr="00341D88">
              <w:rPr>
                <w:b/>
                <w:bCs/>
                <w:sz w:val="18"/>
                <w:szCs w:val="18"/>
                <w:lang w:eastAsia="en-AU"/>
              </w:rPr>
              <w:t>2013-14 Budget Technical Adjustments</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p>
        </w:tc>
      </w:tr>
      <w:tr w:rsidR="00AA6895" w:rsidRPr="00341D88" w:rsidTr="00AA00D9">
        <w:trPr>
          <w:trHeight w:val="240"/>
        </w:trPr>
        <w:tc>
          <w:tcPr>
            <w:tcW w:w="4556" w:type="dxa"/>
            <w:tcBorders>
              <w:top w:val="nil"/>
              <w:left w:val="nil"/>
              <w:bottom w:val="nil"/>
              <w:right w:val="nil"/>
            </w:tcBorders>
            <w:shd w:val="clear" w:color="auto" w:fill="auto"/>
            <w:hideMark/>
          </w:tcPr>
          <w:p w:rsidR="00AA6895" w:rsidRPr="00341D88" w:rsidRDefault="00AA6895" w:rsidP="00AA00D9">
            <w:pPr>
              <w:rPr>
                <w:sz w:val="18"/>
                <w:szCs w:val="18"/>
                <w:lang w:eastAsia="en-AU"/>
              </w:rPr>
            </w:pPr>
            <w:r w:rsidRPr="00341D88">
              <w:rPr>
                <w:sz w:val="18"/>
                <w:szCs w:val="18"/>
                <w:lang w:eastAsia="en-AU"/>
              </w:rPr>
              <w:t>Revised Indexation Parameters</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(176)</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(181)</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(184)</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3,845 </w:t>
            </w:r>
          </w:p>
        </w:tc>
      </w:tr>
      <w:tr w:rsidR="00AA6895" w:rsidRPr="00341D88" w:rsidTr="00AA00D9">
        <w:trPr>
          <w:trHeight w:val="240"/>
        </w:trPr>
        <w:tc>
          <w:tcPr>
            <w:tcW w:w="4556" w:type="dxa"/>
            <w:tcBorders>
              <w:top w:val="nil"/>
              <w:left w:val="nil"/>
              <w:bottom w:val="nil"/>
              <w:right w:val="nil"/>
            </w:tcBorders>
            <w:shd w:val="clear" w:color="auto" w:fill="auto"/>
            <w:hideMark/>
          </w:tcPr>
          <w:p w:rsidR="00AA6895" w:rsidRPr="00341D88" w:rsidRDefault="00AA6895" w:rsidP="00AA00D9">
            <w:pPr>
              <w:rPr>
                <w:sz w:val="18"/>
                <w:szCs w:val="18"/>
                <w:lang w:eastAsia="en-AU"/>
              </w:rPr>
            </w:pPr>
            <w:r w:rsidRPr="00341D88">
              <w:rPr>
                <w:sz w:val="18"/>
                <w:szCs w:val="18"/>
                <w:lang w:eastAsia="en-AU"/>
              </w:rPr>
              <w:t>Revised Superannuation Guarantee Rate</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128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260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525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799 </w:t>
            </w:r>
          </w:p>
        </w:tc>
      </w:tr>
      <w:tr w:rsidR="00AA6895" w:rsidRPr="00341D88" w:rsidTr="00AA00D9">
        <w:trPr>
          <w:trHeight w:val="240"/>
        </w:trPr>
        <w:tc>
          <w:tcPr>
            <w:tcW w:w="4556" w:type="dxa"/>
            <w:tcBorders>
              <w:top w:val="nil"/>
              <w:left w:val="nil"/>
              <w:bottom w:val="nil"/>
              <w:right w:val="nil"/>
            </w:tcBorders>
            <w:shd w:val="clear" w:color="auto" w:fill="auto"/>
            <w:hideMark/>
          </w:tcPr>
          <w:p w:rsidR="00AA6895" w:rsidRPr="00341D88" w:rsidRDefault="002565E1" w:rsidP="00AA00D9">
            <w:pPr>
              <w:rPr>
                <w:sz w:val="18"/>
                <w:szCs w:val="18"/>
                <w:lang w:eastAsia="en-AU"/>
              </w:rPr>
            </w:pPr>
            <w:r w:rsidRPr="00341D88">
              <w:rPr>
                <w:sz w:val="18"/>
                <w:szCs w:val="18"/>
                <w:lang w:eastAsia="en-AU"/>
              </w:rPr>
              <w:t>Remuneration</w:t>
            </w:r>
            <w:r w:rsidR="00AA6895" w:rsidRPr="00341D88">
              <w:rPr>
                <w:sz w:val="18"/>
                <w:szCs w:val="18"/>
                <w:lang w:eastAsia="en-AU"/>
              </w:rPr>
              <w:t xml:space="preserve"> Tribunal</w:t>
            </w:r>
            <w:r w:rsidR="00013549" w:rsidRPr="00013549">
              <w:rPr>
                <w:sz w:val="18"/>
                <w:szCs w:val="18"/>
                <w:lang w:eastAsia="en-AU"/>
              </w:rPr>
              <w:t xml:space="preserve"> – </w:t>
            </w:r>
            <w:r w:rsidR="00AA6895" w:rsidRPr="00341D88">
              <w:rPr>
                <w:sz w:val="18"/>
                <w:szCs w:val="18"/>
                <w:lang w:eastAsia="en-AU"/>
              </w:rPr>
              <w:t>Judiciary and Tribunals</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293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293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293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293 </w:t>
            </w:r>
          </w:p>
        </w:tc>
      </w:tr>
      <w:tr w:rsidR="00AA6895" w:rsidRPr="00341D88" w:rsidTr="00AA00D9">
        <w:trPr>
          <w:trHeight w:val="240"/>
        </w:trPr>
        <w:tc>
          <w:tcPr>
            <w:tcW w:w="4556" w:type="dxa"/>
            <w:tcBorders>
              <w:top w:val="nil"/>
              <w:left w:val="nil"/>
              <w:bottom w:val="nil"/>
              <w:right w:val="nil"/>
            </w:tcBorders>
            <w:shd w:val="clear" w:color="auto" w:fill="auto"/>
            <w:hideMark/>
          </w:tcPr>
          <w:p w:rsidR="00AA6895" w:rsidRPr="00341D88" w:rsidRDefault="00AA6895" w:rsidP="00AA00D9">
            <w:pPr>
              <w:rPr>
                <w:sz w:val="18"/>
                <w:szCs w:val="18"/>
                <w:lang w:eastAsia="en-AU"/>
              </w:rPr>
            </w:pPr>
            <w:r w:rsidRPr="00341D88">
              <w:rPr>
                <w:sz w:val="18"/>
                <w:szCs w:val="18"/>
                <w:lang w:eastAsia="en-AU"/>
              </w:rPr>
              <w:t>Treasurer's Advance</w:t>
            </w:r>
            <w:r w:rsidR="00013549" w:rsidRPr="00013549">
              <w:rPr>
                <w:sz w:val="18"/>
                <w:szCs w:val="18"/>
                <w:lang w:eastAsia="en-AU"/>
              </w:rPr>
              <w:t xml:space="preserve"> – </w:t>
            </w:r>
            <w:r w:rsidRPr="00341D88">
              <w:rPr>
                <w:sz w:val="18"/>
                <w:szCs w:val="18"/>
                <w:lang w:eastAsia="en-AU"/>
              </w:rPr>
              <w:t>Eastman Inquiry</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1,868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r>
      <w:tr w:rsidR="00AA6895" w:rsidRPr="00341D88" w:rsidTr="00AA00D9">
        <w:trPr>
          <w:trHeight w:val="480"/>
        </w:trPr>
        <w:tc>
          <w:tcPr>
            <w:tcW w:w="4556" w:type="dxa"/>
            <w:tcBorders>
              <w:top w:val="nil"/>
              <w:left w:val="nil"/>
              <w:bottom w:val="nil"/>
              <w:right w:val="nil"/>
            </w:tcBorders>
            <w:shd w:val="clear" w:color="auto" w:fill="auto"/>
            <w:hideMark/>
          </w:tcPr>
          <w:p w:rsidR="00AA6895" w:rsidRPr="00341D88" w:rsidRDefault="00AA6895" w:rsidP="00AA00D9">
            <w:pPr>
              <w:ind w:left="142" w:hanging="142"/>
              <w:rPr>
                <w:sz w:val="18"/>
                <w:szCs w:val="18"/>
                <w:lang w:eastAsia="en-AU"/>
              </w:rPr>
            </w:pPr>
            <w:r w:rsidRPr="00341D88">
              <w:rPr>
                <w:sz w:val="18"/>
                <w:szCs w:val="18"/>
                <w:lang w:eastAsia="en-AU"/>
              </w:rPr>
              <w:t>Revised Funding Profile - Electronic Document System for the Sentence Administration Board</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(5)</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(5)</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(5)</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(5)</w:t>
            </w:r>
          </w:p>
        </w:tc>
      </w:tr>
      <w:tr w:rsidR="00AA6895" w:rsidRPr="00341D88" w:rsidTr="00AA00D9">
        <w:trPr>
          <w:trHeight w:val="510"/>
        </w:trPr>
        <w:tc>
          <w:tcPr>
            <w:tcW w:w="4556" w:type="dxa"/>
            <w:tcBorders>
              <w:top w:val="nil"/>
              <w:left w:val="nil"/>
              <w:bottom w:val="nil"/>
              <w:right w:val="nil"/>
            </w:tcBorders>
            <w:shd w:val="clear" w:color="auto" w:fill="auto"/>
            <w:hideMark/>
          </w:tcPr>
          <w:p w:rsidR="00AA6895" w:rsidRPr="00341D88" w:rsidRDefault="00AA6895" w:rsidP="00AA00D9">
            <w:pPr>
              <w:ind w:left="142" w:hanging="142"/>
              <w:rPr>
                <w:sz w:val="18"/>
                <w:szCs w:val="18"/>
                <w:lang w:eastAsia="en-AU"/>
              </w:rPr>
            </w:pPr>
            <w:r w:rsidRPr="00341D88">
              <w:rPr>
                <w:sz w:val="18"/>
                <w:szCs w:val="18"/>
                <w:lang w:eastAsia="en-AU"/>
              </w:rPr>
              <w:t>Revised Funding Profile</w:t>
            </w:r>
            <w:r w:rsidR="00013549" w:rsidRPr="00013549">
              <w:rPr>
                <w:sz w:val="18"/>
                <w:szCs w:val="18"/>
                <w:lang w:eastAsia="en-AU"/>
              </w:rPr>
              <w:t xml:space="preserve"> – </w:t>
            </w:r>
            <w:r w:rsidRPr="00341D88">
              <w:rPr>
                <w:sz w:val="18"/>
                <w:szCs w:val="18"/>
                <w:lang w:eastAsia="en-AU"/>
              </w:rPr>
              <w:t xml:space="preserve">Extending </w:t>
            </w:r>
            <w:proofErr w:type="spellStart"/>
            <w:r w:rsidRPr="00341D88">
              <w:rPr>
                <w:sz w:val="18"/>
                <w:szCs w:val="18"/>
                <w:lang w:eastAsia="en-AU"/>
              </w:rPr>
              <w:t>Throughcare</w:t>
            </w:r>
            <w:proofErr w:type="spellEnd"/>
            <w:r w:rsidRPr="00341D88">
              <w:rPr>
                <w:sz w:val="18"/>
                <w:szCs w:val="18"/>
                <w:lang w:eastAsia="en-AU"/>
              </w:rPr>
              <w:t xml:space="preserve"> for Offenders to the Community</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(256)</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256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r>
      <w:tr w:rsidR="00AA6895" w:rsidRPr="00341D88" w:rsidTr="00AA00D9">
        <w:trPr>
          <w:trHeight w:val="285"/>
        </w:trPr>
        <w:tc>
          <w:tcPr>
            <w:tcW w:w="4556" w:type="dxa"/>
            <w:tcBorders>
              <w:top w:val="nil"/>
              <w:left w:val="nil"/>
              <w:bottom w:val="nil"/>
              <w:right w:val="nil"/>
            </w:tcBorders>
            <w:shd w:val="clear" w:color="auto" w:fill="auto"/>
            <w:hideMark/>
          </w:tcPr>
          <w:p w:rsidR="00AA6895" w:rsidRPr="00341D88" w:rsidRDefault="00AA6895" w:rsidP="00AA00D9">
            <w:pPr>
              <w:ind w:left="142" w:hanging="142"/>
              <w:rPr>
                <w:sz w:val="18"/>
                <w:szCs w:val="18"/>
                <w:lang w:eastAsia="en-AU"/>
              </w:rPr>
            </w:pPr>
            <w:r w:rsidRPr="00341D88">
              <w:rPr>
                <w:sz w:val="18"/>
                <w:szCs w:val="18"/>
                <w:lang w:eastAsia="en-AU"/>
              </w:rPr>
              <w:t>Revised Funding Profile</w:t>
            </w:r>
            <w:r w:rsidR="00013549" w:rsidRPr="00013549">
              <w:rPr>
                <w:sz w:val="18"/>
                <w:szCs w:val="18"/>
                <w:lang w:eastAsia="en-AU"/>
              </w:rPr>
              <w:t xml:space="preserve"> – </w:t>
            </w:r>
            <w:r w:rsidRPr="00341D88">
              <w:rPr>
                <w:sz w:val="18"/>
                <w:szCs w:val="18"/>
                <w:lang w:eastAsia="en-AU"/>
              </w:rPr>
              <w:t>National Disaster Resilience Program</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(796)</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796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r>
      <w:tr w:rsidR="00AA6895" w:rsidRPr="00341D88" w:rsidTr="00AA00D9">
        <w:trPr>
          <w:trHeight w:val="480"/>
        </w:trPr>
        <w:tc>
          <w:tcPr>
            <w:tcW w:w="4556" w:type="dxa"/>
            <w:tcBorders>
              <w:top w:val="nil"/>
              <w:left w:val="nil"/>
              <w:bottom w:val="nil"/>
              <w:right w:val="nil"/>
            </w:tcBorders>
            <w:shd w:val="clear" w:color="auto" w:fill="auto"/>
            <w:hideMark/>
          </w:tcPr>
          <w:p w:rsidR="00AA6895" w:rsidRPr="00341D88" w:rsidRDefault="00AA6895" w:rsidP="00AA00D9">
            <w:pPr>
              <w:ind w:left="142" w:hanging="142"/>
              <w:rPr>
                <w:sz w:val="18"/>
                <w:szCs w:val="18"/>
                <w:lang w:eastAsia="en-AU"/>
              </w:rPr>
            </w:pPr>
            <w:r w:rsidRPr="00341D88">
              <w:rPr>
                <w:sz w:val="18"/>
                <w:szCs w:val="18"/>
                <w:lang w:eastAsia="en-AU"/>
              </w:rPr>
              <w:t>Revised Funding Profile</w:t>
            </w:r>
            <w:r w:rsidR="00013549" w:rsidRPr="00013549">
              <w:rPr>
                <w:sz w:val="18"/>
                <w:szCs w:val="18"/>
                <w:lang w:eastAsia="en-AU"/>
              </w:rPr>
              <w:t xml:space="preserve"> – </w:t>
            </w:r>
            <w:r w:rsidRPr="00341D88">
              <w:rPr>
                <w:sz w:val="18"/>
                <w:szCs w:val="18"/>
                <w:lang w:eastAsia="en-AU"/>
              </w:rPr>
              <w:t>Wheelchair Accessible Taxi Service Improvements</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(326)</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26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100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100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100 </w:t>
            </w:r>
          </w:p>
        </w:tc>
      </w:tr>
      <w:tr w:rsidR="00AA6895" w:rsidRPr="00341D88" w:rsidTr="00AA00D9">
        <w:trPr>
          <w:trHeight w:val="240"/>
        </w:trPr>
        <w:tc>
          <w:tcPr>
            <w:tcW w:w="4556" w:type="dxa"/>
            <w:tcBorders>
              <w:top w:val="nil"/>
              <w:left w:val="nil"/>
              <w:bottom w:val="nil"/>
              <w:right w:val="nil"/>
            </w:tcBorders>
            <w:shd w:val="clear" w:color="auto" w:fill="auto"/>
            <w:hideMark/>
          </w:tcPr>
          <w:p w:rsidR="00AA6895" w:rsidRPr="00341D88" w:rsidRDefault="00AA6895" w:rsidP="00AA00D9">
            <w:pPr>
              <w:rPr>
                <w:sz w:val="18"/>
                <w:szCs w:val="18"/>
                <w:lang w:eastAsia="en-AU"/>
              </w:rPr>
            </w:pPr>
            <w:r w:rsidRPr="00341D88">
              <w:rPr>
                <w:sz w:val="18"/>
                <w:szCs w:val="18"/>
                <w:lang w:eastAsia="en-AU"/>
              </w:rPr>
              <w:t>Revised Funding Profile</w:t>
            </w:r>
            <w:r w:rsidR="00013549" w:rsidRPr="00013549">
              <w:rPr>
                <w:sz w:val="18"/>
                <w:szCs w:val="18"/>
                <w:lang w:eastAsia="en-AU"/>
              </w:rPr>
              <w:t xml:space="preserve"> – </w:t>
            </w:r>
            <w:r w:rsidRPr="00341D88">
              <w:rPr>
                <w:sz w:val="18"/>
                <w:szCs w:val="18"/>
                <w:lang w:eastAsia="en-AU"/>
              </w:rPr>
              <w:t>Campaign Finance Reform</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(387)</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387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r>
      <w:tr w:rsidR="00AA6895" w:rsidRPr="00341D88" w:rsidTr="00D120DC">
        <w:trPr>
          <w:trHeight w:val="480"/>
        </w:trPr>
        <w:tc>
          <w:tcPr>
            <w:tcW w:w="4556" w:type="dxa"/>
            <w:tcBorders>
              <w:top w:val="nil"/>
              <w:left w:val="nil"/>
              <w:right w:val="nil"/>
            </w:tcBorders>
            <w:shd w:val="clear" w:color="auto" w:fill="auto"/>
            <w:hideMark/>
          </w:tcPr>
          <w:p w:rsidR="00AA6895" w:rsidRPr="00341D88" w:rsidRDefault="00AA6895" w:rsidP="00AA00D9">
            <w:pPr>
              <w:ind w:left="142" w:hanging="142"/>
              <w:rPr>
                <w:sz w:val="18"/>
                <w:szCs w:val="18"/>
                <w:lang w:eastAsia="en-AU"/>
              </w:rPr>
            </w:pPr>
            <w:r w:rsidRPr="00341D88">
              <w:rPr>
                <w:sz w:val="18"/>
                <w:szCs w:val="18"/>
                <w:lang w:eastAsia="en-AU"/>
              </w:rPr>
              <w:t>Revised Funding Profile</w:t>
            </w:r>
            <w:r w:rsidR="00013549" w:rsidRPr="00013549">
              <w:rPr>
                <w:sz w:val="18"/>
                <w:szCs w:val="18"/>
                <w:lang w:eastAsia="en-AU"/>
              </w:rPr>
              <w:t xml:space="preserve"> – </w:t>
            </w:r>
            <w:r w:rsidRPr="00341D88">
              <w:rPr>
                <w:sz w:val="18"/>
                <w:szCs w:val="18"/>
                <w:lang w:eastAsia="en-AU"/>
              </w:rPr>
              <w:t>National Transport Regulators Transition Assistance NP</w:t>
            </w:r>
          </w:p>
        </w:tc>
        <w:tc>
          <w:tcPr>
            <w:tcW w:w="960" w:type="dxa"/>
            <w:tcBorders>
              <w:top w:val="nil"/>
              <w:left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(320)</w:t>
            </w:r>
          </w:p>
        </w:tc>
        <w:tc>
          <w:tcPr>
            <w:tcW w:w="960" w:type="dxa"/>
            <w:tcBorders>
              <w:top w:val="nil"/>
              <w:left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320 </w:t>
            </w:r>
          </w:p>
        </w:tc>
        <w:tc>
          <w:tcPr>
            <w:tcW w:w="960" w:type="dxa"/>
            <w:tcBorders>
              <w:top w:val="nil"/>
              <w:left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r>
      <w:tr w:rsidR="00AA6895" w:rsidRPr="00341D88" w:rsidTr="00D120DC">
        <w:trPr>
          <w:trHeight w:val="240"/>
        </w:trPr>
        <w:tc>
          <w:tcPr>
            <w:tcW w:w="4556" w:type="dxa"/>
            <w:tcBorders>
              <w:top w:val="nil"/>
              <w:left w:val="nil"/>
              <w:right w:val="nil"/>
            </w:tcBorders>
            <w:shd w:val="clear" w:color="auto" w:fill="auto"/>
            <w:hideMark/>
          </w:tcPr>
          <w:p w:rsidR="00AA6895" w:rsidRPr="00341D88" w:rsidRDefault="00AA6895" w:rsidP="00AA00D9">
            <w:pPr>
              <w:rPr>
                <w:sz w:val="18"/>
                <w:szCs w:val="18"/>
                <w:lang w:eastAsia="en-AU"/>
              </w:rPr>
            </w:pPr>
            <w:r w:rsidRPr="00341D88">
              <w:rPr>
                <w:sz w:val="18"/>
                <w:szCs w:val="18"/>
                <w:lang w:eastAsia="en-AU"/>
              </w:rPr>
              <w:t>Cessation - Relocation of the Women's Legal Centre</w:t>
            </w:r>
          </w:p>
        </w:tc>
        <w:tc>
          <w:tcPr>
            <w:tcW w:w="960" w:type="dxa"/>
            <w:tcBorders>
              <w:top w:val="nil"/>
              <w:left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c>
          <w:tcPr>
            <w:tcW w:w="960" w:type="dxa"/>
            <w:tcBorders>
              <w:top w:val="nil"/>
              <w:left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(579)</w:t>
            </w:r>
          </w:p>
        </w:tc>
        <w:tc>
          <w:tcPr>
            <w:tcW w:w="960" w:type="dxa"/>
            <w:tcBorders>
              <w:top w:val="nil"/>
              <w:left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(43)</w:t>
            </w:r>
          </w:p>
        </w:tc>
        <w:tc>
          <w:tcPr>
            <w:tcW w:w="960" w:type="dxa"/>
            <w:tcBorders>
              <w:top w:val="nil"/>
              <w:left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(44)</w:t>
            </w:r>
          </w:p>
        </w:tc>
        <w:tc>
          <w:tcPr>
            <w:tcW w:w="960" w:type="dxa"/>
            <w:tcBorders>
              <w:top w:val="nil"/>
              <w:left w:val="nil"/>
              <w:right w:val="nil"/>
            </w:tcBorders>
            <w:shd w:val="clear" w:color="auto" w:fill="auto"/>
            <w:noWrap/>
            <w:hideMark/>
          </w:tcPr>
          <w:p w:rsidR="00AA6895" w:rsidRPr="00341D88" w:rsidRDefault="00AA6895" w:rsidP="00AA00D9">
            <w:pPr>
              <w:jc w:val="right"/>
              <w:rPr>
                <w:sz w:val="18"/>
                <w:szCs w:val="18"/>
                <w:lang w:eastAsia="en-AU"/>
              </w:rPr>
            </w:pPr>
            <w:r w:rsidRPr="00341D88">
              <w:rPr>
                <w:sz w:val="18"/>
                <w:szCs w:val="18"/>
                <w:lang w:eastAsia="en-AU"/>
              </w:rPr>
              <w:t xml:space="preserve">- </w:t>
            </w:r>
          </w:p>
        </w:tc>
      </w:tr>
      <w:tr w:rsidR="00D120DC" w:rsidRPr="00341D88" w:rsidTr="00D120DC">
        <w:trPr>
          <w:trHeight w:val="240"/>
        </w:trPr>
        <w:tc>
          <w:tcPr>
            <w:tcW w:w="4556" w:type="dxa"/>
            <w:tcBorders>
              <w:top w:val="nil"/>
              <w:left w:val="nil"/>
              <w:right w:val="nil"/>
            </w:tcBorders>
            <w:shd w:val="clear" w:color="auto" w:fill="auto"/>
            <w:hideMark/>
          </w:tcPr>
          <w:p w:rsidR="00D120DC" w:rsidRPr="00341D88" w:rsidRDefault="00D120DC" w:rsidP="00D120DC">
            <w:pPr>
              <w:rPr>
                <w:sz w:val="18"/>
                <w:szCs w:val="18"/>
                <w:lang w:eastAsia="en-AU"/>
              </w:rPr>
            </w:pPr>
            <w:r w:rsidRPr="00341D88">
              <w:rPr>
                <w:sz w:val="18"/>
                <w:szCs w:val="18"/>
                <w:lang w:eastAsia="en-AU"/>
              </w:rPr>
              <w:t>Commonwealth Grants</w:t>
            </w:r>
            <w:r w:rsidRPr="00013549">
              <w:rPr>
                <w:sz w:val="18"/>
                <w:szCs w:val="18"/>
                <w:lang w:eastAsia="en-AU"/>
              </w:rPr>
              <w:t xml:space="preserve"> – </w:t>
            </w:r>
            <w:r w:rsidRPr="00341D88">
              <w:rPr>
                <w:sz w:val="18"/>
                <w:szCs w:val="18"/>
                <w:lang w:eastAsia="en-AU"/>
              </w:rPr>
              <w:t>National Disaster Resilience Program NP</w:t>
            </w:r>
          </w:p>
        </w:tc>
        <w:tc>
          <w:tcPr>
            <w:tcW w:w="960" w:type="dxa"/>
            <w:tcBorders>
              <w:top w:val="nil"/>
              <w:left w:val="nil"/>
              <w:right w:val="nil"/>
            </w:tcBorders>
            <w:shd w:val="clear" w:color="auto" w:fill="auto"/>
            <w:noWrap/>
            <w:hideMark/>
          </w:tcPr>
          <w:p w:rsidR="00D120DC" w:rsidRPr="00341D88" w:rsidRDefault="00D120DC" w:rsidP="00033351">
            <w:pPr>
              <w:jc w:val="right"/>
              <w:rPr>
                <w:sz w:val="18"/>
                <w:szCs w:val="18"/>
                <w:lang w:eastAsia="en-AU"/>
              </w:rPr>
            </w:pPr>
            <w:r w:rsidRPr="00341D88">
              <w:rPr>
                <w:sz w:val="18"/>
                <w:szCs w:val="18"/>
                <w:lang w:eastAsia="en-AU"/>
              </w:rPr>
              <w:t xml:space="preserve">652 </w:t>
            </w:r>
          </w:p>
        </w:tc>
        <w:tc>
          <w:tcPr>
            <w:tcW w:w="960" w:type="dxa"/>
            <w:tcBorders>
              <w:top w:val="nil"/>
              <w:left w:val="nil"/>
              <w:right w:val="nil"/>
            </w:tcBorders>
            <w:shd w:val="clear" w:color="auto" w:fill="auto"/>
            <w:noWrap/>
            <w:hideMark/>
          </w:tcPr>
          <w:p w:rsidR="00D120DC" w:rsidRPr="00341D88" w:rsidRDefault="00D120DC" w:rsidP="00033351">
            <w:pPr>
              <w:jc w:val="right"/>
              <w:rPr>
                <w:sz w:val="18"/>
                <w:szCs w:val="18"/>
                <w:lang w:eastAsia="en-AU"/>
              </w:rPr>
            </w:pPr>
            <w:r w:rsidRPr="00341D88">
              <w:rPr>
                <w:sz w:val="18"/>
                <w:szCs w:val="18"/>
                <w:lang w:eastAsia="en-AU"/>
              </w:rPr>
              <w:t xml:space="preserve">1,305 </w:t>
            </w:r>
          </w:p>
        </w:tc>
        <w:tc>
          <w:tcPr>
            <w:tcW w:w="960" w:type="dxa"/>
            <w:tcBorders>
              <w:top w:val="nil"/>
              <w:left w:val="nil"/>
              <w:right w:val="nil"/>
            </w:tcBorders>
            <w:shd w:val="clear" w:color="auto" w:fill="auto"/>
            <w:noWrap/>
            <w:hideMark/>
          </w:tcPr>
          <w:p w:rsidR="00D120DC" w:rsidRPr="00341D88" w:rsidRDefault="00D120DC" w:rsidP="00033351">
            <w:pPr>
              <w:jc w:val="right"/>
              <w:rPr>
                <w:sz w:val="18"/>
                <w:szCs w:val="18"/>
                <w:lang w:eastAsia="en-AU"/>
              </w:rPr>
            </w:pPr>
            <w:r w:rsidRPr="00341D88">
              <w:rPr>
                <w:sz w:val="18"/>
                <w:szCs w:val="18"/>
                <w:lang w:eastAsia="en-AU"/>
              </w:rPr>
              <w:t xml:space="preserve">1,305 </w:t>
            </w:r>
          </w:p>
        </w:tc>
        <w:tc>
          <w:tcPr>
            <w:tcW w:w="960" w:type="dxa"/>
            <w:tcBorders>
              <w:top w:val="nil"/>
              <w:left w:val="nil"/>
              <w:right w:val="nil"/>
            </w:tcBorders>
            <w:shd w:val="clear" w:color="auto" w:fill="auto"/>
            <w:noWrap/>
            <w:hideMark/>
          </w:tcPr>
          <w:p w:rsidR="00D120DC" w:rsidRPr="00341D88" w:rsidRDefault="00D120DC" w:rsidP="00033351">
            <w:pPr>
              <w:jc w:val="right"/>
              <w:rPr>
                <w:sz w:val="18"/>
                <w:szCs w:val="18"/>
                <w:lang w:eastAsia="en-AU"/>
              </w:rPr>
            </w:pPr>
            <w:r w:rsidRPr="00341D88">
              <w:rPr>
                <w:sz w:val="18"/>
                <w:szCs w:val="18"/>
                <w:lang w:eastAsia="en-AU"/>
              </w:rPr>
              <w:t xml:space="preserve">1,305 </w:t>
            </w:r>
          </w:p>
        </w:tc>
        <w:tc>
          <w:tcPr>
            <w:tcW w:w="960" w:type="dxa"/>
            <w:tcBorders>
              <w:top w:val="nil"/>
              <w:left w:val="nil"/>
              <w:right w:val="nil"/>
            </w:tcBorders>
            <w:shd w:val="clear" w:color="auto" w:fill="auto"/>
            <w:noWrap/>
            <w:hideMark/>
          </w:tcPr>
          <w:p w:rsidR="00D120DC" w:rsidRPr="00341D88" w:rsidRDefault="00D120DC" w:rsidP="00033351">
            <w:pPr>
              <w:jc w:val="right"/>
              <w:rPr>
                <w:sz w:val="18"/>
                <w:szCs w:val="18"/>
                <w:lang w:eastAsia="en-AU"/>
              </w:rPr>
            </w:pPr>
            <w:r w:rsidRPr="00341D88">
              <w:rPr>
                <w:sz w:val="18"/>
                <w:szCs w:val="18"/>
                <w:lang w:eastAsia="en-AU"/>
              </w:rPr>
              <w:t xml:space="preserve">- </w:t>
            </w:r>
          </w:p>
        </w:tc>
      </w:tr>
      <w:tr w:rsidR="00D120DC" w:rsidRPr="00341D88" w:rsidTr="00D120DC">
        <w:trPr>
          <w:trHeight w:val="240"/>
        </w:trPr>
        <w:tc>
          <w:tcPr>
            <w:tcW w:w="4556" w:type="dxa"/>
            <w:tcBorders>
              <w:top w:val="nil"/>
              <w:left w:val="nil"/>
              <w:right w:val="nil"/>
            </w:tcBorders>
            <w:shd w:val="clear" w:color="auto" w:fill="auto"/>
            <w:hideMark/>
          </w:tcPr>
          <w:p w:rsidR="00D120DC" w:rsidRPr="00341D88" w:rsidRDefault="00D120DC" w:rsidP="00033351">
            <w:pPr>
              <w:rPr>
                <w:sz w:val="18"/>
                <w:szCs w:val="18"/>
                <w:lang w:eastAsia="en-AU"/>
              </w:rPr>
            </w:pPr>
            <w:r w:rsidRPr="00341D88">
              <w:rPr>
                <w:sz w:val="18"/>
                <w:szCs w:val="18"/>
                <w:lang w:eastAsia="en-AU"/>
              </w:rPr>
              <w:t>Commonwealth Grants</w:t>
            </w:r>
            <w:r w:rsidRPr="00013549">
              <w:rPr>
                <w:sz w:val="18"/>
                <w:szCs w:val="18"/>
                <w:lang w:eastAsia="en-AU"/>
              </w:rPr>
              <w:t xml:space="preserve"> – </w:t>
            </w:r>
            <w:r w:rsidRPr="00341D88">
              <w:rPr>
                <w:sz w:val="18"/>
                <w:szCs w:val="18"/>
                <w:lang w:eastAsia="en-AU"/>
              </w:rPr>
              <w:t>Commonwealth Fire Payment</w:t>
            </w:r>
          </w:p>
        </w:tc>
        <w:tc>
          <w:tcPr>
            <w:tcW w:w="960" w:type="dxa"/>
            <w:tcBorders>
              <w:top w:val="nil"/>
              <w:left w:val="nil"/>
              <w:right w:val="nil"/>
            </w:tcBorders>
            <w:shd w:val="clear" w:color="auto" w:fill="auto"/>
            <w:noWrap/>
            <w:hideMark/>
          </w:tcPr>
          <w:p w:rsidR="00D120DC" w:rsidRPr="00341D88" w:rsidRDefault="00D120DC" w:rsidP="00033351">
            <w:pPr>
              <w:jc w:val="right"/>
              <w:rPr>
                <w:sz w:val="18"/>
                <w:szCs w:val="18"/>
                <w:lang w:eastAsia="en-AU"/>
              </w:rPr>
            </w:pPr>
            <w:r w:rsidRPr="00341D88">
              <w:rPr>
                <w:sz w:val="18"/>
                <w:szCs w:val="18"/>
                <w:lang w:eastAsia="en-AU"/>
              </w:rPr>
              <w:t xml:space="preserve">8,612 </w:t>
            </w:r>
          </w:p>
        </w:tc>
        <w:tc>
          <w:tcPr>
            <w:tcW w:w="960" w:type="dxa"/>
            <w:tcBorders>
              <w:top w:val="nil"/>
              <w:left w:val="nil"/>
              <w:right w:val="nil"/>
            </w:tcBorders>
            <w:shd w:val="clear" w:color="auto" w:fill="auto"/>
            <w:noWrap/>
            <w:hideMark/>
          </w:tcPr>
          <w:p w:rsidR="00D120DC" w:rsidRPr="00341D88" w:rsidRDefault="00D120DC" w:rsidP="00033351">
            <w:pPr>
              <w:jc w:val="right"/>
              <w:rPr>
                <w:sz w:val="18"/>
                <w:szCs w:val="18"/>
                <w:lang w:eastAsia="en-AU"/>
              </w:rPr>
            </w:pPr>
            <w:r w:rsidRPr="00341D88">
              <w:rPr>
                <w:sz w:val="18"/>
                <w:szCs w:val="18"/>
                <w:lang w:eastAsia="en-AU"/>
              </w:rPr>
              <w:t xml:space="preserve">8,774 </w:t>
            </w:r>
          </w:p>
        </w:tc>
        <w:tc>
          <w:tcPr>
            <w:tcW w:w="960" w:type="dxa"/>
            <w:tcBorders>
              <w:top w:val="nil"/>
              <w:left w:val="nil"/>
              <w:right w:val="nil"/>
            </w:tcBorders>
            <w:shd w:val="clear" w:color="auto" w:fill="auto"/>
            <w:noWrap/>
            <w:hideMark/>
          </w:tcPr>
          <w:p w:rsidR="00D120DC" w:rsidRPr="00341D88" w:rsidRDefault="00D120DC" w:rsidP="00033351">
            <w:pPr>
              <w:jc w:val="right"/>
              <w:rPr>
                <w:sz w:val="18"/>
                <w:szCs w:val="18"/>
                <w:lang w:eastAsia="en-AU"/>
              </w:rPr>
            </w:pPr>
            <w:r w:rsidRPr="00341D88">
              <w:rPr>
                <w:sz w:val="18"/>
                <w:szCs w:val="18"/>
                <w:lang w:eastAsia="en-AU"/>
              </w:rPr>
              <w:t xml:space="preserve">- </w:t>
            </w:r>
          </w:p>
        </w:tc>
        <w:tc>
          <w:tcPr>
            <w:tcW w:w="960" w:type="dxa"/>
            <w:tcBorders>
              <w:top w:val="nil"/>
              <w:left w:val="nil"/>
              <w:right w:val="nil"/>
            </w:tcBorders>
            <w:shd w:val="clear" w:color="auto" w:fill="auto"/>
            <w:noWrap/>
            <w:hideMark/>
          </w:tcPr>
          <w:p w:rsidR="00D120DC" w:rsidRPr="00341D88" w:rsidRDefault="00D120DC" w:rsidP="00033351">
            <w:pPr>
              <w:jc w:val="right"/>
              <w:rPr>
                <w:sz w:val="18"/>
                <w:szCs w:val="18"/>
                <w:lang w:eastAsia="en-AU"/>
              </w:rPr>
            </w:pPr>
            <w:r w:rsidRPr="00341D88">
              <w:rPr>
                <w:sz w:val="18"/>
                <w:szCs w:val="18"/>
                <w:lang w:eastAsia="en-AU"/>
              </w:rPr>
              <w:t xml:space="preserve">- </w:t>
            </w:r>
          </w:p>
        </w:tc>
        <w:tc>
          <w:tcPr>
            <w:tcW w:w="960" w:type="dxa"/>
            <w:tcBorders>
              <w:top w:val="nil"/>
              <w:left w:val="nil"/>
              <w:right w:val="nil"/>
            </w:tcBorders>
            <w:shd w:val="clear" w:color="auto" w:fill="auto"/>
            <w:noWrap/>
            <w:hideMark/>
          </w:tcPr>
          <w:p w:rsidR="00D120DC" w:rsidRPr="00341D88" w:rsidRDefault="00D120DC" w:rsidP="00033351">
            <w:pPr>
              <w:jc w:val="right"/>
              <w:rPr>
                <w:sz w:val="18"/>
                <w:szCs w:val="18"/>
                <w:lang w:eastAsia="en-AU"/>
              </w:rPr>
            </w:pPr>
            <w:r w:rsidRPr="00341D88">
              <w:rPr>
                <w:sz w:val="18"/>
                <w:szCs w:val="18"/>
                <w:lang w:eastAsia="en-AU"/>
              </w:rPr>
              <w:t xml:space="preserve">- </w:t>
            </w:r>
          </w:p>
        </w:tc>
      </w:tr>
      <w:tr w:rsidR="00D120DC" w:rsidRPr="00341D88" w:rsidTr="00D120DC">
        <w:trPr>
          <w:trHeight w:val="240"/>
        </w:trPr>
        <w:tc>
          <w:tcPr>
            <w:tcW w:w="4556" w:type="dxa"/>
            <w:tcBorders>
              <w:top w:val="nil"/>
              <w:left w:val="nil"/>
              <w:right w:val="nil"/>
            </w:tcBorders>
            <w:shd w:val="clear" w:color="auto" w:fill="auto"/>
            <w:hideMark/>
          </w:tcPr>
          <w:p w:rsidR="00D120DC" w:rsidRPr="00341D88" w:rsidRDefault="00D120DC" w:rsidP="00033351">
            <w:pPr>
              <w:rPr>
                <w:sz w:val="18"/>
                <w:szCs w:val="18"/>
                <w:lang w:eastAsia="en-AU"/>
              </w:rPr>
            </w:pPr>
            <w:r w:rsidRPr="00341D88">
              <w:rPr>
                <w:sz w:val="18"/>
                <w:szCs w:val="18"/>
                <w:lang w:eastAsia="en-AU"/>
              </w:rPr>
              <w:t>Supplementation of Commonwealth Fire Payment</w:t>
            </w:r>
          </w:p>
        </w:tc>
        <w:tc>
          <w:tcPr>
            <w:tcW w:w="960" w:type="dxa"/>
            <w:tcBorders>
              <w:top w:val="nil"/>
              <w:left w:val="nil"/>
              <w:right w:val="nil"/>
            </w:tcBorders>
            <w:shd w:val="clear" w:color="auto" w:fill="auto"/>
            <w:noWrap/>
            <w:hideMark/>
          </w:tcPr>
          <w:p w:rsidR="00D120DC" w:rsidRPr="00341D88" w:rsidRDefault="00D120DC" w:rsidP="00033351">
            <w:pPr>
              <w:jc w:val="right"/>
              <w:rPr>
                <w:sz w:val="18"/>
                <w:szCs w:val="18"/>
                <w:lang w:eastAsia="en-AU"/>
              </w:rPr>
            </w:pPr>
            <w:r w:rsidRPr="00341D88">
              <w:rPr>
                <w:sz w:val="18"/>
                <w:szCs w:val="18"/>
                <w:lang w:eastAsia="en-AU"/>
              </w:rPr>
              <w:t xml:space="preserve">- </w:t>
            </w:r>
          </w:p>
        </w:tc>
        <w:tc>
          <w:tcPr>
            <w:tcW w:w="960" w:type="dxa"/>
            <w:tcBorders>
              <w:top w:val="nil"/>
              <w:left w:val="nil"/>
              <w:right w:val="nil"/>
            </w:tcBorders>
            <w:shd w:val="clear" w:color="auto" w:fill="auto"/>
            <w:noWrap/>
            <w:hideMark/>
          </w:tcPr>
          <w:p w:rsidR="00D120DC" w:rsidRPr="00341D88" w:rsidRDefault="00D120DC" w:rsidP="00033351">
            <w:pPr>
              <w:jc w:val="right"/>
              <w:rPr>
                <w:sz w:val="18"/>
                <w:szCs w:val="18"/>
                <w:lang w:eastAsia="en-AU"/>
              </w:rPr>
            </w:pPr>
            <w:r w:rsidRPr="00341D88">
              <w:rPr>
                <w:sz w:val="18"/>
                <w:szCs w:val="18"/>
                <w:lang w:eastAsia="en-AU"/>
              </w:rPr>
              <w:t xml:space="preserve">1,266 </w:t>
            </w:r>
          </w:p>
        </w:tc>
        <w:tc>
          <w:tcPr>
            <w:tcW w:w="960" w:type="dxa"/>
            <w:tcBorders>
              <w:top w:val="nil"/>
              <w:left w:val="nil"/>
              <w:right w:val="nil"/>
            </w:tcBorders>
            <w:shd w:val="clear" w:color="auto" w:fill="auto"/>
            <w:noWrap/>
            <w:hideMark/>
          </w:tcPr>
          <w:p w:rsidR="00D120DC" w:rsidRPr="00341D88" w:rsidRDefault="00D120DC" w:rsidP="00033351">
            <w:pPr>
              <w:jc w:val="right"/>
              <w:rPr>
                <w:sz w:val="18"/>
                <w:szCs w:val="18"/>
                <w:lang w:eastAsia="en-AU"/>
              </w:rPr>
            </w:pPr>
            <w:r w:rsidRPr="00341D88">
              <w:rPr>
                <w:sz w:val="18"/>
                <w:szCs w:val="18"/>
                <w:lang w:eastAsia="en-AU"/>
              </w:rPr>
              <w:t xml:space="preserve">- </w:t>
            </w:r>
          </w:p>
        </w:tc>
        <w:tc>
          <w:tcPr>
            <w:tcW w:w="960" w:type="dxa"/>
            <w:tcBorders>
              <w:top w:val="nil"/>
              <w:left w:val="nil"/>
              <w:right w:val="nil"/>
            </w:tcBorders>
            <w:shd w:val="clear" w:color="auto" w:fill="auto"/>
            <w:noWrap/>
            <w:hideMark/>
          </w:tcPr>
          <w:p w:rsidR="00D120DC" w:rsidRPr="00341D88" w:rsidRDefault="00D120DC" w:rsidP="00033351">
            <w:pPr>
              <w:jc w:val="right"/>
              <w:rPr>
                <w:sz w:val="18"/>
                <w:szCs w:val="18"/>
                <w:lang w:eastAsia="en-AU"/>
              </w:rPr>
            </w:pPr>
            <w:r w:rsidRPr="00341D88">
              <w:rPr>
                <w:sz w:val="18"/>
                <w:szCs w:val="18"/>
                <w:lang w:eastAsia="en-AU"/>
              </w:rPr>
              <w:t xml:space="preserve">- </w:t>
            </w:r>
          </w:p>
        </w:tc>
        <w:tc>
          <w:tcPr>
            <w:tcW w:w="960" w:type="dxa"/>
            <w:tcBorders>
              <w:top w:val="nil"/>
              <w:left w:val="nil"/>
              <w:right w:val="nil"/>
            </w:tcBorders>
            <w:shd w:val="clear" w:color="auto" w:fill="auto"/>
            <w:noWrap/>
            <w:hideMark/>
          </w:tcPr>
          <w:p w:rsidR="00D120DC" w:rsidRPr="00341D88" w:rsidRDefault="00D120DC" w:rsidP="00033351">
            <w:pPr>
              <w:jc w:val="right"/>
              <w:rPr>
                <w:sz w:val="18"/>
                <w:szCs w:val="18"/>
                <w:lang w:eastAsia="en-AU"/>
              </w:rPr>
            </w:pPr>
            <w:r w:rsidRPr="00341D88">
              <w:rPr>
                <w:sz w:val="18"/>
                <w:szCs w:val="18"/>
                <w:lang w:eastAsia="en-AU"/>
              </w:rPr>
              <w:t xml:space="preserve">- </w:t>
            </w:r>
          </w:p>
        </w:tc>
      </w:tr>
      <w:tr w:rsidR="00C6223E" w:rsidRPr="00C6223E" w:rsidTr="00BA0CDE">
        <w:trPr>
          <w:trHeight w:val="105"/>
        </w:trPr>
        <w:tc>
          <w:tcPr>
            <w:tcW w:w="4556" w:type="dxa"/>
            <w:tcBorders>
              <w:top w:val="nil"/>
              <w:left w:val="nil"/>
              <w:bottom w:val="nil"/>
              <w:right w:val="nil"/>
            </w:tcBorders>
            <w:shd w:val="clear" w:color="auto" w:fill="auto"/>
            <w:hideMark/>
          </w:tcPr>
          <w:p w:rsidR="00C6223E" w:rsidRPr="00C6223E" w:rsidRDefault="00C6223E" w:rsidP="00BA0CDE">
            <w:pPr>
              <w:rPr>
                <w:sz w:val="6"/>
                <w:szCs w:val="6"/>
                <w:lang w:eastAsia="en-AU"/>
              </w:rPr>
            </w:pPr>
          </w:p>
        </w:tc>
        <w:tc>
          <w:tcPr>
            <w:tcW w:w="960" w:type="dxa"/>
            <w:tcBorders>
              <w:top w:val="nil"/>
              <w:left w:val="nil"/>
              <w:bottom w:val="nil"/>
              <w:right w:val="nil"/>
            </w:tcBorders>
            <w:shd w:val="clear" w:color="auto" w:fill="auto"/>
            <w:noWrap/>
            <w:hideMark/>
          </w:tcPr>
          <w:p w:rsidR="00C6223E" w:rsidRPr="00C6223E" w:rsidRDefault="00C6223E" w:rsidP="00BA0CDE">
            <w:pPr>
              <w:jc w:val="right"/>
              <w:rPr>
                <w:sz w:val="6"/>
                <w:szCs w:val="6"/>
                <w:lang w:eastAsia="en-AU"/>
              </w:rPr>
            </w:pPr>
          </w:p>
        </w:tc>
        <w:tc>
          <w:tcPr>
            <w:tcW w:w="960" w:type="dxa"/>
            <w:tcBorders>
              <w:top w:val="nil"/>
              <w:left w:val="nil"/>
              <w:bottom w:val="nil"/>
              <w:right w:val="nil"/>
            </w:tcBorders>
            <w:shd w:val="clear" w:color="auto" w:fill="auto"/>
            <w:noWrap/>
            <w:hideMark/>
          </w:tcPr>
          <w:p w:rsidR="00C6223E" w:rsidRPr="00C6223E" w:rsidRDefault="00C6223E" w:rsidP="00BA0CDE">
            <w:pPr>
              <w:jc w:val="right"/>
              <w:rPr>
                <w:sz w:val="6"/>
                <w:szCs w:val="6"/>
                <w:lang w:eastAsia="en-AU"/>
              </w:rPr>
            </w:pPr>
          </w:p>
        </w:tc>
        <w:tc>
          <w:tcPr>
            <w:tcW w:w="960" w:type="dxa"/>
            <w:tcBorders>
              <w:top w:val="nil"/>
              <w:left w:val="nil"/>
              <w:bottom w:val="nil"/>
              <w:right w:val="nil"/>
            </w:tcBorders>
            <w:shd w:val="clear" w:color="auto" w:fill="auto"/>
            <w:noWrap/>
            <w:hideMark/>
          </w:tcPr>
          <w:p w:rsidR="00C6223E" w:rsidRPr="00C6223E" w:rsidRDefault="00C6223E" w:rsidP="00BA0CDE">
            <w:pPr>
              <w:jc w:val="right"/>
              <w:rPr>
                <w:sz w:val="6"/>
                <w:szCs w:val="6"/>
                <w:lang w:eastAsia="en-AU"/>
              </w:rPr>
            </w:pPr>
          </w:p>
        </w:tc>
        <w:tc>
          <w:tcPr>
            <w:tcW w:w="960" w:type="dxa"/>
            <w:tcBorders>
              <w:top w:val="nil"/>
              <w:left w:val="nil"/>
              <w:bottom w:val="nil"/>
              <w:right w:val="nil"/>
            </w:tcBorders>
            <w:shd w:val="clear" w:color="auto" w:fill="auto"/>
            <w:noWrap/>
            <w:hideMark/>
          </w:tcPr>
          <w:p w:rsidR="00C6223E" w:rsidRPr="00C6223E" w:rsidRDefault="00C6223E" w:rsidP="00BA0CDE">
            <w:pPr>
              <w:jc w:val="right"/>
              <w:rPr>
                <w:sz w:val="6"/>
                <w:szCs w:val="6"/>
                <w:lang w:eastAsia="en-AU"/>
              </w:rPr>
            </w:pPr>
          </w:p>
        </w:tc>
        <w:tc>
          <w:tcPr>
            <w:tcW w:w="960" w:type="dxa"/>
            <w:tcBorders>
              <w:top w:val="nil"/>
              <w:left w:val="nil"/>
              <w:bottom w:val="nil"/>
              <w:right w:val="nil"/>
            </w:tcBorders>
            <w:shd w:val="clear" w:color="auto" w:fill="auto"/>
            <w:noWrap/>
            <w:hideMark/>
          </w:tcPr>
          <w:p w:rsidR="00C6223E" w:rsidRPr="00C6223E" w:rsidRDefault="00C6223E" w:rsidP="00BA0CDE">
            <w:pPr>
              <w:jc w:val="right"/>
              <w:rPr>
                <w:sz w:val="6"/>
                <w:szCs w:val="6"/>
                <w:lang w:eastAsia="en-AU"/>
              </w:rPr>
            </w:pPr>
          </w:p>
        </w:tc>
      </w:tr>
      <w:tr w:rsidR="00D120DC" w:rsidRPr="00D120DC" w:rsidTr="00D120DC">
        <w:trPr>
          <w:trHeight w:val="240"/>
        </w:trPr>
        <w:tc>
          <w:tcPr>
            <w:tcW w:w="4556" w:type="dxa"/>
            <w:tcBorders>
              <w:left w:val="nil"/>
              <w:bottom w:val="single" w:sz="4" w:space="0" w:color="auto"/>
              <w:right w:val="nil"/>
            </w:tcBorders>
            <w:shd w:val="clear" w:color="auto" w:fill="auto"/>
            <w:hideMark/>
          </w:tcPr>
          <w:p w:rsidR="00D120DC" w:rsidRPr="00D120DC" w:rsidRDefault="00D120DC" w:rsidP="00033351">
            <w:pPr>
              <w:rPr>
                <w:b/>
                <w:sz w:val="18"/>
                <w:szCs w:val="18"/>
                <w:lang w:eastAsia="en-AU"/>
              </w:rPr>
            </w:pPr>
            <w:r w:rsidRPr="00D120DC">
              <w:rPr>
                <w:b/>
                <w:sz w:val="18"/>
                <w:szCs w:val="18"/>
                <w:lang w:eastAsia="en-AU"/>
              </w:rPr>
              <w:t>2013-14 Budget</w:t>
            </w:r>
          </w:p>
        </w:tc>
        <w:tc>
          <w:tcPr>
            <w:tcW w:w="960" w:type="dxa"/>
            <w:tcBorders>
              <w:left w:val="nil"/>
              <w:bottom w:val="single" w:sz="4" w:space="0" w:color="auto"/>
              <w:right w:val="nil"/>
            </w:tcBorders>
            <w:shd w:val="clear" w:color="auto" w:fill="auto"/>
            <w:noWrap/>
            <w:hideMark/>
          </w:tcPr>
          <w:p w:rsidR="00D120DC" w:rsidRPr="00D120DC" w:rsidRDefault="00D120DC" w:rsidP="00033351">
            <w:pPr>
              <w:jc w:val="right"/>
              <w:rPr>
                <w:b/>
                <w:sz w:val="18"/>
                <w:szCs w:val="18"/>
                <w:lang w:eastAsia="en-AU"/>
              </w:rPr>
            </w:pPr>
            <w:r w:rsidRPr="00D120DC">
              <w:rPr>
                <w:b/>
                <w:sz w:val="18"/>
                <w:szCs w:val="18"/>
                <w:lang w:eastAsia="en-AU"/>
              </w:rPr>
              <w:t>258,438</w:t>
            </w:r>
          </w:p>
        </w:tc>
        <w:tc>
          <w:tcPr>
            <w:tcW w:w="960" w:type="dxa"/>
            <w:tcBorders>
              <w:left w:val="nil"/>
              <w:bottom w:val="single" w:sz="4" w:space="0" w:color="auto"/>
              <w:right w:val="nil"/>
            </w:tcBorders>
            <w:shd w:val="clear" w:color="auto" w:fill="auto"/>
            <w:noWrap/>
            <w:hideMark/>
          </w:tcPr>
          <w:p w:rsidR="00D120DC" w:rsidRPr="00D120DC" w:rsidRDefault="00D120DC" w:rsidP="00033351">
            <w:pPr>
              <w:jc w:val="right"/>
              <w:rPr>
                <w:b/>
                <w:sz w:val="18"/>
                <w:szCs w:val="18"/>
                <w:lang w:eastAsia="en-AU"/>
              </w:rPr>
            </w:pPr>
            <w:r w:rsidRPr="00D120DC">
              <w:rPr>
                <w:b/>
                <w:sz w:val="18"/>
                <w:szCs w:val="18"/>
                <w:lang w:eastAsia="en-AU"/>
              </w:rPr>
              <w:t>264,902</w:t>
            </w:r>
          </w:p>
        </w:tc>
        <w:tc>
          <w:tcPr>
            <w:tcW w:w="960" w:type="dxa"/>
            <w:tcBorders>
              <w:left w:val="nil"/>
              <w:bottom w:val="single" w:sz="4" w:space="0" w:color="auto"/>
              <w:right w:val="nil"/>
            </w:tcBorders>
            <w:shd w:val="clear" w:color="auto" w:fill="auto"/>
            <w:noWrap/>
            <w:hideMark/>
          </w:tcPr>
          <w:p w:rsidR="00D120DC" w:rsidRPr="00D120DC" w:rsidRDefault="00D120DC" w:rsidP="00033351">
            <w:pPr>
              <w:jc w:val="right"/>
              <w:rPr>
                <w:b/>
                <w:sz w:val="18"/>
                <w:szCs w:val="18"/>
                <w:lang w:eastAsia="en-AU"/>
              </w:rPr>
            </w:pPr>
            <w:r w:rsidRPr="00D120DC">
              <w:rPr>
                <w:b/>
                <w:sz w:val="18"/>
                <w:szCs w:val="18"/>
                <w:lang w:eastAsia="en-AU"/>
              </w:rPr>
              <w:t>250,291</w:t>
            </w:r>
          </w:p>
        </w:tc>
        <w:tc>
          <w:tcPr>
            <w:tcW w:w="960" w:type="dxa"/>
            <w:tcBorders>
              <w:left w:val="nil"/>
              <w:bottom w:val="single" w:sz="4" w:space="0" w:color="auto"/>
              <w:right w:val="nil"/>
            </w:tcBorders>
            <w:shd w:val="clear" w:color="auto" w:fill="auto"/>
            <w:noWrap/>
            <w:hideMark/>
          </w:tcPr>
          <w:p w:rsidR="00D120DC" w:rsidRPr="00D120DC" w:rsidRDefault="00D120DC" w:rsidP="00033351">
            <w:pPr>
              <w:jc w:val="right"/>
              <w:rPr>
                <w:b/>
                <w:sz w:val="18"/>
                <w:szCs w:val="18"/>
                <w:lang w:eastAsia="en-AU"/>
              </w:rPr>
            </w:pPr>
            <w:r w:rsidRPr="00D120DC">
              <w:rPr>
                <w:b/>
                <w:sz w:val="18"/>
                <w:szCs w:val="18"/>
                <w:lang w:eastAsia="en-AU"/>
              </w:rPr>
              <w:t>250,494</w:t>
            </w:r>
          </w:p>
        </w:tc>
        <w:tc>
          <w:tcPr>
            <w:tcW w:w="960" w:type="dxa"/>
            <w:tcBorders>
              <w:left w:val="nil"/>
              <w:bottom w:val="single" w:sz="4" w:space="0" w:color="auto"/>
              <w:right w:val="nil"/>
            </w:tcBorders>
            <w:shd w:val="clear" w:color="auto" w:fill="auto"/>
            <w:noWrap/>
            <w:hideMark/>
          </w:tcPr>
          <w:p w:rsidR="00D120DC" w:rsidRPr="00D120DC" w:rsidRDefault="00D120DC" w:rsidP="00033351">
            <w:pPr>
              <w:jc w:val="right"/>
              <w:rPr>
                <w:b/>
                <w:sz w:val="18"/>
                <w:szCs w:val="18"/>
                <w:lang w:eastAsia="en-AU"/>
              </w:rPr>
            </w:pPr>
            <w:r w:rsidRPr="00D120DC">
              <w:rPr>
                <w:b/>
                <w:sz w:val="18"/>
                <w:szCs w:val="18"/>
                <w:lang w:eastAsia="en-AU"/>
              </w:rPr>
              <w:t>254,978</w:t>
            </w:r>
          </w:p>
        </w:tc>
      </w:tr>
    </w:tbl>
    <w:p w:rsidR="00AA6895" w:rsidRDefault="00AA6895" w:rsidP="00AA6895">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pPr>
      <w:proofErr w:type="gramStart"/>
      <w:r>
        <w:lastRenderedPageBreak/>
        <w:t>Changes to Appropriation cont.</w:t>
      </w:r>
      <w:proofErr w:type="gramEnd"/>
    </w:p>
    <w:tbl>
      <w:tblPr>
        <w:tblW w:w="9356" w:type="dxa"/>
        <w:tblLook w:val="04A0"/>
      </w:tblPr>
      <w:tblGrid>
        <w:gridCol w:w="4556"/>
        <w:gridCol w:w="960"/>
        <w:gridCol w:w="960"/>
        <w:gridCol w:w="960"/>
        <w:gridCol w:w="960"/>
        <w:gridCol w:w="960"/>
      </w:tblGrid>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rPr>
                <w:b/>
                <w:bCs/>
                <w:sz w:val="18"/>
                <w:szCs w:val="18"/>
                <w:lang w:eastAsia="en-AU"/>
              </w:rPr>
            </w:pPr>
            <w:r w:rsidRPr="00341D88">
              <w:rPr>
                <w:b/>
                <w:bCs/>
                <w:sz w:val="18"/>
                <w:szCs w:val="18"/>
                <w:lang w:eastAsia="en-AU"/>
              </w:rPr>
              <w:t>Changes to Appropriation - Territorial</w:t>
            </w:r>
          </w:p>
        </w:tc>
        <w:tc>
          <w:tcPr>
            <w:tcW w:w="960" w:type="dxa"/>
            <w:tcBorders>
              <w:top w:val="nil"/>
              <w:left w:val="nil"/>
              <w:bottom w:val="nil"/>
              <w:right w:val="nil"/>
            </w:tcBorders>
            <w:shd w:val="clear" w:color="auto" w:fill="auto"/>
            <w:noWrap/>
            <w:vAlign w:val="bottom"/>
            <w:hideMark/>
          </w:tcPr>
          <w:p w:rsidR="002025CC" w:rsidRPr="00341D88" w:rsidRDefault="002025CC" w:rsidP="00EB5C27">
            <w:pPr>
              <w:rPr>
                <w:sz w:val="18"/>
                <w:szCs w:val="18"/>
                <w:lang w:eastAsia="en-AU"/>
              </w:rPr>
            </w:pPr>
          </w:p>
        </w:tc>
        <w:tc>
          <w:tcPr>
            <w:tcW w:w="960" w:type="dxa"/>
            <w:tcBorders>
              <w:top w:val="nil"/>
              <w:left w:val="nil"/>
              <w:bottom w:val="nil"/>
              <w:right w:val="nil"/>
            </w:tcBorders>
            <w:shd w:val="clear" w:color="auto" w:fill="auto"/>
            <w:noWrap/>
            <w:vAlign w:val="bottom"/>
            <w:hideMark/>
          </w:tcPr>
          <w:p w:rsidR="002025CC" w:rsidRPr="00341D88" w:rsidRDefault="002025CC" w:rsidP="00EB5C27">
            <w:pPr>
              <w:rPr>
                <w:sz w:val="18"/>
                <w:szCs w:val="18"/>
                <w:lang w:eastAsia="en-AU"/>
              </w:rPr>
            </w:pPr>
          </w:p>
        </w:tc>
        <w:tc>
          <w:tcPr>
            <w:tcW w:w="960" w:type="dxa"/>
            <w:tcBorders>
              <w:top w:val="nil"/>
              <w:left w:val="nil"/>
              <w:bottom w:val="nil"/>
              <w:right w:val="nil"/>
            </w:tcBorders>
            <w:shd w:val="clear" w:color="auto" w:fill="auto"/>
            <w:noWrap/>
            <w:vAlign w:val="bottom"/>
            <w:hideMark/>
          </w:tcPr>
          <w:p w:rsidR="002025CC" w:rsidRPr="00341D88" w:rsidRDefault="002025CC" w:rsidP="00EB5C27">
            <w:pPr>
              <w:rPr>
                <w:sz w:val="18"/>
                <w:szCs w:val="18"/>
                <w:lang w:eastAsia="en-AU"/>
              </w:rPr>
            </w:pPr>
          </w:p>
        </w:tc>
        <w:tc>
          <w:tcPr>
            <w:tcW w:w="960" w:type="dxa"/>
            <w:tcBorders>
              <w:top w:val="nil"/>
              <w:left w:val="nil"/>
              <w:bottom w:val="nil"/>
              <w:right w:val="nil"/>
            </w:tcBorders>
            <w:shd w:val="clear" w:color="auto" w:fill="auto"/>
            <w:noWrap/>
            <w:vAlign w:val="bottom"/>
            <w:hideMark/>
          </w:tcPr>
          <w:p w:rsidR="002025CC" w:rsidRPr="00341D88" w:rsidRDefault="002025CC" w:rsidP="00EB5C27">
            <w:pPr>
              <w:rPr>
                <w:sz w:val="18"/>
                <w:szCs w:val="18"/>
                <w:lang w:eastAsia="en-AU"/>
              </w:rPr>
            </w:pPr>
          </w:p>
        </w:tc>
        <w:tc>
          <w:tcPr>
            <w:tcW w:w="960" w:type="dxa"/>
            <w:tcBorders>
              <w:top w:val="nil"/>
              <w:left w:val="nil"/>
              <w:bottom w:val="nil"/>
              <w:right w:val="nil"/>
            </w:tcBorders>
            <w:shd w:val="clear" w:color="auto" w:fill="auto"/>
            <w:noWrap/>
            <w:vAlign w:val="bottom"/>
            <w:hideMark/>
          </w:tcPr>
          <w:p w:rsidR="002025CC" w:rsidRPr="00341D88" w:rsidRDefault="002025CC" w:rsidP="00EB5C27">
            <w:pPr>
              <w:rPr>
                <w:sz w:val="18"/>
                <w:szCs w:val="18"/>
                <w:lang w:eastAsia="en-AU"/>
              </w:rPr>
            </w:pPr>
          </w:p>
        </w:tc>
      </w:tr>
      <w:tr w:rsidR="002025CC" w:rsidRPr="00341D88" w:rsidTr="00EB5C27">
        <w:trPr>
          <w:trHeight w:val="240"/>
        </w:trPr>
        <w:tc>
          <w:tcPr>
            <w:tcW w:w="4556" w:type="dxa"/>
            <w:tcBorders>
              <w:top w:val="single" w:sz="4" w:space="0" w:color="auto"/>
              <w:left w:val="nil"/>
              <w:bottom w:val="nil"/>
              <w:right w:val="nil"/>
            </w:tcBorders>
            <w:shd w:val="clear" w:color="auto" w:fill="auto"/>
            <w:hideMark/>
          </w:tcPr>
          <w:p w:rsidR="002025CC" w:rsidRPr="00341D88" w:rsidRDefault="002025CC" w:rsidP="00EB5C27">
            <w:pPr>
              <w:rPr>
                <w:b/>
                <w:bCs/>
                <w:sz w:val="18"/>
                <w:szCs w:val="18"/>
                <w:lang w:eastAsia="en-AU"/>
              </w:rPr>
            </w:pPr>
            <w:r w:rsidRPr="00341D88">
              <w:rPr>
                <w:b/>
                <w:bCs/>
                <w:sz w:val="18"/>
                <w:szCs w:val="18"/>
                <w:lang w:eastAsia="en-AU"/>
              </w:rPr>
              <w:t> </w:t>
            </w:r>
          </w:p>
        </w:tc>
        <w:tc>
          <w:tcPr>
            <w:tcW w:w="960" w:type="dxa"/>
            <w:tcBorders>
              <w:top w:val="single" w:sz="4" w:space="0" w:color="auto"/>
              <w:left w:val="nil"/>
              <w:bottom w:val="nil"/>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2012-13</w:t>
            </w:r>
          </w:p>
        </w:tc>
        <w:tc>
          <w:tcPr>
            <w:tcW w:w="960" w:type="dxa"/>
            <w:tcBorders>
              <w:top w:val="single" w:sz="4" w:space="0" w:color="auto"/>
              <w:left w:val="nil"/>
              <w:bottom w:val="nil"/>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2013-14</w:t>
            </w:r>
          </w:p>
        </w:tc>
        <w:tc>
          <w:tcPr>
            <w:tcW w:w="960" w:type="dxa"/>
            <w:tcBorders>
              <w:top w:val="single" w:sz="4" w:space="0" w:color="auto"/>
              <w:left w:val="nil"/>
              <w:bottom w:val="nil"/>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2014-15</w:t>
            </w:r>
          </w:p>
        </w:tc>
        <w:tc>
          <w:tcPr>
            <w:tcW w:w="960" w:type="dxa"/>
            <w:tcBorders>
              <w:top w:val="single" w:sz="4" w:space="0" w:color="auto"/>
              <w:left w:val="nil"/>
              <w:bottom w:val="nil"/>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2015-16</w:t>
            </w:r>
          </w:p>
        </w:tc>
        <w:tc>
          <w:tcPr>
            <w:tcW w:w="960" w:type="dxa"/>
            <w:tcBorders>
              <w:top w:val="single" w:sz="4" w:space="0" w:color="auto"/>
              <w:left w:val="nil"/>
              <w:bottom w:val="nil"/>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2016-17</w:t>
            </w: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rPr>
                <w:b/>
                <w:bCs/>
                <w:sz w:val="18"/>
                <w:szCs w:val="18"/>
                <w:lang w:eastAsia="en-AU"/>
              </w:rPr>
            </w:pPr>
            <w:r w:rsidRPr="00341D88">
              <w:rPr>
                <w:b/>
                <w:bCs/>
                <w:sz w:val="18"/>
                <w:szCs w:val="18"/>
                <w:lang w:eastAsia="en-AU"/>
              </w:rPr>
              <w:t>Payment for Expenses on Behalf of Territory</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Est. Out.</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Budget</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Estimate</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Estimate</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Estimate</w:t>
            </w:r>
          </w:p>
        </w:tc>
      </w:tr>
      <w:tr w:rsidR="002025CC" w:rsidRPr="00341D88" w:rsidTr="00EB5C27">
        <w:trPr>
          <w:trHeight w:val="240"/>
        </w:trPr>
        <w:tc>
          <w:tcPr>
            <w:tcW w:w="4556" w:type="dxa"/>
            <w:tcBorders>
              <w:top w:val="nil"/>
              <w:left w:val="nil"/>
              <w:bottom w:val="single" w:sz="4" w:space="0" w:color="auto"/>
              <w:right w:val="nil"/>
            </w:tcBorders>
            <w:shd w:val="clear" w:color="auto" w:fill="auto"/>
            <w:hideMark/>
          </w:tcPr>
          <w:p w:rsidR="002025CC" w:rsidRPr="00341D88" w:rsidRDefault="002025CC" w:rsidP="00EB5C27">
            <w:pPr>
              <w:rPr>
                <w:b/>
                <w:bCs/>
                <w:sz w:val="18"/>
                <w:szCs w:val="18"/>
                <w:lang w:eastAsia="en-AU"/>
              </w:rPr>
            </w:pPr>
            <w:r w:rsidRPr="00341D88">
              <w:rPr>
                <w:b/>
                <w:bCs/>
                <w:sz w:val="18"/>
                <w:szCs w:val="18"/>
                <w:lang w:eastAsia="en-AU"/>
              </w:rPr>
              <w:t> </w:t>
            </w:r>
          </w:p>
        </w:tc>
        <w:tc>
          <w:tcPr>
            <w:tcW w:w="960" w:type="dxa"/>
            <w:tcBorders>
              <w:top w:val="nil"/>
              <w:left w:val="nil"/>
              <w:bottom w:val="single" w:sz="4" w:space="0" w:color="auto"/>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$'000</w:t>
            </w: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rPr>
                <w:b/>
                <w:bCs/>
                <w:sz w:val="18"/>
                <w:szCs w:val="18"/>
                <w:lang w:eastAsia="en-AU"/>
              </w:rPr>
            </w:pPr>
            <w:r w:rsidRPr="00341D88">
              <w:rPr>
                <w:b/>
                <w:bCs/>
                <w:sz w:val="18"/>
                <w:szCs w:val="18"/>
                <w:lang w:eastAsia="en-AU"/>
              </w:rPr>
              <w:t>2012-13 Budget</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151,497</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155,468</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159,832</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166,024</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166,024</w:t>
            </w: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rPr>
                <w:b/>
                <w:bCs/>
                <w:sz w:val="18"/>
                <w:szCs w:val="18"/>
                <w:lang w:eastAsia="en-AU"/>
              </w:rPr>
            </w:pPr>
            <w:r w:rsidRPr="00341D88">
              <w:rPr>
                <w:b/>
                <w:bCs/>
                <w:sz w:val="18"/>
                <w:szCs w:val="18"/>
                <w:lang w:eastAsia="en-AU"/>
              </w:rPr>
              <w:t>2013-14 Budget Policy Adjustments</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rPr>
                <w:sz w:val="18"/>
                <w:szCs w:val="18"/>
                <w:lang w:eastAsia="en-AU"/>
              </w:rPr>
            </w:pPr>
            <w:r w:rsidRPr="00341D88">
              <w:rPr>
                <w:sz w:val="18"/>
                <w:szCs w:val="18"/>
                <w:lang w:eastAsia="en-AU"/>
              </w:rPr>
              <w:t>More Police Safer Roads</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1,202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1,214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1,254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1,318 </w:t>
            </w: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rPr>
                <w:sz w:val="18"/>
                <w:szCs w:val="18"/>
                <w:lang w:eastAsia="en-AU"/>
              </w:rPr>
            </w:pPr>
            <w:r w:rsidRPr="00341D88">
              <w:rPr>
                <w:sz w:val="18"/>
                <w:szCs w:val="18"/>
                <w:lang w:eastAsia="en-AU"/>
              </w:rPr>
              <w:t>Eastman Inquiry</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354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rPr>
                <w:sz w:val="18"/>
                <w:szCs w:val="18"/>
                <w:lang w:eastAsia="en-AU"/>
              </w:rPr>
            </w:pPr>
            <w:r w:rsidRPr="00341D88">
              <w:rPr>
                <w:sz w:val="18"/>
                <w:szCs w:val="18"/>
                <w:lang w:eastAsia="en-AU"/>
              </w:rPr>
              <w:t>General Savings</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(1,499)</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(3,041)</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(4,608)</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(6,214)</w:t>
            </w: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rPr>
                <w:b/>
                <w:bCs/>
                <w:sz w:val="18"/>
                <w:szCs w:val="18"/>
                <w:lang w:eastAsia="en-AU"/>
              </w:rPr>
            </w:pPr>
            <w:r w:rsidRPr="00341D88">
              <w:rPr>
                <w:b/>
                <w:bCs/>
                <w:sz w:val="18"/>
                <w:szCs w:val="18"/>
                <w:lang w:eastAsia="en-AU"/>
              </w:rPr>
              <w:t>2013-14 Budget Technical Adjustments</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rPr>
                <w:sz w:val="18"/>
                <w:szCs w:val="18"/>
                <w:lang w:eastAsia="en-AU"/>
              </w:rPr>
            </w:pPr>
            <w:r w:rsidRPr="00341D88">
              <w:rPr>
                <w:sz w:val="18"/>
                <w:szCs w:val="18"/>
                <w:lang w:eastAsia="en-AU"/>
              </w:rPr>
              <w:t>Revised Indexation Parameters</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(3,512)</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542 </w:t>
            </w: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r>
      <w:tr w:rsidR="002025CC" w:rsidRPr="00341D88" w:rsidTr="00EB5C27">
        <w:trPr>
          <w:trHeight w:val="240"/>
        </w:trPr>
        <w:tc>
          <w:tcPr>
            <w:tcW w:w="4556" w:type="dxa"/>
            <w:tcBorders>
              <w:top w:val="nil"/>
              <w:left w:val="nil"/>
              <w:bottom w:val="single" w:sz="4" w:space="0" w:color="auto"/>
              <w:right w:val="nil"/>
            </w:tcBorders>
            <w:shd w:val="clear" w:color="auto" w:fill="auto"/>
            <w:hideMark/>
          </w:tcPr>
          <w:p w:rsidR="002025CC" w:rsidRPr="00341D88" w:rsidRDefault="002025CC" w:rsidP="00EB5C27">
            <w:pPr>
              <w:rPr>
                <w:b/>
                <w:bCs/>
                <w:sz w:val="18"/>
                <w:szCs w:val="18"/>
                <w:lang w:eastAsia="en-AU"/>
              </w:rPr>
            </w:pPr>
            <w:r w:rsidRPr="00341D88">
              <w:rPr>
                <w:b/>
                <w:bCs/>
                <w:sz w:val="18"/>
                <w:szCs w:val="18"/>
                <w:lang w:eastAsia="en-AU"/>
              </w:rPr>
              <w:t>2013-14 Budget</w:t>
            </w:r>
          </w:p>
        </w:tc>
        <w:tc>
          <w:tcPr>
            <w:tcW w:w="960" w:type="dxa"/>
            <w:tcBorders>
              <w:top w:val="nil"/>
              <w:left w:val="nil"/>
              <w:bottom w:val="single" w:sz="4" w:space="0" w:color="auto"/>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151,497</w:t>
            </w:r>
          </w:p>
        </w:tc>
        <w:tc>
          <w:tcPr>
            <w:tcW w:w="960" w:type="dxa"/>
            <w:tcBorders>
              <w:top w:val="nil"/>
              <w:left w:val="nil"/>
              <w:bottom w:val="single" w:sz="4" w:space="0" w:color="auto"/>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155,525</w:t>
            </w:r>
          </w:p>
        </w:tc>
        <w:tc>
          <w:tcPr>
            <w:tcW w:w="960" w:type="dxa"/>
            <w:tcBorders>
              <w:top w:val="nil"/>
              <w:left w:val="nil"/>
              <w:bottom w:val="single" w:sz="4" w:space="0" w:color="auto"/>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158,005</w:t>
            </w:r>
          </w:p>
        </w:tc>
        <w:tc>
          <w:tcPr>
            <w:tcW w:w="960" w:type="dxa"/>
            <w:tcBorders>
              <w:top w:val="nil"/>
              <w:left w:val="nil"/>
              <w:bottom w:val="single" w:sz="4" w:space="0" w:color="auto"/>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159,158</w:t>
            </w:r>
          </w:p>
        </w:tc>
        <w:tc>
          <w:tcPr>
            <w:tcW w:w="960" w:type="dxa"/>
            <w:tcBorders>
              <w:top w:val="nil"/>
              <w:left w:val="nil"/>
              <w:bottom w:val="single" w:sz="4" w:space="0" w:color="auto"/>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161,670</w:t>
            </w: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rPr>
                <w:b/>
                <w:bCs/>
                <w:sz w:val="18"/>
                <w:szCs w:val="18"/>
                <w:lang w:eastAsia="en-AU"/>
              </w:rPr>
            </w:pPr>
            <w:r w:rsidRPr="00341D88">
              <w:rPr>
                <w:b/>
                <w:bCs/>
                <w:sz w:val="18"/>
                <w:szCs w:val="18"/>
                <w:lang w:eastAsia="en-AU"/>
              </w:rPr>
              <w:t>Changes to Appropriation - Controlled</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r>
      <w:tr w:rsidR="002025CC" w:rsidRPr="00341D88" w:rsidTr="00EB5C27">
        <w:trPr>
          <w:trHeight w:val="240"/>
        </w:trPr>
        <w:tc>
          <w:tcPr>
            <w:tcW w:w="4556" w:type="dxa"/>
            <w:tcBorders>
              <w:top w:val="single" w:sz="4" w:space="0" w:color="auto"/>
              <w:left w:val="nil"/>
              <w:bottom w:val="nil"/>
              <w:right w:val="nil"/>
            </w:tcBorders>
            <w:shd w:val="clear" w:color="auto" w:fill="auto"/>
            <w:hideMark/>
          </w:tcPr>
          <w:p w:rsidR="002025CC" w:rsidRPr="00341D88" w:rsidRDefault="002025CC" w:rsidP="00EB5C27">
            <w:pPr>
              <w:rPr>
                <w:b/>
                <w:bCs/>
                <w:sz w:val="18"/>
                <w:szCs w:val="18"/>
                <w:lang w:eastAsia="en-AU"/>
              </w:rPr>
            </w:pPr>
            <w:r w:rsidRPr="00341D88">
              <w:rPr>
                <w:b/>
                <w:bCs/>
                <w:sz w:val="18"/>
                <w:szCs w:val="18"/>
                <w:lang w:eastAsia="en-AU"/>
              </w:rPr>
              <w:t> </w:t>
            </w:r>
          </w:p>
        </w:tc>
        <w:tc>
          <w:tcPr>
            <w:tcW w:w="960" w:type="dxa"/>
            <w:tcBorders>
              <w:top w:val="single" w:sz="4" w:space="0" w:color="auto"/>
              <w:left w:val="nil"/>
              <w:bottom w:val="nil"/>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2012-13</w:t>
            </w:r>
          </w:p>
        </w:tc>
        <w:tc>
          <w:tcPr>
            <w:tcW w:w="960" w:type="dxa"/>
            <w:tcBorders>
              <w:top w:val="single" w:sz="4" w:space="0" w:color="auto"/>
              <w:left w:val="nil"/>
              <w:bottom w:val="nil"/>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2013-14</w:t>
            </w:r>
          </w:p>
        </w:tc>
        <w:tc>
          <w:tcPr>
            <w:tcW w:w="960" w:type="dxa"/>
            <w:tcBorders>
              <w:top w:val="single" w:sz="4" w:space="0" w:color="auto"/>
              <w:left w:val="nil"/>
              <w:bottom w:val="nil"/>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2014-15</w:t>
            </w:r>
          </w:p>
        </w:tc>
        <w:tc>
          <w:tcPr>
            <w:tcW w:w="960" w:type="dxa"/>
            <w:tcBorders>
              <w:top w:val="single" w:sz="4" w:space="0" w:color="auto"/>
              <w:left w:val="nil"/>
              <w:bottom w:val="nil"/>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2015-16</w:t>
            </w:r>
          </w:p>
        </w:tc>
        <w:tc>
          <w:tcPr>
            <w:tcW w:w="960" w:type="dxa"/>
            <w:tcBorders>
              <w:top w:val="single" w:sz="4" w:space="0" w:color="auto"/>
              <w:left w:val="nil"/>
              <w:bottom w:val="nil"/>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2016-17</w:t>
            </w: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rPr>
                <w:b/>
                <w:bCs/>
                <w:sz w:val="18"/>
                <w:szCs w:val="18"/>
                <w:lang w:eastAsia="en-AU"/>
              </w:rPr>
            </w:pPr>
            <w:r w:rsidRPr="00341D88">
              <w:rPr>
                <w:b/>
                <w:bCs/>
                <w:sz w:val="18"/>
                <w:szCs w:val="18"/>
                <w:lang w:eastAsia="en-AU"/>
              </w:rPr>
              <w:t>Capital Injections</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Est. Out.</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Budget</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Estimate</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Estimate</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Estimate</w:t>
            </w:r>
          </w:p>
        </w:tc>
      </w:tr>
      <w:tr w:rsidR="002025CC" w:rsidRPr="00341D88" w:rsidTr="00EB5C27">
        <w:trPr>
          <w:trHeight w:val="240"/>
        </w:trPr>
        <w:tc>
          <w:tcPr>
            <w:tcW w:w="4556" w:type="dxa"/>
            <w:tcBorders>
              <w:top w:val="nil"/>
              <w:left w:val="nil"/>
              <w:bottom w:val="single" w:sz="4" w:space="0" w:color="auto"/>
              <w:right w:val="nil"/>
            </w:tcBorders>
            <w:shd w:val="clear" w:color="auto" w:fill="auto"/>
            <w:hideMark/>
          </w:tcPr>
          <w:p w:rsidR="002025CC" w:rsidRPr="00341D88" w:rsidRDefault="002025CC" w:rsidP="00EB5C27">
            <w:pPr>
              <w:rPr>
                <w:b/>
                <w:bCs/>
                <w:sz w:val="18"/>
                <w:szCs w:val="18"/>
                <w:lang w:eastAsia="en-AU"/>
              </w:rPr>
            </w:pPr>
            <w:r w:rsidRPr="00341D88">
              <w:rPr>
                <w:b/>
                <w:bCs/>
                <w:sz w:val="18"/>
                <w:szCs w:val="18"/>
                <w:lang w:eastAsia="en-AU"/>
              </w:rPr>
              <w:t> </w:t>
            </w:r>
          </w:p>
        </w:tc>
        <w:tc>
          <w:tcPr>
            <w:tcW w:w="960" w:type="dxa"/>
            <w:tcBorders>
              <w:top w:val="nil"/>
              <w:left w:val="nil"/>
              <w:bottom w:val="single" w:sz="4" w:space="0" w:color="auto"/>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$'000</w:t>
            </w: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rPr>
                <w:b/>
                <w:bCs/>
                <w:sz w:val="18"/>
                <w:szCs w:val="18"/>
                <w:lang w:eastAsia="en-AU"/>
              </w:rPr>
            </w:pPr>
            <w:r w:rsidRPr="00341D88">
              <w:rPr>
                <w:b/>
                <w:bCs/>
                <w:sz w:val="18"/>
                <w:szCs w:val="18"/>
                <w:lang w:eastAsia="en-AU"/>
              </w:rPr>
              <w:t>2012-13 Budget</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29,196</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21,278</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7,517</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3,293</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3,293</w:t>
            </w: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rPr>
                <w:b/>
                <w:bCs/>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b/>
                <w:bCs/>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b/>
                <w:bCs/>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b/>
                <w:bCs/>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b/>
                <w:bCs/>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b/>
                <w:bCs/>
                <w:sz w:val="18"/>
                <w:szCs w:val="18"/>
                <w:lang w:eastAsia="en-AU"/>
              </w:rPr>
            </w:pP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rPr>
                <w:b/>
                <w:bCs/>
                <w:sz w:val="18"/>
                <w:szCs w:val="18"/>
                <w:lang w:eastAsia="en-AU"/>
              </w:rPr>
            </w:pPr>
            <w:r w:rsidRPr="00341D88">
              <w:rPr>
                <w:b/>
                <w:bCs/>
                <w:sz w:val="18"/>
                <w:szCs w:val="18"/>
                <w:lang w:eastAsia="en-AU"/>
              </w:rPr>
              <w:t>FMA Section 16B Rollovers from 2011-12</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b/>
                <w:bCs/>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b/>
                <w:bCs/>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b/>
                <w:bCs/>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b/>
                <w:bCs/>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b/>
                <w:bCs/>
                <w:sz w:val="18"/>
                <w:szCs w:val="18"/>
                <w:lang w:eastAsia="en-AU"/>
              </w:rPr>
            </w:pP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 xml:space="preserve">Alexander </w:t>
            </w:r>
            <w:proofErr w:type="spellStart"/>
            <w:r w:rsidRPr="00341D88">
              <w:rPr>
                <w:sz w:val="18"/>
                <w:szCs w:val="18"/>
                <w:lang w:eastAsia="en-AU"/>
              </w:rPr>
              <w:t>Maconochie</w:t>
            </w:r>
            <w:proofErr w:type="spellEnd"/>
            <w:r w:rsidRPr="00341D88">
              <w:rPr>
                <w:sz w:val="18"/>
                <w:szCs w:val="18"/>
                <w:lang w:eastAsia="en-AU"/>
              </w:rPr>
              <w:t xml:space="preserve"> Centre Project</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2,581</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ESA</w:t>
            </w:r>
            <w:r w:rsidR="00013549" w:rsidRPr="00013549">
              <w:rPr>
                <w:sz w:val="18"/>
                <w:szCs w:val="18"/>
                <w:lang w:eastAsia="en-AU"/>
              </w:rPr>
              <w:t xml:space="preserve"> – </w:t>
            </w:r>
            <w:r w:rsidRPr="00341D88">
              <w:rPr>
                <w:sz w:val="18"/>
                <w:szCs w:val="18"/>
                <w:lang w:eastAsia="en-AU"/>
              </w:rPr>
              <w:t>Vehicle Replacement Program</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1,224</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r>
      <w:tr w:rsidR="002025CC" w:rsidRPr="00341D88" w:rsidTr="00EB5C27">
        <w:trPr>
          <w:trHeight w:val="480"/>
        </w:trPr>
        <w:tc>
          <w:tcPr>
            <w:tcW w:w="4556" w:type="dxa"/>
            <w:tcBorders>
              <w:top w:val="nil"/>
              <w:left w:val="nil"/>
              <w:bottom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ESA</w:t>
            </w:r>
            <w:r w:rsidR="00013549" w:rsidRPr="00013549">
              <w:rPr>
                <w:sz w:val="18"/>
                <w:szCs w:val="18"/>
                <w:lang w:eastAsia="en-AU"/>
              </w:rPr>
              <w:t xml:space="preserve"> – </w:t>
            </w:r>
            <w:r w:rsidRPr="00341D88">
              <w:rPr>
                <w:sz w:val="18"/>
                <w:szCs w:val="18"/>
                <w:lang w:eastAsia="en-AU"/>
              </w:rPr>
              <w:t>Station Upgrade and Relocation Program</w:t>
            </w:r>
            <w:r w:rsidR="00013549" w:rsidRPr="00013549">
              <w:rPr>
                <w:sz w:val="18"/>
                <w:szCs w:val="18"/>
                <w:lang w:eastAsia="en-AU"/>
              </w:rPr>
              <w:t xml:space="preserve"> – </w:t>
            </w:r>
            <w:r w:rsidRPr="00341D88">
              <w:rPr>
                <w:sz w:val="18"/>
                <w:szCs w:val="18"/>
                <w:lang w:eastAsia="en-AU"/>
              </w:rPr>
              <w:t>Phase 1 Due Diligence and Design</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615</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AMC Security and System Upgrades</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555</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Working with Vulnerable People Checks</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513</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ESA</w:t>
            </w:r>
            <w:r w:rsidR="00013549" w:rsidRPr="00013549">
              <w:rPr>
                <w:sz w:val="18"/>
                <w:szCs w:val="18"/>
                <w:lang w:eastAsia="en-AU"/>
              </w:rPr>
              <w:t xml:space="preserve"> – </w:t>
            </w:r>
            <w:proofErr w:type="spellStart"/>
            <w:r w:rsidRPr="00341D88">
              <w:rPr>
                <w:sz w:val="18"/>
                <w:szCs w:val="18"/>
                <w:lang w:eastAsia="en-AU"/>
              </w:rPr>
              <w:t>Centracom</w:t>
            </w:r>
            <w:proofErr w:type="spellEnd"/>
            <w:r w:rsidRPr="00341D88">
              <w:rPr>
                <w:sz w:val="18"/>
                <w:szCs w:val="18"/>
                <w:lang w:eastAsia="en-AU"/>
              </w:rPr>
              <w:t xml:space="preserve"> Replacement</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509</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Courts Security Upgrade</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371</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ESA</w:t>
            </w:r>
            <w:r w:rsidR="00013549" w:rsidRPr="00013549">
              <w:rPr>
                <w:sz w:val="18"/>
                <w:szCs w:val="18"/>
                <w:lang w:eastAsia="en-AU"/>
              </w:rPr>
              <w:t xml:space="preserve"> – </w:t>
            </w:r>
            <w:r w:rsidRPr="00341D88">
              <w:rPr>
                <w:sz w:val="18"/>
                <w:szCs w:val="18"/>
                <w:lang w:eastAsia="en-AU"/>
              </w:rPr>
              <w:t>Communication Upgrade Project</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358</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Closed Circuit Television Project Phase 3</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348</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National Disaster Resilience Program</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323</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ESA</w:t>
            </w:r>
            <w:r w:rsidR="00013549" w:rsidRPr="00013549">
              <w:rPr>
                <w:sz w:val="18"/>
                <w:szCs w:val="18"/>
                <w:lang w:eastAsia="en-AU"/>
              </w:rPr>
              <w:t xml:space="preserve"> – </w:t>
            </w:r>
            <w:r w:rsidRPr="00341D88">
              <w:rPr>
                <w:sz w:val="18"/>
                <w:szCs w:val="18"/>
                <w:lang w:eastAsia="en-AU"/>
              </w:rPr>
              <w:t>Mobile Data Solution Project</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281</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Forensic Medical Centre Equipment</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269</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r>
      <w:tr w:rsidR="002025CC" w:rsidRPr="00341D88" w:rsidTr="00EB5C27">
        <w:trPr>
          <w:trHeight w:val="720"/>
        </w:trPr>
        <w:tc>
          <w:tcPr>
            <w:tcW w:w="4556" w:type="dxa"/>
            <w:tcBorders>
              <w:top w:val="nil"/>
              <w:left w:val="nil"/>
              <w:bottom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Establishment of Clinical Simulation Environment and Replacement of High Use Critical Service Delivery Equipment (ACTAS)</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253</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r>
      <w:tr w:rsidR="002025CC" w:rsidRPr="00341D88" w:rsidTr="001A5A9B">
        <w:trPr>
          <w:trHeight w:val="480"/>
        </w:trPr>
        <w:tc>
          <w:tcPr>
            <w:tcW w:w="4556" w:type="dxa"/>
            <w:tcBorders>
              <w:top w:val="nil"/>
              <w:left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ESA</w:t>
            </w:r>
            <w:r w:rsidR="00013549" w:rsidRPr="00013549">
              <w:rPr>
                <w:sz w:val="18"/>
                <w:szCs w:val="18"/>
                <w:lang w:eastAsia="en-AU"/>
              </w:rPr>
              <w:t xml:space="preserve"> – </w:t>
            </w:r>
            <w:r w:rsidRPr="00341D88">
              <w:rPr>
                <w:sz w:val="18"/>
                <w:szCs w:val="18"/>
                <w:lang w:eastAsia="en-AU"/>
              </w:rPr>
              <w:t>Information and Communications Technology Infrastructure</w:t>
            </w:r>
          </w:p>
        </w:tc>
        <w:tc>
          <w:tcPr>
            <w:tcW w:w="960" w:type="dxa"/>
            <w:tcBorders>
              <w:top w:val="nil"/>
              <w:left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214</w:t>
            </w:r>
          </w:p>
        </w:tc>
        <w:tc>
          <w:tcPr>
            <w:tcW w:w="960" w:type="dxa"/>
            <w:tcBorders>
              <w:top w:val="nil"/>
              <w:left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r>
      <w:tr w:rsidR="002025CC" w:rsidRPr="00341D88" w:rsidTr="001A5A9B">
        <w:trPr>
          <w:trHeight w:val="240"/>
        </w:trPr>
        <w:tc>
          <w:tcPr>
            <w:tcW w:w="4556" w:type="dxa"/>
            <w:tcBorders>
              <w:top w:val="nil"/>
              <w:left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 xml:space="preserve">ESA Capital Upgrade Projects </w:t>
            </w:r>
          </w:p>
        </w:tc>
        <w:tc>
          <w:tcPr>
            <w:tcW w:w="960" w:type="dxa"/>
            <w:tcBorders>
              <w:top w:val="nil"/>
              <w:left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193</w:t>
            </w:r>
          </w:p>
        </w:tc>
        <w:tc>
          <w:tcPr>
            <w:tcW w:w="960" w:type="dxa"/>
            <w:tcBorders>
              <w:top w:val="nil"/>
              <w:left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r>
      <w:tr w:rsidR="002025CC" w:rsidRPr="00341D88" w:rsidTr="001A5A9B">
        <w:trPr>
          <w:trHeight w:val="240"/>
        </w:trPr>
        <w:tc>
          <w:tcPr>
            <w:tcW w:w="4556" w:type="dxa"/>
            <w:tcBorders>
              <w:left w:val="nil"/>
              <w:bottom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Tidbinbilla Rural Fire Service Shed</w:t>
            </w:r>
          </w:p>
        </w:tc>
        <w:tc>
          <w:tcPr>
            <w:tcW w:w="960" w:type="dxa"/>
            <w:tcBorders>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127</w:t>
            </w:r>
          </w:p>
        </w:tc>
        <w:tc>
          <w:tcPr>
            <w:tcW w:w="960" w:type="dxa"/>
            <w:tcBorders>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r>
      <w:tr w:rsidR="002025CC" w:rsidRPr="00341D88" w:rsidTr="00EB5C27">
        <w:trPr>
          <w:trHeight w:val="385"/>
        </w:trPr>
        <w:tc>
          <w:tcPr>
            <w:tcW w:w="4556" w:type="dxa"/>
            <w:tcBorders>
              <w:top w:val="nil"/>
              <w:left w:val="nil"/>
              <w:bottom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Security Industry and National Occupational Licensing Scheme Reforms</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120</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Conventional Radio Realignment</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89</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 xml:space="preserve">Courts, Corrections and Office </w:t>
            </w:r>
            <w:r w:rsidR="00484D1F" w:rsidRPr="00341D88">
              <w:rPr>
                <w:sz w:val="18"/>
                <w:szCs w:val="18"/>
                <w:lang w:eastAsia="en-AU"/>
              </w:rPr>
              <w:t>Accommodations</w:t>
            </w:r>
            <w:r w:rsidRPr="00341D88">
              <w:rPr>
                <w:sz w:val="18"/>
                <w:szCs w:val="18"/>
                <w:lang w:eastAsia="en-AU"/>
              </w:rPr>
              <w:t xml:space="preserve"> Upgrades</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84</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New Forensic Medical Centre</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79</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r>
      <w:tr w:rsidR="002025CC" w:rsidRPr="00341D88" w:rsidTr="00EB5C27">
        <w:trPr>
          <w:trHeight w:val="373"/>
        </w:trPr>
        <w:tc>
          <w:tcPr>
            <w:tcW w:w="4556" w:type="dxa"/>
            <w:tcBorders>
              <w:top w:val="nil"/>
              <w:left w:val="nil"/>
              <w:bottom w:val="nil"/>
              <w:right w:val="nil"/>
            </w:tcBorders>
            <w:shd w:val="clear" w:color="auto" w:fill="auto"/>
            <w:hideMark/>
          </w:tcPr>
          <w:p w:rsidR="002025CC" w:rsidRPr="00341D88" w:rsidRDefault="002025CC" w:rsidP="00106581">
            <w:pPr>
              <w:ind w:left="142" w:hanging="142"/>
              <w:rPr>
                <w:sz w:val="18"/>
                <w:szCs w:val="18"/>
                <w:lang w:eastAsia="en-AU"/>
              </w:rPr>
            </w:pPr>
            <w:r w:rsidRPr="00341D88">
              <w:rPr>
                <w:sz w:val="18"/>
                <w:szCs w:val="18"/>
                <w:lang w:eastAsia="en-AU"/>
              </w:rPr>
              <w:t>Plant and Equipment for Servicing of Breathing Apparatus and Hazardous Materials</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73</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r>
      <w:tr w:rsidR="002025CC" w:rsidRPr="00341D88" w:rsidTr="001A5A9B">
        <w:trPr>
          <w:trHeight w:val="350"/>
        </w:trPr>
        <w:tc>
          <w:tcPr>
            <w:tcW w:w="4556" w:type="dxa"/>
            <w:tcBorders>
              <w:top w:val="nil"/>
              <w:left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ESA</w:t>
            </w:r>
            <w:r w:rsidR="00013549" w:rsidRPr="00013549">
              <w:rPr>
                <w:sz w:val="18"/>
                <w:szCs w:val="18"/>
                <w:lang w:eastAsia="en-AU"/>
              </w:rPr>
              <w:t xml:space="preserve"> – </w:t>
            </w:r>
            <w:r w:rsidRPr="00341D88">
              <w:rPr>
                <w:sz w:val="18"/>
                <w:szCs w:val="18"/>
                <w:lang w:eastAsia="en-AU"/>
              </w:rPr>
              <w:t>Urban Search and Rescue and Chemical, Biological, Radiological and Nuclear Equipment Replacement</w:t>
            </w:r>
          </w:p>
        </w:tc>
        <w:tc>
          <w:tcPr>
            <w:tcW w:w="960" w:type="dxa"/>
            <w:tcBorders>
              <w:top w:val="nil"/>
              <w:left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65</w:t>
            </w:r>
          </w:p>
        </w:tc>
        <w:tc>
          <w:tcPr>
            <w:tcW w:w="960" w:type="dxa"/>
            <w:tcBorders>
              <w:top w:val="nil"/>
              <w:left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r>
      <w:tr w:rsidR="002025CC" w:rsidRPr="00341D88" w:rsidTr="001A5A9B">
        <w:trPr>
          <w:trHeight w:val="343"/>
        </w:trPr>
        <w:tc>
          <w:tcPr>
            <w:tcW w:w="4556" w:type="dxa"/>
            <w:tcBorders>
              <w:top w:val="nil"/>
              <w:left w:val="nil"/>
              <w:bottom w:val="single" w:sz="4" w:space="0" w:color="auto"/>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Improved Access to Law and Justice Services and Outcomes for Aboriginal and Torres Strait Island People</w:t>
            </w:r>
          </w:p>
        </w:tc>
        <w:tc>
          <w:tcPr>
            <w:tcW w:w="960" w:type="dxa"/>
            <w:tcBorders>
              <w:top w:val="nil"/>
              <w:left w:val="nil"/>
              <w:bottom w:val="single" w:sz="4" w:space="0" w:color="auto"/>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57</w:t>
            </w:r>
          </w:p>
        </w:tc>
        <w:tc>
          <w:tcPr>
            <w:tcW w:w="960" w:type="dxa"/>
            <w:tcBorders>
              <w:top w:val="nil"/>
              <w:left w:val="nil"/>
              <w:bottom w:val="single" w:sz="4" w:space="0" w:color="auto"/>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single" w:sz="4" w:space="0" w:color="auto"/>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single" w:sz="4" w:space="0" w:color="auto"/>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single" w:sz="4" w:space="0" w:color="auto"/>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r>
    </w:tbl>
    <w:p w:rsidR="001A5A9B" w:rsidRDefault="001A5A9B" w:rsidP="001A5A9B">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pPr>
      <w:proofErr w:type="gramStart"/>
      <w:r>
        <w:lastRenderedPageBreak/>
        <w:t>Changes to Appropriation cont.</w:t>
      </w:r>
      <w:proofErr w:type="gramEnd"/>
    </w:p>
    <w:tbl>
      <w:tblPr>
        <w:tblW w:w="9356" w:type="dxa"/>
        <w:tblLook w:val="04A0"/>
      </w:tblPr>
      <w:tblGrid>
        <w:gridCol w:w="4556"/>
        <w:gridCol w:w="960"/>
        <w:gridCol w:w="960"/>
        <w:gridCol w:w="960"/>
        <w:gridCol w:w="960"/>
        <w:gridCol w:w="960"/>
      </w:tblGrid>
      <w:tr w:rsidR="001A5A9B" w:rsidRPr="00341D88" w:rsidTr="00033351">
        <w:trPr>
          <w:trHeight w:val="240"/>
        </w:trPr>
        <w:tc>
          <w:tcPr>
            <w:tcW w:w="4556" w:type="dxa"/>
            <w:tcBorders>
              <w:top w:val="nil"/>
              <w:left w:val="nil"/>
              <w:bottom w:val="nil"/>
              <w:right w:val="nil"/>
            </w:tcBorders>
            <w:shd w:val="clear" w:color="auto" w:fill="auto"/>
            <w:hideMark/>
          </w:tcPr>
          <w:p w:rsidR="001A5A9B" w:rsidRPr="00341D88" w:rsidRDefault="001A5A9B" w:rsidP="00033351">
            <w:pPr>
              <w:rPr>
                <w:b/>
                <w:bCs/>
                <w:sz w:val="18"/>
                <w:szCs w:val="18"/>
                <w:lang w:eastAsia="en-AU"/>
              </w:rPr>
            </w:pPr>
            <w:r w:rsidRPr="00341D88">
              <w:rPr>
                <w:b/>
                <w:bCs/>
                <w:sz w:val="18"/>
                <w:szCs w:val="18"/>
                <w:lang w:eastAsia="en-AU"/>
              </w:rPr>
              <w:t>Changes to Appropriation - Controlled</w:t>
            </w:r>
          </w:p>
        </w:tc>
        <w:tc>
          <w:tcPr>
            <w:tcW w:w="960" w:type="dxa"/>
            <w:tcBorders>
              <w:top w:val="nil"/>
              <w:left w:val="nil"/>
              <w:bottom w:val="nil"/>
              <w:right w:val="nil"/>
            </w:tcBorders>
            <w:shd w:val="clear" w:color="auto" w:fill="auto"/>
            <w:noWrap/>
            <w:hideMark/>
          </w:tcPr>
          <w:p w:rsidR="001A5A9B" w:rsidRPr="00341D88" w:rsidRDefault="001A5A9B" w:rsidP="00033351">
            <w:pPr>
              <w:jc w:val="right"/>
              <w:rPr>
                <w:sz w:val="18"/>
                <w:szCs w:val="18"/>
                <w:lang w:eastAsia="en-AU"/>
              </w:rPr>
            </w:pPr>
          </w:p>
        </w:tc>
        <w:tc>
          <w:tcPr>
            <w:tcW w:w="960" w:type="dxa"/>
            <w:tcBorders>
              <w:top w:val="nil"/>
              <w:left w:val="nil"/>
              <w:bottom w:val="nil"/>
              <w:right w:val="nil"/>
            </w:tcBorders>
            <w:shd w:val="clear" w:color="auto" w:fill="auto"/>
            <w:noWrap/>
            <w:hideMark/>
          </w:tcPr>
          <w:p w:rsidR="001A5A9B" w:rsidRPr="00341D88" w:rsidRDefault="001A5A9B" w:rsidP="00033351">
            <w:pPr>
              <w:jc w:val="right"/>
              <w:rPr>
                <w:sz w:val="18"/>
                <w:szCs w:val="18"/>
                <w:lang w:eastAsia="en-AU"/>
              </w:rPr>
            </w:pPr>
          </w:p>
        </w:tc>
        <w:tc>
          <w:tcPr>
            <w:tcW w:w="960" w:type="dxa"/>
            <w:tcBorders>
              <w:top w:val="nil"/>
              <w:left w:val="nil"/>
              <w:bottom w:val="nil"/>
              <w:right w:val="nil"/>
            </w:tcBorders>
            <w:shd w:val="clear" w:color="auto" w:fill="auto"/>
            <w:noWrap/>
            <w:hideMark/>
          </w:tcPr>
          <w:p w:rsidR="001A5A9B" w:rsidRPr="00341D88" w:rsidRDefault="001A5A9B" w:rsidP="00033351">
            <w:pPr>
              <w:jc w:val="right"/>
              <w:rPr>
                <w:sz w:val="18"/>
                <w:szCs w:val="18"/>
                <w:lang w:eastAsia="en-AU"/>
              </w:rPr>
            </w:pPr>
          </w:p>
        </w:tc>
        <w:tc>
          <w:tcPr>
            <w:tcW w:w="960" w:type="dxa"/>
            <w:tcBorders>
              <w:top w:val="nil"/>
              <w:left w:val="nil"/>
              <w:bottom w:val="nil"/>
              <w:right w:val="nil"/>
            </w:tcBorders>
            <w:shd w:val="clear" w:color="auto" w:fill="auto"/>
            <w:noWrap/>
            <w:hideMark/>
          </w:tcPr>
          <w:p w:rsidR="001A5A9B" w:rsidRPr="00341D88" w:rsidRDefault="001A5A9B" w:rsidP="00033351">
            <w:pPr>
              <w:jc w:val="right"/>
              <w:rPr>
                <w:sz w:val="18"/>
                <w:szCs w:val="18"/>
                <w:lang w:eastAsia="en-AU"/>
              </w:rPr>
            </w:pPr>
          </w:p>
        </w:tc>
        <w:tc>
          <w:tcPr>
            <w:tcW w:w="960" w:type="dxa"/>
            <w:tcBorders>
              <w:top w:val="nil"/>
              <w:left w:val="nil"/>
              <w:bottom w:val="nil"/>
              <w:right w:val="nil"/>
            </w:tcBorders>
            <w:shd w:val="clear" w:color="auto" w:fill="auto"/>
            <w:noWrap/>
            <w:hideMark/>
          </w:tcPr>
          <w:p w:rsidR="001A5A9B" w:rsidRPr="00341D88" w:rsidRDefault="001A5A9B" w:rsidP="00033351">
            <w:pPr>
              <w:jc w:val="right"/>
              <w:rPr>
                <w:sz w:val="18"/>
                <w:szCs w:val="18"/>
                <w:lang w:eastAsia="en-AU"/>
              </w:rPr>
            </w:pPr>
          </w:p>
        </w:tc>
      </w:tr>
      <w:tr w:rsidR="001A5A9B" w:rsidRPr="00341D88" w:rsidTr="00033351">
        <w:trPr>
          <w:trHeight w:val="240"/>
        </w:trPr>
        <w:tc>
          <w:tcPr>
            <w:tcW w:w="4556" w:type="dxa"/>
            <w:tcBorders>
              <w:top w:val="single" w:sz="4" w:space="0" w:color="auto"/>
              <w:left w:val="nil"/>
              <w:bottom w:val="nil"/>
              <w:right w:val="nil"/>
            </w:tcBorders>
            <w:shd w:val="clear" w:color="auto" w:fill="auto"/>
            <w:hideMark/>
          </w:tcPr>
          <w:p w:rsidR="001A5A9B" w:rsidRPr="00341D88" w:rsidRDefault="001A5A9B" w:rsidP="00033351">
            <w:pPr>
              <w:rPr>
                <w:b/>
                <w:bCs/>
                <w:sz w:val="18"/>
                <w:szCs w:val="18"/>
                <w:lang w:eastAsia="en-AU"/>
              </w:rPr>
            </w:pPr>
            <w:r w:rsidRPr="00341D88">
              <w:rPr>
                <w:b/>
                <w:bCs/>
                <w:sz w:val="18"/>
                <w:szCs w:val="18"/>
                <w:lang w:eastAsia="en-AU"/>
              </w:rPr>
              <w:t> </w:t>
            </w:r>
          </w:p>
        </w:tc>
        <w:tc>
          <w:tcPr>
            <w:tcW w:w="960" w:type="dxa"/>
            <w:tcBorders>
              <w:top w:val="single" w:sz="4" w:space="0" w:color="auto"/>
              <w:left w:val="nil"/>
              <w:bottom w:val="nil"/>
              <w:right w:val="nil"/>
            </w:tcBorders>
            <w:shd w:val="clear" w:color="auto" w:fill="auto"/>
            <w:noWrap/>
            <w:hideMark/>
          </w:tcPr>
          <w:p w:rsidR="001A5A9B" w:rsidRPr="00341D88" w:rsidRDefault="001A5A9B" w:rsidP="00033351">
            <w:pPr>
              <w:jc w:val="right"/>
              <w:rPr>
                <w:b/>
                <w:bCs/>
                <w:sz w:val="18"/>
                <w:szCs w:val="18"/>
                <w:lang w:eastAsia="en-AU"/>
              </w:rPr>
            </w:pPr>
            <w:r w:rsidRPr="00341D88">
              <w:rPr>
                <w:b/>
                <w:bCs/>
                <w:sz w:val="18"/>
                <w:szCs w:val="18"/>
                <w:lang w:eastAsia="en-AU"/>
              </w:rPr>
              <w:t>2012-13</w:t>
            </w:r>
          </w:p>
        </w:tc>
        <w:tc>
          <w:tcPr>
            <w:tcW w:w="960" w:type="dxa"/>
            <w:tcBorders>
              <w:top w:val="single" w:sz="4" w:space="0" w:color="auto"/>
              <w:left w:val="nil"/>
              <w:bottom w:val="nil"/>
              <w:right w:val="nil"/>
            </w:tcBorders>
            <w:shd w:val="clear" w:color="auto" w:fill="auto"/>
            <w:noWrap/>
            <w:hideMark/>
          </w:tcPr>
          <w:p w:rsidR="001A5A9B" w:rsidRPr="00341D88" w:rsidRDefault="001A5A9B" w:rsidP="00033351">
            <w:pPr>
              <w:jc w:val="right"/>
              <w:rPr>
                <w:b/>
                <w:bCs/>
                <w:sz w:val="18"/>
                <w:szCs w:val="18"/>
                <w:lang w:eastAsia="en-AU"/>
              </w:rPr>
            </w:pPr>
            <w:r w:rsidRPr="00341D88">
              <w:rPr>
                <w:b/>
                <w:bCs/>
                <w:sz w:val="18"/>
                <w:szCs w:val="18"/>
                <w:lang w:eastAsia="en-AU"/>
              </w:rPr>
              <w:t>2013-14</w:t>
            </w:r>
          </w:p>
        </w:tc>
        <w:tc>
          <w:tcPr>
            <w:tcW w:w="960" w:type="dxa"/>
            <w:tcBorders>
              <w:top w:val="single" w:sz="4" w:space="0" w:color="auto"/>
              <w:left w:val="nil"/>
              <w:bottom w:val="nil"/>
              <w:right w:val="nil"/>
            </w:tcBorders>
            <w:shd w:val="clear" w:color="auto" w:fill="auto"/>
            <w:noWrap/>
            <w:hideMark/>
          </w:tcPr>
          <w:p w:rsidR="001A5A9B" w:rsidRPr="00341D88" w:rsidRDefault="001A5A9B" w:rsidP="00033351">
            <w:pPr>
              <w:jc w:val="right"/>
              <w:rPr>
                <w:b/>
                <w:bCs/>
                <w:sz w:val="18"/>
                <w:szCs w:val="18"/>
                <w:lang w:eastAsia="en-AU"/>
              </w:rPr>
            </w:pPr>
            <w:r w:rsidRPr="00341D88">
              <w:rPr>
                <w:b/>
                <w:bCs/>
                <w:sz w:val="18"/>
                <w:szCs w:val="18"/>
                <w:lang w:eastAsia="en-AU"/>
              </w:rPr>
              <w:t>2014-15</w:t>
            </w:r>
          </w:p>
        </w:tc>
        <w:tc>
          <w:tcPr>
            <w:tcW w:w="960" w:type="dxa"/>
            <w:tcBorders>
              <w:top w:val="single" w:sz="4" w:space="0" w:color="auto"/>
              <w:left w:val="nil"/>
              <w:bottom w:val="nil"/>
              <w:right w:val="nil"/>
            </w:tcBorders>
            <w:shd w:val="clear" w:color="auto" w:fill="auto"/>
            <w:noWrap/>
            <w:hideMark/>
          </w:tcPr>
          <w:p w:rsidR="001A5A9B" w:rsidRPr="00341D88" w:rsidRDefault="001A5A9B" w:rsidP="00033351">
            <w:pPr>
              <w:jc w:val="right"/>
              <w:rPr>
                <w:b/>
                <w:bCs/>
                <w:sz w:val="18"/>
                <w:szCs w:val="18"/>
                <w:lang w:eastAsia="en-AU"/>
              </w:rPr>
            </w:pPr>
            <w:r w:rsidRPr="00341D88">
              <w:rPr>
                <w:b/>
                <w:bCs/>
                <w:sz w:val="18"/>
                <w:szCs w:val="18"/>
                <w:lang w:eastAsia="en-AU"/>
              </w:rPr>
              <w:t>2015-16</w:t>
            </w:r>
          </w:p>
        </w:tc>
        <w:tc>
          <w:tcPr>
            <w:tcW w:w="960" w:type="dxa"/>
            <w:tcBorders>
              <w:top w:val="single" w:sz="4" w:space="0" w:color="auto"/>
              <w:left w:val="nil"/>
              <w:bottom w:val="nil"/>
              <w:right w:val="nil"/>
            </w:tcBorders>
            <w:shd w:val="clear" w:color="auto" w:fill="auto"/>
            <w:noWrap/>
            <w:hideMark/>
          </w:tcPr>
          <w:p w:rsidR="001A5A9B" w:rsidRPr="00341D88" w:rsidRDefault="001A5A9B" w:rsidP="00033351">
            <w:pPr>
              <w:jc w:val="right"/>
              <w:rPr>
                <w:b/>
                <w:bCs/>
                <w:sz w:val="18"/>
                <w:szCs w:val="18"/>
                <w:lang w:eastAsia="en-AU"/>
              </w:rPr>
            </w:pPr>
            <w:r w:rsidRPr="00341D88">
              <w:rPr>
                <w:b/>
                <w:bCs/>
                <w:sz w:val="18"/>
                <w:szCs w:val="18"/>
                <w:lang w:eastAsia="en-AU"/>
              </w:rPr>
              <w:t>2016-17</w:t>
            </w:r>
          </w:p>
        </w:tc>
      </w:tr>
      <w:tr w:rsidR="001A5A9B" w:rsidRPr="00341D88" w:rsidTr="00033351">
        <w:trPr>
          <w:trHeight w:val="240"/>
        </w:trPr>
        <w:tc>
          <w:tcPr>
            <w:tcW w:w="4556" w:type="dxa"/>
            <w:tcBorders>
              <w:top w:val="nil"/>
              <w:left w:val="nil"/>
              <w:bottom w:val="nil"/>
              <w:right w:val="nil"/>
            </w:tcBorders>
            <w:shd w:val="clear" w:color="auto" w:fill="auto"/>
            <w:hideMark/>
          </w:tcPr>
          <w:p w:rsidR="001A5A9B" w:rsidRPr="00341D88" w:rsidRDefault="001A5A9B" w:rsidP="00033351">
            <w:pPr>
              <w:rPr>
                <w:b/>
                <w:bCs/>
                <w:sz w:val="18"/>
                <w:szCs w:val="18"/>
                <w:lang w:eastAsia="en-AU"/>
              </w:rPr>
            </w:pPr>
            <w:r w:rsidRPr="00341D88">
              <w:rPr>
                <w:b/>
                <w:bCs/>
                <w:sz w:val="18"/>
                <w:szCs w:val="18"/>
                <w:lang w:eastAsia="en-AU"/>
              </w:rPr>
              <w:t>Capital Injections</w:t>
            </w:r>
          </w:p>
        </w:tc>
        <w:tc>
          <w:tcPr>
            <w:tcW w:w="960" w:type="dxa"/>
            <w:tcBorders>
              <w:top w:val="nil"/>
              <w:left w:val="nil"/>
              <w:bottom w:val="nil"/>
              <w:right w:val="nil"/>
            </w:tcBorders>
            <w:shd w:val="clear" w:color="auto" w:fill="auto"/>
            <w:noWrap/>
            <w:hideMark/>
          </w:tcPr>
          <w:p w:rsidR="001A5A9B" w:rsidRPr="00341D88" w:rsidRDefault="001A5A9B" w:rsidP="00033351">
            <w:pPr>
              <w:jc w:val="right"/>
              <w:rPr>
                <w:b/>
                <w:bCs/>
                <w:sz w:val="18"/>
                <w:szCs w:val="18"/>
                <w:lang w:eastAsia="en-AU"/>
              </w:rPr>
            </w:pPr>
            <w:r w:rsidRPr="00341D88">
              <w:rPr>
                <w:b/>
                <w:bCs/>
                <w:sz w:val="18"/>
                <w:szCs w:val="18"/>
                <w:lang w:eastAsia="en-AU"/>
              </w:rPr>
              <w:t>Est. Out.</w:t>
            </w:r>
          </w:p>
        </w:tc>
        <w:tc>
          <w:tcPr>
            <w:tcW w:w="960" w:type="dxa"/>
            <w:tcBorders>
              <w:top w:val="nil"/>
              <w:left w:val="nil"/>
              <w:bottom w:val="nil"/>
              <w:right w:val="nil"/>
            </w:tcBorders>
            <w:shd w:val="clear" w:color="auto" w:fill="auto"/>
            <w:noWrap/>
            <w:hideMark/>
          </w:tcPr>
          <w:p w:rsidR="001A5A9B" w:rsidRPr="00341D88" w:rsidRDefault="001A5A9B" w:rsidP="00033351">
            <w:pPr>
              <w:jc w:val="right"/>
              <w:rPr>
                <w:b/>
                <w:bCs/>
                <w:sz w:val="18"/>
                <w:szCs w:val="18"/>
                <w:lang w:eastAsia="en-AU"/>
              </w:rPr>
            </w:pPr>
            <w:r w:rsidRPr="00341D88">
              <w:rPr>
                <w:b/>
                <w:bCs/>
                <w:sz w:val="18"/>
                <w:szCs w:val="18"/>
                <w:lang w:eastAsia="en-AU"/>
              </w:rPr>
              <w:t>Budget</w:t>
            </w:r>
          </w:p>
        </w:tc>
        <w:tc>
          <w:tcPr>
            <w:tcW w:w="960" w:type="dxa"/>
            <w:tcBorders>
              <w:top w:val="nil"/>
              <w:left w:val="nil"/>
              <w:bottom w:val="nil"/>
              <w:right w:val="nil"/>
            </w:tcBorders>
            <w:shd w:val="clear" w:color="auto" w:fill="auto"/>
            <w:noWrap/>
            <w:hideMark/>
          </w:tcPr>
          <w:p w:rsidR="001A5A9B" w:rsidRPr="00341D88" w:rsidRDefault="001A5A9B" w:rsidP="00033351">
            <w:pPr>
              <w:jc w:val="right"/>
              <w:rPr>
                <w:b/>
                <w:bCs/>
                <w:sz w:val="18"/>
                <w:szCs w:val="18"/>
                <w:lang w:eastAsia="en-AU"/>
              </w:rPr>
            </w:pPr>
            <w:r w:rsidRPr="00341D88">
              <w:rPr>
                <w:b/>
                <w:bCs/>
                <w:sz w:val="18"/>
                <w:szCs w:val="18"/>
                <w:lang w:eastAsia="en-AU"/>
              </w:rPr>
              <w:t>Estimate</w:t>
            </w:r>
          </w:p>
        </w:tc>
        <w:tc>
          <w:tcPr>
            <w:tcW w:w="960" w:type="dxa"/>
            <w:tcBorders>
              <w:top w:val="nil"/>
              <w:left w:val="nil"/>
              <w:bottom w:val="nil"/>
              <w:right w:val="nil"/>
            </w:tcBorders>
            <w:shd w:val="clear" w:color="auto" w:fill="auto"/>
            <w:noWrap/>
            <w:hideMark/>
          </w:tcPr>
          <w:p w:rsidR="001A5A9B" w:rsidRPr="00341D88" w:rsidRDefault="001A5A9B" w:rsidP="00033351">
            <w:pPr>
              <w:jc w:val="right"/>
              <w:rPr>
                <w:b/>
                <w:bCs/>
                <w:sz w:val="18"/>
                <w:szCs w:val="18"/>
                <w:lang w:eastAsia="en-AU"/>
              </w:rPr>
            </w:pPr>
            <w:r w:rsidRPr="00341D88">
              <w:rPr>
                <w:b/>
                <w:bCs/>
                <w:sz w:val="18"/>
                <w:szCs w:val="18"/>
                <w:lang w:eastAsia="en-AU"/>
              </w:rPr>
              <w:t>Estimate</w:t>
            </w:r>
          </w:p>
        </w:tc>
        <w:tc>
          <w:tcPr>
            <w:tcW w:w="960" w:type="dxa"/>
            <w:tcBorders>
              <w:top w:val="nil"/>
              <w:left w:val="nil"/>
              <w:bottom w:val="nil"/>
              <w:right w:val="nil"/>
            </w:tcBorders>
            <w:shd w:val="clear" w:color="auto" w:fill="auto"/>
            <w:noWrap/>
            <w:hideMark/>
          </w:tcPr>
          <w:p w:rsidR="001A5A9B" w:rsidRPr="00341D88" w:rsidRDefault="001A5A9B" w:rsidP="00033351">
            <w:pPr>
              <w:jc w:val="right"/>
              <w:rPr>
                <w:b/>
                <w:bCs/>
                <w:sz w:val="18"/>
                <w:szCs w:val="18"/>
                <w:lang w:eastAsia="en-AU"/>
              </w:rPr>
            </w:pPr>
            <w:r w:rsidRPr="00341D88">
              <w:rPr>
                <w:b/>
                <w:bCs/>
                <w:sz w:val="18"/>
                <w:szCs w:val="18"/>
                <w:lang w:eastAsia="en-AU"/>
              </w:rPr>
              <w:t>Estimate</w:t>
            </w:r>
          </w:p>
        </w:tc>
      </w:tr>
      <w:tr w:rsidR="001A5A9B" w:rsidRPr="00341D88" w:rsidTr="00033351">
        <w:trPr>
          <w:trHeight w:val="240"/>
        </w:trPr>
        <w:tc>
          <w:tcPr>
            <w:tcW w:w="4556" w:type="dxa"/>
            <w:tcBorders>
              <w:top w:val="nil"/>
              <w:left w:val="nil"/>
              <w:bottom w:val="single" w:sz="4" w:space="0" w:color="auto"/>
              <w:right w:val="nil"/>
            </w:tcBorders>
            <w:shd w:val="clear" w:color="auto" w:fill="auto"/>
            <w:hideMark/>
          </w:tcPr>
          <w:p w:rsidR="001A5A9B" w:rsidRPr="00341D88" w:rsidRDefault="001A5A9B" w:rsidP="00033351">
            <w:pPr>
              <w:rPr>
                <w:b/>
                <w:bCs/>
                <w:sz w:val="18"/>
                <w:szCs w:val="18"/>
                <w:lang w:eastAsia="en-AU"/>
              </w:rPr>
            </w:pPr>
            <w:r w:rsidRPr="00341D88">
              <w:rPr>
                <w:b/>
                <w:bCs/>
                <w:sz w:val="18"/>
                <w:szCs w:val="18"/>
                <w:lang w:eastAsia="en-AU"/>
              </w:rPr>
              <w:t> </w:t>
            </w:r>
          </w:p>
        </w:tc>
        <w:tc>
          <w:tcPr>
            <w:tcW w:w="960" w:type="dxa"/>
            <w:tcBorders>
              <w:top w:val="nil"/>
              <w:left w:val="nil"/>
              <w:bottom w:val="single" w:sz="4" w:space="0" w:color="auto"/>
              <w:right w:val="nil"/>
            </w:tcBorders>
            <w:shd w:val="clear" w:color="auto" w:fill="auto"/>
            <w:noWrap/>
            <w:hideMark/>
          </w:tcPr>
          <w:p w:rsidR="001A5A9B" w:rsidRPr="00341D88" w:rsidRDefault="001A5A9B" w:rsidP="00033351">
            <w:pPr>
              <w:jc w:val="right"/>
              <w:rPr>
                <w:b/>
                <w:bCs/>
                <w:sz w:val="18"/>
                <w:szCs w:val="18"/>
                <w:lang w:eastAsia="en-AU"/>
              </w:rPr>
            </w:pPr>
            <w:r w:rsidRPr="00341D88">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1A5A9B" w:rsidRPr="00341D88" w:rsidRDefault="001A5A9B" w:rsidP="00033351">
            <w:pPr>
              <w:jc w:val="right"/>
              <w:rPr>
                <w:b/>
                <w:bCs/>
                <w:sz w:val="18"/>
                <w:szCs w:val="18"/>
                <w:lang w:eastAsia="en-AU"/>
              </w:rPr>
            </w:pPr>
            <w:r w:rsidRPr="00341D88">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1A5A9B" w:rsidRPr="00341D88" w:rsidRDefault="001A5A9B" w:rsidP="00033351">
            <w:pPr>
              <w:jc w:val="right"/>
              <w:rPr>
                <w:b/>
                <w:bCs/>
                <w:sz w:val="18"/>
                <w:szCs w:val="18"/>
                <w:lang w:eastAsia="en-AU"/>
              </w:rPr>
            </w:pPr>
            <w:r w:rsidRPr="00341D88">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1A5A9B" w:rsidRPr="00341D88" w:rsidRDefault="001A5A9B" w:rsidP="00033351">
            <w:pPr>
              <w:jc w:val="right"/>
              <w:rPr>
                <w:b/>
                <w:bCs/>
                <w:sz w:val="18"/>
                <w:szCs w:val="18"/>
                <w:lang w:eastAsia="en-AU"/>
              </w:rPr>
            </w:pPr>
            <w:r w:rsidRPr="00341D88">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1A5A9B" w:rsidRPr="00341D88" w:rsidRDefault="001A5A9B" w:rsidP="00033351">
            <w:pPr>
              <w:jc w:val="right"/>
              <w:rPr>
                <w:b/>
                <w:bCs/>
                <w:sz w:val="18"/>
                <w:szCs w:val="18"/>
                <w:lang w:eastAsia="en-AU"/>
              </w:rPr>
            </w:pPr>
            <w:r w:rsidRPr="00341D88">
              <w:rPr>
                <w:b/>
                <w:bCs/>
                <w:sz w:val="18"/>
                <w:szCs w:val="18"/>
                <w:lang w:eastAsia="en-AU"/>
              </w:rPr>
              <w:t>$'000</w:t>
            </w:r>
          </w:p>
        </w:tc>
      </w:tr>
      <w:tr w:rsidR="001A5A9B" w:rsidRPr="00341D88" w:rsidTr="00EB5C27">
        <w:trPr>
          <w:trHeight w:val="240"/>
        </w:trPr>
        <w:tc>
          <w:tcPr>
            <w:tcW w:w="4556" w:type="dxa"/>
            <w:tcBorders>
              <w:top w:val="nil"/>
              <w:left w:val="nil"/>
              <w:bottom w:val="nil"/>
              <w:right w:val="nil"/>
            </w:tcBorders>
            <w:shd w:val="clear" w:color="auto" w:fill="auto"/>
            <w:hideMark/>
          </w:tcPr>
          <w:p w:rsidR="001A5A9B" w:rsidRPr="00341D88" w:rsidRDefault="001A5A9B" w:rsidP="00EB5C27">
            <w:pPr>
              <w:ind w:left="142" w:hanging="142"/>
              <w:rPr>
                <w:sz w:val="18"/>
                <w:szCs w:val="18"/>
                <w:lang w:eastAsia="en-AU"/>
              </w:rPr>
            </w:pPr>
          </w:p>
        </w:tc>
        <w:tc>
          <w:tcPr>
            <w:tcW w:w="960" w:type="dxa"/>
            <w:tcBorders>
              <w:top w:val="nil"/>
              <w:left w:val="nil"/>
              <w:bottom w:val="nil"/>
              <w:right w:val="nil"/>
            </w:tcBorders>
            <w:shd w:val="clear" w:color="auto" w:fill="auto"/>
            <w:noWrap/>
            <w:hideMark/>
          </w:tcPr>
          <w:p w:rsidR="001A5A9B" w:rsidRPr="00341D88" w:rsidRDefault="001A5A9B"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1A5A9B" w:rsidRPr="00341D88" w:rsidRDefault="001A5A9B"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1A5A9B" w:rsidRPr="00341D88" w:rsidRDefault="001A5A9B"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1A5A9B" w:rsidRPr="00341D88" w:rsidRDefault="001A5A9B"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1A5A9B" w:rsidRPr="00341D88" w:rsidRDefault="001A5A9B" w:rsidP="00EB5C27">
            <w:pPr>
              <w:jc w:val="right"/>
              <w:rPr>
                <w:sz w:val="18"/>
                <w:szCs w:val="18"/>
                <w:lang w:eastAsia="en-AU"/>
              </w:rPr>
            </w:pP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ind w:left="142" w:hanging="142"/>
              <w:rPr>
                <w:sz w:val="18"/>
                <w:szCs w:val="18"/>
                <w:lang w:eastAsia="en-AU"/>
              </w:rPr>
            </w:pPr>
            <w:proofErr w:type="spellStart"/>
            <w:r w:rsidRPr="00341D88">
              <w:rPr>
                <w:sz w:val="18"/>
                <w:szCs w:val="18"/>
                <w:lang w:eastAsia="en-AU"/>
              </w:rPr>
              <w:t>Workcover</w:t>
            </w:r>
            <w:proofErr w:type="spellEnd"/>
            <w:r w:rsidRPr="00341D88">
              <w:rPr>
                <w:sz w:val="18"/>
                <w:szCs w:val="18"/>
                <w:lang w:eastAsia="en-AU"/>
              </w:rPr>
              <w:t xml:space="preserve"> Integration</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52</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Legal Practice Management System Software Upgrade</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49</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Office of Regulatory Services Integration</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43</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ESA</w:t>
            </w:r>
            <w:r w:rsidR="00013549" w:rsidRPr="00013549">
              <w:rPr>
                <w:sz w:val="18"/>
                <w:szCs w:val="18"/>
                <w:lang w:eastAsia="en-AU"/>
              </w:rPr>
              <w:t xml:space="preserve"> – </w:t>
            </w:r>
            <w:r w:rsidRPr="00341D88">
              <w:rPr>
                <w:sz w:val="18"/>
                <w:szCs w:val="18"/>
                <w:lang w:eastAsia="en-AU"/>
              </w:rPr>
              <w:t>Increased Fire Vehicle Replacement</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42</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r>
      <w:tr w:rsidR="002025CC" w:rsidRPr="00341D88" w:rsidTr="00EB5C27">
        <w:trPr>
          <w:trHeight w:val="480"/>
        </w:trPr>
        <w:tc>
          <w:tcPr>
            <w:tcW w:w="4556" w:type="dxa"/>
            <w:tcBorders>
              <w:top w:val="nil"/>
              <w:left w:val="nil"/>
              <w:bottom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ACT Electoral Services</w:t>
            </w:r>
            <w:r w:rsidR="00013549" w:rsidRPr="00013549">
              <w:rPr>
                <w:sz w:val="18"/>
                <w:szCs w:val="18"/>
                <w:lang w:eastAsia="en-AU"/>
              </w:rPr>
              <w:t xml:space="preserve"> – </w:t>
            </w:r>
            <w:r w:rsidRPr="00341D88">
              <w:rPr>
                <w:sz w:val="18"/>
                <w:szCs w:val="18"/>
                <w:lang w:eastAsia="en-AU"/>
              </w:rPr>
              <w:t>Information and Communications Technology Systems</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37</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106581">
            <w:pPr>
              <w:ind w:left="142" w:hanging="142"/>
              <w:rPr>
                <w:sz w:val="18"/>
                <w:szCs w:val="18"/>
                <w:lang w:eastAsia="en-AU"/>
              </w:rPr>
            </w:pPr>
            <w:r w:rsidRPr="00341D88">
              <w:rPr>
                <w:sz w:val="18"/>
                <w:szCs w:val="18"/>
                <w:lang w:eastAsia="en-AU"/>
              </w:rPr>
              <w:t xml:space="preserve">New </w:t>
            </w:r>
            <w:r w:rsidR="00106581">
              <w:rPr>
                <w:sz w:val="18"/>
                <w:szCs w:val="18"/>
                <w:lang w:eastAsia="en-AU"/>
              </w:rPr>
              <w:t>Court Facilities (Design and PPP Scoping)</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(129)</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 </w:t>
            </w: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rPr>
                <w:b/>
                <w:bCs/>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b/>
                <w:bCs/>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b/>
                <w:bCs/>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b/>
                <w:bCs/>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b/>
                <w:bCs/>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b/>
                <w:bCs/>
                <w:sz w:val="18"/>
                <w:szCs w:val="18"/>
                <w:lang w:eastAsia="en-AU"/>
              </w:rPr>
            </w:pP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rPr>
                <w:b/>
                <w:bCs/>
                <w:sz w:val="18"/>
                <w:szCs w:val="18"/>
                <w:lang w:eastAsia="en-AU"/>
              </w:rPr>
            </w:pPr>
            <w:r w:rsidRPr="00341D88">
              <w:rPr>
                <w:b/>
                <w:bCs/>
                <w:sz w:val="18"/>
                <w:szCs w:val="18"/>
                <w:lang w:eastAsia="en-AU"/>
              </w:rPr>
              <w:t>2013-14 Budget Policy Adjustments</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r>
      <w:tr w:rsidR="002025CC" w:rsidRPr="00341D88" w:rsidTr="00EB5C27">
        <w:trPr>
          <w:trHeight w:val="480"/>
        </w:trPr>
        <w:tc>
          <w:tcPr>
            <w:tcW w:w="4556" w:type="dxa"/>
            <w:tcBorders>
              <w:top w:val="nil"/>
              <w:left w:val="nil"/>
              <w:bottom w:val="nil"/>
              <w:right w:val="nil"/>
            </w:tcBorders>
            <w:shd w:val="clear" w:color="auto" w:fill="auto"/>
            <w:hideMark/>
          </w:tcPr>
          <w:p w:rsidR="002025CC" w:rsidRPr="00341D88" w:rsidRDefault="002025CC" w:rsidP="00771A11">
            <w:pPr>
              <w:ind w:left="142" w:hanging="142"/>
              <w:rPr>
                <w:sz w:val="18"/>
                <w:szCs w:val="18"/>
                <w:lang w:eastAsia="en-AU"/>
              </w:rPr>
            </w:pPr>
            <w:r w:rsidRPr="00341D88">
              <w:rPr>
                <w:sz w:val="18"/>
                <w:szCs w:val="18"/>
                <w:lang w:eastAsia="en-AU"/>
              </w:rPr>
              <w:t>ESA Station Upgrade and Relocation</w:t>
            </w:r>
            <w:r w:rsidR="00013549" w:rsidRPr="00013549">
              <w:rPr>
                <w:sz w:val="18"/>
                <w:szCs w:val="18"/>
                <w:lang w:eastAsia="en-AU"/>
              </w:rPr>
              <w:t xml:space="preserve"> – </w:t>
            </w:r>
            <w:r w:rsidRPr="00341D88">
              <w:rPr>
                <w:sz w:val="18"/>
                <w:szCs w:val="18"/>
                <w:lang w:eastAsia="en-AU"/>
              </w:rPr>
              <w:t>South Tuggeranong Station</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7,847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8,589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924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 xml:space="preserve">Alexander </w:t>
            </w:r>
            <w:proofErr w:type="spellStart"/>
            <w:r w:rsidRPr="00341D88">
              <w:rPr>
                <w:sz w:val="18"/>
                <w:szCs w:val="18"/>
                <w:lang w:eastAsia="en-AU"/>
              </w:rPr>
              <w:t>Maconochie</w:t>
            </w:r>
            <w:proofErr w:type="spellEnd"/>
            <w:r w:rsidRPr="00341D88">
              <w:rPr>
                <w:sz w:val="18"/>
                <w:szCs w:val="18"/>
                <w:lang w:eastAsia="en-AU"/>
              </w:rPr>
              <w:t xml:space="preserve"> Centre Additional </w:t>
            </w:r>
            <w:r w:rsidR="00484D1F" w:rsidRPr="00341D88">
              <w:rPr>
                <w:sz w:val="18"/>
                <w:szCs w:val="18"/>
                <w:lang w:eastAsia="en-AU"/>
              </w:rPr>
              <w:t>Facilities</w:t>
            </w:r>
            <w:r w:rsidRPr="00341D88">
              <w:rPr>
                <w:sz w:val="18"/>
                <w:szCs w:val="18"/>
                <w:lang w:eastAsia="en-AU"/>
              </w:rPr>
              <w:t xml:space="preserve"> (Design)</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3,000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Traffic Cameras Replacement</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1,555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ACT Legislation Register</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515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rPr>
                <w:b/>
                <w:bCs/>
                <w:sz w:val="18"/>
                <w:szCs w:val="18"/>
                <w:lang w:eastAsia="en-AU"/>
              </w:rPr>
            </w:pPr>
            <w:r w:rsidRPr="00341D88">
              <w:rPr>
                <w:b/>
                <w:bCs/>
                <w:sz w:val="18"/>
                <w:szCs w:val="18"/>
                <w:lang w:eastAsia="en-AU"/>
              </w:rPr>
              <w:t>2013-14 Budget Technical Adjustments</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9843AD" w:rsidP="00EB5C27">
            <w:pPr>
              <w:ind w:left="142" w:hanging="142"/>
              <w:rPr>
                <w:sz w:val="18"/>
                <w:szCs w:val="18"/>
                <w:lang w:eastAsia="en-AU"/>
              </w:rPr>
            </w:pPr>
            <w:r>
              <w:rPr>
                <w:sz w:val="18"/>
                <w:szCs w:val="18"/>
                <w:lang w:eastAsia="en-AU"/>
              </w:rPr>
              <w:t>Revised Indexation Parameters</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29 </w:t>
            </w:r>
          </w:p>
        </w:tc>
      </w:tr>
      <w:tr w:rsidR="002025CC" w:rsidRPr="00341D88" w:rsidTr="00EB5C27">
        <w:trPr>
          <w:trHeight w:val="480"/>
        </w:trPr>
        <w:tc>
          <w:tcPr>
            <w:tcW w:w="4556" w:type="dxa"/>
            <w:tcBorders>
              <w:top w:val="nil"/>
              <w:left w:val="nil"/>
              <w:bottom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Revised Indexation Parameters</w:t>
            </w:r>
            <w:r w:rsidR="00013549" w:rsidRPr="00013549">
              <w:rPr>
                <w:sz w:val="18"/>
                <w:szCs w:val="18"/>
                <w:lang w:eastAsia="en-AU"/>
              </w:rPr>
              <w:t xml:space="preserve"> – </w:t>
            </w:r>
            <w:r w:rsidRPr="00341D88">
              <w:rPr>
                <w:sz w:val="18"/>
                <w:szCs w:val="18"/>
                <w:lang w:eastAsia="en-AU"/>
              </w:rPr>
              <w:t>ESA</w:t>
            </w:r>
            <w:r w:rsidR="00013549" w:rsidRPr="00013549">
              <w:rPr>
                <w:sz w:val="18"/>
                <w:szCs w:val="18"/>
                <w:lang w:eastAsia="en-AU"/>
              </w:rPr>
              <w:t xml:space="preserve"> – </w:t>
            </w:r>
            <w:r w:rsidRPr="00341D88">
              <w:rPr>
                <w:sz w:val="18"/>
                <w:szCs w:val="18"/>
                <w:lang w:eastAsia="en-AU"/>
              </w:rPr>
              <w:t>Vehicle Replacement Program</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129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176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224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273 </w:t>
            </w: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Treasurer's Advance</w:t>
            </w:r>
            <w:r w:rsidR="00013549" w:rsidRPr="00013549">
              <w:rPr>
                <w:sz w:val="18"/>
                <w:szCs w:val="18"/>
                <w:lang w:eastAsia="en-AU"/>
              </w:rPr>
              <w:t xml:space="preserve"> – </w:t>
            </w:r>
            <w:r w:rsidRPr="00341D88">
              <w:rPr>
                <w:sz w:val="18"/>
                <w:szCs w:val="18"/>
                <w:lang w:eastAsia="en-AU"/>
              </w:rPr>
              <w:t>Eastman Inquiry</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149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Transfer - New Court Facilities (Design and PPP Scoping)</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(750)</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r>
      <w:tr w:rsidR="002025CC" w:rsidRPr="00341D88" w:rsidTr="00EB5C27">
        <w:trPr>
          <w:trHeight w:val="480"/>
        </w:trPr>
        <w:tc>
          <w:tcPr>
            <w:tcW w:w="4556" w:type="dxa"/>
            <w:tcBorders>
              <w:top w:val="nil"/>
              <w:left w:val="nil"/>
              <w:bottom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Revised Funding Profile</w:t>
            </w:r>
            <w:r w:rsidR="00013549" w:rsidRPr="00013549">
              <w:rPr>
                <w:sz w:val="18"/>
                <w:szCs w:val="18"/>
                <w:lang w:eastAsia="en-AU"/>
              </w:rPr>
              <w:t xml:space="preserve"> – </w:t>
            </w:r>
            <w:r w:rsidRPr="00341D88">
              <w:rPr>
                <w:sz w:val="18"/>
                <w:szCs w:val="18"/>
                <w:lang w:eastAsia="en-AU"/>
              </w:rPr>
              <w:t>Replacement of the Courts and Tribunal Case Management System</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1,325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(1,325)</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Revised Funding Profile</w:t>
            </w:r>
            <w:r w:rsidR="00013549" w:rsidRPr="00013549">
              <w:rPr>
                <w:sz w:val="18"/>
                <w:szCs w:val="18"/>
                <w:lang w:eastAsia="en-AU"/>
              </w:rPr>
              <w:t xml:space="preserve"> – </w:t>
            </w:r>
            <w:r w:rsidRPr="00341D88">
              <w:rPr>
                <w:sz w:val="18"/>
                <w:szCs w:val="18"/>
                <w:lang w:eastAsia="en-AU"/>
              </w:rPr>
              <w:t xml:space="preserve">ESA </w:t>
            </w:r>
            <w:proofErr w:type="spellStart"/>
            <w:r w:rsidRPr="00341D88">
              <w:rPr>
                <w:sz w:val="18"/>
                <w:szCs w:val="18"/>
                <w:lang w:eastAsia="en-AU"/>
              </w:rPr>
              <w:t>Centracom</w:t>
            </w:r>
            <w:proofErr w:type="spellEnd"/>
            <w:r w:rsidRPr="00341D88">
              <w:rPr>
                <w:sz w:val="18"/>
                <w:szCs w:val="18"/>
                <w:lang w:eastAsia="en-AU"/>
              </w:rPr>
              <w:t xml:space="preserve"> Replacement</w:t>
            </w:r>
          </w:p>
        </w:tc>
        <w:tc>
          <w:tcPr>
            <w:tcW w:w="960" w:type="dxa"/>
            <w:tcBorders>
              <w:top w:val="nil"/>
              <w:left w:val="nil"/>
              <w:bottom w:val="nil"/>
              <w:right w:val="nil"/>
            </w:tcBorders>
            <w:shd w:val="clear" w:color="auto" w:fill="auto"/>
            <w:noWrap/>
            <w:hideMark/>
          </w:tcPr>
          <w:p w:rsidR="002025CC" w:rsidRPr="00341D88" w:rsidRDefault="002025CC" w:rsidP="009D46C0">
            <w:pPr>
              <w:jc w:val="right"/>
              <w:rPr>
                <w:sz w:val="18"/>
                <w:szCs w:val="18"/>
                <w:lang w:eastAsia="en-AU"/>
              </w:rPr>
            </w:pPr>
            <w:r w:rsidRPr="00341D88">
              <w:rPr>
                <w:sz w:val="18"/>
                <w:szCs w:val="18"/>
                <w:lang w:eastAsia="en-AU"/>
              </w:rPr>
              <w:t>(</w:t>
            </w:r>
            <w:r w:rsidR="009D46C0">
              <w:rPr>
                <w:sz w:val="18"/>
                <w:szCs w:val="18"/>
                <w:lang w:eastAsia="en-AU"/>
              </w:rPr>
              <w:t>593</w:t>
            </w:r>
            <w:r w:rsidRPr="00341D88">
              <w:rPr>
                <w:sz w:val="18"/>
                <w:szCs w:val="18"/>
                <w:lang w:eastAsia="en-AU"/>
              </w:rPr>
              <w:t>)</w:t>
            </w:r>
          </w:p>
        </w:tc>
        <w:tc>
          <w:tcPr>
            <w:tcW w:w="960" w:type="dxa"/>
            <w:tcBorders>
              <w:top w:val="nil"/>
              <w:left w:val="nil"/>
              <w:bottom w:val="nil"/>
              <w:right w:val="nil"/>
            </w:tcBorders>
            <w:shd w:val="clear" w:color="auto" w:fill="auto"/>
            <w:noWrap/>
            <w:hideMark/>
          </w:tcPr>
          <w:p w:rsidR="002025CC" w:rsidRPr="00341D88" w:rsidRDefault="009D46C0" w:rsidP="00EB5C27">
            <w:pPr>
              <w:jc w:val="right"/>
              <w:rPr>
                <w:sz w:val="18"/>
                <w:szCs w:val="18"/>
                <w:lang w:eastAsia="en-AU"/>
              </w:rPr>
            </w:pPr>
            <w:r>
              <w:rPr>
                <w:sz w:val="18"/>
                <w:szCs w:val="18"/>
                <w:lang w:eastAsia="en-AU"/>
              </w:rPr>
              <w:t>593</w:t>
            </w:r>
            <w:r w:rsidR="002025CC"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r>
      <w:tr w:rsidR="002025CC" w:rsidRPr="00341D88" w:rsidTr="00EB5C27">
        <w:trPr>
          <w:trHeight w:val="480"/>
        </w:trPr>
        <w:tc>
          <w:tcPr>
            <w:tcW w:w="4556" w:type="dxa"/>
            <w:tcBorders>
              <w:top w:val="nil"/>
              <w:left w:val="nil"/>
              <w:bottom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Revised Funding Profile</w:t>
            </w:r>
            <w:r w:rsidR="00FA4ECF">
              <w:rPr>
                <w:sz w:val="18"/>
                <w:szCs w:val="18"/>
                <w:lang w:eastAsia="en-AU"/>
              </w:rPr>
              <w:t xml:space="preserve"> ACT Electoral Services</w:t>
            </w:r>
            <w:r w:rsidR="00013549" w:rsidRPr="00013549">
              <w:rPr>
                <w:sz w:val="18"/>
                <w:szCs w:val="18"/>
                <w:lang w:eastAsia="en-AU"/>
              </w:rPr>
              <w:t xml:space="preserve"> – </w:t>
            </w:r>
            <w:r w:rsidRPr="00341D88">
              <w:rPr>
                <w:sz w:val="18"/>
                <w:szCs w:val="18"/>
                <w:lang w:eastAsia="en-AU"/>
              </w:rPr>
              <w:t>Information and Communications Technology Systems</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(69)</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69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r>
      <w:tr w:rsidR="002025CC" w:rsidRPr="00341D88" w:rsidTr="00EB5C27">
        <w:trPr>
          <w:trHeight w:val="480"/>
        </w:trPr>
        <w:tc>
          <w:tcPr>
            <w:tcW w:w="4556" w:type="dxa"/>
            <w:tcBorders>
              <w:top w:val="nil"/>
              <w:left w:val="nil"/>
              <w:bottom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Revised Funding Profile</w:t>
            </w:r>
            <w:r w:rsidR="00013549" w:rsidRPr="00013549">
              <w:rPr>
                <w:sz w:val="18"/>
                <w:szCs w:val="18"/>
                <w:lang w:eastAsia="en-AU"/>
              </w:rPr>
              <w:t xml:space="preserve"> – </w:t>
            </w:r>
            <w:r w:rsidRPr="00341D88">
              <w:rPr>
                <w:sz w:val="18"/>
                <w:szCs w:val="18"/>
                <w:lang w:eastAsia="en-AU"/>
              </w:rPr>
              <w:t>Legal Practice Management System Software</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(85)</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85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Revised Funding Profile</w:t>
            </w:r>
            <w:r w:rsidR="00013549" w:rsidRPr="00013549">
              <w:rPr>
                <w:sz w:val="18"/>
                <w:szCs w:val="18"/>
                <w:lang w:eastAsia="en-AU"/>
              </w:rPr>
              <w:t xml:space="preserve"> – </w:t>
            </w:r>
            <w:r w:rsidRPr="00341D88">
              <w:rPr>
                <w:sz w:val="18"/>
                <w:szCs w:val="18"/>
                <w:lang w:eastAsia="en-AU"/>
              </w:rPr>
              <w:t>AMC Crisis Support Unit Upgrade</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(100)</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100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r>
      <w:tr w:rsidR="002025CC" w:rsidRPr="00341D88" w:rsidTr="00EB5C27">
        <w:trPr>
          <w:trHeight w:val="240"/>
        </w:trPr>
        <w:tc>
          <w:tcPr>
            <w:tcW w:w="4556" w:type="dxa"/>
            <w:tcBorders>
              <w:top w:val="nil"/>
              <w:left w:val="nil"/>
              <w:bottom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Revised Funding Profile</w:t>
            </w:r>
            <w:r w:rsidR="00013549" w:rsidRPr="00013549">
              <w:rPr>
                <w:sz w:val="18"/>
                <w:szCs w:val="18"/>
                <w:lang w:eastAsia="en-AU"/>
              </w:rPr>
              <w:t xml:space="preserve"> – </w:t>
            </w:r>
            <w:r w:rsidRPr="00341D88">
              <w:rPr>
                <w:sz w:val="18"/>
                <w:szCs w:val="18"/>
                <w:lang w:eastAsia="en-AU"/>
              </w:rPr>
              <w:t>ACT Sentencing Database</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(243)</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243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r>
      <w:tr w:rsidR="002025CC" w:rsidRPr="00341D88" w:rsidTr="00EB5C27">
        <w:trPr>
          <w:trHeight w:val="465"/>
        </w:trPr>
        <w:tc>
          <w:tcPr>
            <w:tcW w:w="4556" w:type="dxa"/>
            <w:tcBorders>
              <w:top w:val="nil"/>
              <w:left w:val="nil"/>
              <w:bottom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Revised Funding Profile</w:t>
            </w:r>
            <w:r w:rsidR="00013549" w:rsidRPr="00013549">
              <w:rPr>
                <w:sz w:val="18"/>
                <w:szCs w:val="18"/>
                <w:lang w:eastAsia="en-AU"/>
              </w:rPr>
              <w:t xml:space="preserve"> – </w:t>
            </w:r>
            <w:r w:rsidRPr="00341D88">
              <w:rPr>
                <w:sz w:val="18"/>
                <w:szCs w:val="18"/>
                <w:lang w:eastAsia="en-AU"/>
              </w:rPr>
              <w:t xml:space="preserve">ESA Station Upgrade and Relocation - Phase 2 Due </w:t>
            </w:r>
            <w:proofErr w:type="spellStart"/>
            <w:r w:rsidRPr="00341D88">
              <w:rPr>
                <w:sz w:val="18"/>
                <w:szCs w:val="18"/>
                <w:lang w:eastAsia="en-AU"/>
              </w:rPr>
              <w:t>Dilligence</w:t>
            </w:r>
            <w:proofErr w:type="spellEnd"/>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(409)</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409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r>
      <w:tr w:rsidR="002025CC" w:rsidRPr="00341D88" w:rsidTr="001A5A9B">
        <w:trPr>
          <w:trHeight w:val="240"/>
        </w:trPr>
        <w:tc>
          <w:tcPr>
            <w:tcW w:w="4556" w:type="dxa"/>
            <w:tcBorders>
              <w:top w:val="nil"/>
              <w:left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Revised Funding Profile</w:t>
            </w:r>
            <w:r w:rsidR="00013549" w:rsidRPr="00013549">
              <w:rPr>
                <w:sz w:val="18"/>
                <w:szCs w:val="18"/>
                <w:lang w:eastAsia="en-AU"/>
              </w:rPr>
              <w:t xml:space="preserve"> – </w:t>
            </w:r>
            <w:r w:rsidRPr="00341D88">
              <w:rPr>
                <w:sz w:val="18"/>
                <w:szCs w:val="18"/>
                <w:lang w:eastAsia="en-AU"/>
              </w:rPr>
              <w:t>ESA Vehicle Replacement Program</w:t>
            </w:r>
          </w:p>
        </w:tc>
        <w:tc>
          <w:tcPr>
            <w:tcW w:w="960" w:type="dxa"/>
            <w:tcBorders>
              <w:top w:val="nil"/>
              <w:left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(465)</w:t>
            </w:r>
          </w:p>
        </w:tc>
        <w:tc>
          <w:tcPr>
            <w:tcW w:w="960" w:type="dxa"/>
            <w:tcBorders>
              <w:top w:val="nil"/>
              <w:left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465 </w:t>
            </w:r>
          </w:p>
        </w:tc>
        <w:tc>
          <w:tcPr>
            <w:tcW w:w="960" w:type="dxa"/>
            <w:tcBorders>
              <w:top w:val="nil"/>
              <w:left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r>
      <w:tr w:rsidR="002025CC" w:rsidRPr="00341D88" w:rsidTr="001A5A9B">
        <w:trPr>
          <w:trHeight w:val="240"/>
        </w:trPr>
        <w:tc>
          <w:tcPr>
            <w:tcW w:w="4556" w:type="dxa"/>
            <w:tcBorders>
              <w:top w:val="nil"/>
              <w:left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Revised Funding Profile</w:t>
            </w:r>
            <w:r w:rsidR="00013549" w:rsidRPr="00013549">
              <w:rPr>
                <w:sz w:val="18"/>
                <w:szCs w:val="18"/>
                <w:lang w:eastAsia="en-AU"/>
              </w:rPr>
              <w:t xml:space="preserve"> – </w:t>
            </w:r>
            <w:r w:rsidRPr="00341D88">
              <w:rPr>
                <w:sz w:val="18"/>
                <w:szCs w:val="18"/>
                <w:lang w:eastAsia="en-AU"/>
              </w:rPr>
              <w:t>AMC Security and System Upgrades</w:t>
            </w:r>
          </w:p>
        </w:tc>
        <w:tc>
          <w:tcPr>
            <w:tcW w:w="960" w:type="dxa"/>
            <w:tcBorders>
              <w:top w:val="nil"/>
              <w:left w:val="nil"/>
              <w:right w:val="nil"/>
            </w:tcBorders>
            <w:shd w:val="clear" w:color="auto" w:fill="auto"/>
            <w:noWrap/>
            <w:hideMark/>
          </w:tcPr>
          <w:p w:rsidR="002025CC" w:rsidRPr="00341D88" w:rsidRDefault="008C0A4F" w:rsidP="00EB5C27">
            <w:pPr>
              <w:jc w:val="right"/>
              <w:rPr>
                <w:sz w:val="18"/>
                <w:szCs w:val="18"/>
                <w:lang w:eastAsia="en-AU"/>
              </w:rPr>
            </w:pPr>
            <w:r>
              <w:rPr>
                <w:sz w:val="18"/>
                <w:szCs w:val="18"/>
                <w:lang w:eastAsia="en-AU"/>
              </w:rPr>
              <w:t>(929</w:t>
            </w:r>
            <w:r w:rsidR="002025CC" w:rsidRPr="00341D88">
              <w:rPr>
                <w:sz w:val="18"/>
                <w:szCs w:val="18"/>
                <w:lang w:eastAsia="en-AU"/>
              </w:rPr>
              <w:t>)</w:t>
            </w:r>
          </w:p>
        </w:tc>
        <w:tc>
          <w:tcPr>
            <w:tcW w:w="960" w:type="dxa"/>
            <w:tcBorders>
              <w:top w:val="nil"/>
              <w:left w:val="nil"/>
              <w:right w:val="nil"/>
            </w:tcBorders>
            <w:shd w:val="clear" w:color="auto" w:fill="auto"/>
            <w:noWrap/>
            <w:hideMark/>
          </w:tcPr>
          <w:p w:rsidR="002025CC" w:rsidRPr="00341D88" w:rsidRDefault="008C0A4F" w:rsidP="00EB5C27">
            <w:pPr>
              <w:jc w:val="right"/>
              <w:rPr>
                <w:sz w:val="18"/>
                <w:szCs w:val="18"/>
                <w:lang w:eastAsia="en-AU"/>
              </w:rPr>
            </w:pPr>
            <w:r>
              <w:rPr>
                <w:sz w:val="18"/>
                <w:szCs w:val="18"/>
                <w:lang w:eastAsia="en-AU"/>
              </w:rPr>
              <w:t>929</w:t>
            </w:r>
            <w:r w:rsidR="002025CC" w:rsidRPr="00341D88">
              <w:rPr>
                <w:sz w:val="18"/>
                <w:szCs w:val="18"/>
                <w:lang w:eastAsia="en-AU"/>
              </w:rPr>
              <w:t xml:space="preserve"> </w:t>
            </w:r>
          </w:p>
        </w:tc>
        <w:tc>
          <w:tcPr>
            <w:tcW w:w="960" w:type="dxa"/>
            <w:tcBorders>
              <w:top w:val="nil"/>
              <w:left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r>
      <w:tr w:rsidR="002025CC" w:rsidRPr="00341D88" w:rsidTr="001A5A9B">
        <w:trPr>
          <w:trHeight w:val="480"/>
        </w:trPr>
        <w:tc>
          <w:tcPr>
            <w:tcW w:w="4556" w:type="dxa"/>
            <w:tcBorders>
              <w:left w:val="nil"/>
              <w:bottom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Revised Funding Profile</w:t>
            </w:r>
            <w:r w:rsidR="00013549" w:rsidRPr="00013549">
              <w:rPr>
                <w:sz w:val="18"/>
                <w:szCs w:val="18"/>
                <w:lang w:eastAsia="en-AU"/>
              </w:rPr>
              <w:t xml:space="preserve"> – </w:t>
            </w:r>
            <w:r w:rsidRPr="00341D88">
              <w:rPr>
                <w:sz w:val="18"/>
                <w:szCs w:val="18"/>
                <w:lang w:eastAsia="en-AU"/>
              </w:rPr>
              <w:t>Working with Vulnerable People Checks</w:t>
            </w:r>
          </w:p>
        </w:tc>
        <w:tc>
          <w:tcPr>
            <w:tcW w:w="960" w:type="dxa"/>
            <w:tcBorders>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(1,135)</w:t>
            </w:r>
          </w:p>
        </w:tc>
        <w:tc>
          <w:tcPr>
            <w:tcW w:w="960" w:type="dxa"/>
            <w:tcBorders>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240 </w:t>
            </w:r>
          </w:p>
        </w:tc>
        <w:tc>
          <w:tcPr>
            <w:tcW w:w="960" w:type="dxa"/>
            <w:tcBorders>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240 </w:t>
            </w:r>
          </w:p>
        </w:tc>
        <w:tc>
          <w:tcPr>
            <w:tcW w:w="960" w:type="dxa"/>
            <w:tcBorders>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655 </w:t>
            </w:r>
          </w:p>
        </w:tc>
        <w:tc>
          <w:tcPr>
            <w:tcW w:w="960" w:type="dxa"/>
            <w:tcBorders>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r>
      <w:tr w:rsidR="002025CC" w:rsidRPr="00341D88" w:rsidTr="00EB5C27">
        <w:trPr>
          <w:trHeight w:val="255"/>
        </w:trPr>
        <w:tc>
          <w:tcPr>
            <w:tcW w:w="4556" w:type="dxa"/>
            <w:tcBorders>
              <w:top w:val="nil"/>
              <w:left w:val="nil"/>
              <w:bottom w:val="nil"/>
              <w:right w:val="nil"/>
            </w:tcBorders>
            <w:shd w:val="clear" w:color="auto" w:fill="auto"/>
            <w:hideMark/>
          </w:tcPr>
          <w:p w:rsidR="002025CC" w:rsidRPr="00341D88" w:rsidRDefault="002025CC" w:rsidP="007155DD">
            <w:pPr>
              <w:ind w:left="142" w:hanging="142"/>
              <w:rPr>
                <w:sz w:val="18"/>
                <w:szCs w:val="18"/>
                <w:lang w:eastAsia="en-AU"/>
              </w:rPr>
            </w:pPr>
            <w:r w:rsidRPr="00341D88">
              <w:rPr>
                <w:sz w:val="18"/>
                <w:szCs w:val="18"/>
                <w:lang w:eastAsia="en-AU"/>
              </w:rPr>
              <w:t>Revised Funding Profile</w:t>
            </w:r>
            <w:r w:rsidR="00013549" w:rsidRPr="00013549">
              <w:rPr>
                <w:sz w:val="18"/>
                <w:szCs w:val="18"/>
                <w:lang w:eastAsia="en-AU"/>
              </w:rPr>
              <w:t xml:space="preserve"> – </w:t>
            </w:r>
            <w:r w:rsidR="007155DD">
              <w:rPr>
                <w:sz w:val="18"/>
                <w:szCs w:val="18"/>
                <w:lang w:eastAsia="en-AU"/>
              </w:rPr>
              <w:t>New Court Facilities (Design and PPP Scoping)</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(1,400)</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1,400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r>
      <w:tr w:rsidR="002025CC" w:rsidRPr="00341D88" w:rsidTr="00EB5C27">
        <w:trPr>
          <w:trHeight w:val="480"/>
        </w:trPr>
        <w:tc>
          <w:tcPr>
            <w:tcW w:w="4556" w:type="dxa"/>
            <w:tcBorders>
              <w:top w:val="nil"/>
              <w:left w:val="nil"/>
              <w:bottom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Revised Funding Profile</w:t>
            </w:r>
            <w:r w:rsidR="00013549" w:rsidRPr="00013549">
              <w:rPr>
                <w:sz w:val="18"/>
                <w:szCs w:val="18"/>
                <w:lang w:eastAsia="en-AU"/>
              </w:rPr>
              <w:t xml:space="preserve"> – </w:t>
            </w:r>
            <w:r w:rsidRPr="00341D88">
              <w:rPr>
                <w:sz w:val="18"/>
                <w:szCs w:val="18"/>
                <w:lang w:eastAsia="en-AU"/>
              </w:rPr>
              <w:t>ESA Station Upgrade and Relocation Phase 1 Due Diligence and Forward Design</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(1,450)</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1,450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r>
      <w:tr w:rsidR="002025CC" w:rsidRPr="00341D88" w:rsidTr="00EB5C27">
        <w:trPr>
          <w:trHeight w:val="240"/>
        </w:trPr>
        <w:tc>
          <w:tcPr>
            <w:tcW w:w="4556" w:type="dxa"/>
            <w:tcBorders>
              <w:top w:val="nil"/>
              <w:left w:val="nil"/>
              <w:right w:val="nil"/>
            </w:tcBorders>
            <w:shd w:val="clear" w:color="auto" w:fill="auto"/>
            <w:hideMark/>
          </w:tcPr>
          <w:p w:rsidR="002025CC" w:rsidRPr="00341D88" w:rsidRDefault="002025CC" w:rsidP="00EB5C27">
            <w:pPr>
              <w:ind w:left="142" w:hanging="142"/>
              <w:rPr>
                <w:sz w:val="18"/>
                <w:szCs w:val="18"/>
                <w:lang w:eastAsia="en-AU"/>
              </w:rPr>
            </w:pPr>
            <w:r w:rsidRPr="00341D88">
              <w:rPr>
                <w:sz w:val="18"/>
                <w:szCs w:val="18"/>
                <w:lang w:eastAsia="en-AU"/>
              </w:rPr>
              <w:t>Revised Funding Profile</w:t>
            </w:r>
            <w:r w:rsidR="00013549" w:rsidRPr="00013549">
              <w:rPr>
                <w:sz w:val="18"/>
                <w:szCs w:val="18"/>
                <w:lang w:eastAsia="en-AU"/>
              </w:rPr>
              <w:t xml:space="preserve"> – </w:t>
            </w:r>
            <w:r w:rsidRPr="00341D88">
              <w:rPr>
                <w:sz w:val="18"/>
                <w:szCs w:val="18"/>
                <w:lang w:eastAsia="en-AU"/>
              </w:rPr>
              <w:t xml:space="preserve">Alexander </w:t>
            </w:r>
            <w:proofErr w:type="spellStart"/>
            <w:r w:rsidRPr="00341D88">
              <w:rPr>
                <w:sz w:val="18"/>
                <w:szCs w:val="18"/>
                <w:lang w:eastAsia="en-AU"/>
              </w:rPr>
              <w:t>Maconochie</w:t>
            </w:r>
            <w:proofErr w:type="spellEnd"/>
            <w:r w:rsidRPr="00341D88">
              <w:rPr>
                <w:sz w:val="18"/>
                <w:szCs w:val="18"/>
                <w:lang w:eastAsia="en-AU"/>
              </w:rPr>
              <w:t xml:space="preserve"> Centre</w:t>
            </w:r>
          </w:p>
        </w:tc>
        <w:tc>
          <w:tcPr>
            <w:tcW w:w="960" w:type="dxa"/>
            <w:tcBorders>
              <w:top w:val="nil"/>
              <w:left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(2,581)</w:t>
            </w:r>
          </w:p>
        </w:tc>
        <w:tc>
          <w:tcPr>
            <w:tcW w:w="960" w:type="dxa"/>
            <w:tcBorders>
              <w:top w:val="nil"/>
              <w:left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2,581 </w:t>
            </w:r>
          </w:p>
        </w:tc>
        <w:tc>
          <w:tcPr>
            <w:tcW w:w="960" w:type="dxa"/>
            <w:tcBorders>
              <w:top w:val="nil"/>
              <w:left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c>
          <w:tcPr>
            <w:tcW w:w="960" w:type="dxa"/>
            <w:tcBorders>
              <w:top w:val="nil"/>
              <w:left w:val="nil"/>
              <w:right w:val="nil"/>
            </w:tcBorders>
            <w:shd w:val="clear" w:color="auto" w:fill="auto"/>
            <w:noWrap/>
            <w:hideMark/>
          </w:tcPr>
          <w:p w:rsidR="002025CC" w:rsidRPr="00341D88" w:rsidRDefault="002025CC" w:rsidP="00EB5C27">
            <w:pPr>
              <w:jc w:val="right"/>
              <w:rPr>
                <w:sz w:val="18"/>
                <w:szCs w:val="18"/>
                <w:lang w:eastAsia="en-AU"/>
              </w:rPr>
            </w:pPr>
            <w:r w:rsidRPr="00341D88">
              <w:rPr>
                <w:sz w:val="18"/>
                <w:szCs w:val="18"/>
                <w:lang w:eastAsia="en-AU"/>
              </w:rPr>
              <w:t xml:space="preserve">- </w:t>
            </w:r>
          </w:p>
        </w:tc>
      </w:tr>
      <w:tr w:rsidR="002025CC" w:rsidRPr="00EE46A8" w:rsidTr="00EE46A8">
        <w:trPr>
          <w:trHeight w:val="163"/>
        </w:trPr>
        <w:tc>
          <w:tcPr>
            <w:tcW w:w="4556" w:type="dxa"/>
            <w:tcBorders>
              <w:top w:val="nil"/>
              <w:left w:val="nil"/>
              <w:bottom w:val="nil"/>
              <w:right w:val="nil"/>
            </w:tcBorders>
            <w:shd w:val="clear" w:color="auto" w:fill="auto"/>
            <w:hideMark/>
          </w:tcPr>
          <w:p w:rsidR="002025CC" w:rsidRPr="00EE46A8" w:rsidRDefault="002025CC" w:rsidP="00EB5C27">
            <w:pPr>
              <w:rPr>
                <w:sz w:val="10"/>
                <w:szCs w:val="10"/>
                <w:lang w:eastAsia="en-AU"/>
              </w:rPr>
            </w:pPr>
          </w:p>
        </w:tc>
        <w:tc>
          <w:tcPr>
            <w:tcW w:w="960" w:type="dxa"/>
            <w:tcBorders>
              <w:top w:val="nil"/>
              <w:left w:val="nil"/>
              <w:bottom w:val="nil"/>
              <w:right w:val="nil"/>
            </w:tcBorders>
            <w:shd w:val="clear" w:color="auto" w:fill="auto"/>
            <w:noWrap/>
            <w:hideMark/>
          </w:tcPr>
          <w:p w:rsidR="002025CC" w:rsidRPr="00EE46A8" w:rsidRDefault="002025CC" w:rsidP="00EB5C27">
            <w:pPr>
              <w:jc w:val="right"/>
              <w:rPr>
                <w:sz w:val="10"/>
                <w:szCs w:val="10"/>
                <w:lang w:eastAsia="en-AU"/>
              </w:rPr>
            </w:pPr>
          </w:p>
        </w:tc>
        <w:tc>
          <w:tcPr>
            <w:tcW w:w="960" w:type="dxa"/>
            <w:tcBorders>
              <w:top w:val="nil"/>
              <w:left w:val="nil"/>
              <w:bottom w:val="nil"/>
              <w:right w:val="nil"/>
            </w:tcBorders>
            <w:shd w:val="clear" w:color="auto" w:fill="auto"/>
            <w:noWrap/>
            <w:hideMark/>
          </w:tcPr>
          <w:p w:rsidR="002025CC" w:rsidRPr="00EE46A8" w:rsidRDefault="002025CC" w:rsidP="00EB5C27">
            <w:pPr>
              <w:jc w:val="right"/>
              <w:rPr>
                <w:sz w:val="10"/>
                <w:szCs w:val="10"/>
                <w:lang w:eastAsia="en-AU"/>
              </w:rPr>
            </w:pPr>
          </w:p>
        </w:tc>
        <w:tc>
          <w:tcPr>
            <w:tcW w:w="960" w:type="dxa"/>
            <w:tcBorders>
              <w:top w:val="nil"/>
              <w:left w:val="nil"/>
              <w:bottom w:val="nil"/>
              <w:right w:val="nil"/>
            </w:tcBorders>
            <w:shd w:val="clear" w:color="auto" w:fill="auto"/>
            <w:noWrap/>
            <w:hideMark/>
          </w:tcPr>
          <w:p w:rsidR="002025CC" w:rsidRPr="00EE46A8" w:rsidRDefault="002025CC" w:rsidP="00EB5C27">
            <w:pPr>
              <w:jc w:val="right"/>
              <w:rPr>
                <w:sz w:val="10"/>
                <w:szCs w:val="10"/>
                <w:lang w:eastAsia="en-AU"/>
              </w:rPr>
            </w:pPr>
          </w:p>
        </w:tc>
        <w:tc>
          <w:tcPr>
            <w:tcW w:w="960" w:type="dxa"/>
            <w:tcBorders>
              <w:top w:val="nil"/>
              <w:left w:val="nil"/>
              <w:bottom w:val="nil"/>
              <w:right w:val="nil"/>
            </w:tcBorders>
            <w:shd w:val="clear" w:color="auto" w:fill="auto"/>
            <w:noWrap/>
            <w:hideMark/>
          </w:tcPr>
          <w:p w:rsidR="002025CC" w:rsidRPr="00EE46A8" w:rsidRDefault="002025CC" w:rsidP="00EB5C27">
            <w:pPr>
              <w:jc w:val="right"/>
              <w:rPr>
                <w:sz w:val="10"/>
                <w:szCs w:val="10"/>
                <w:lang w:eastAsia="en-AU"/>
              </w:rPr>
            </w:pPr>
          </w:p>
        </w:tc>
        <w:tc>
          <w:tcPr>
            <w:tcW w:w="960" w:type="dxa"/>
            <w:tcBorders>
              <w:top w:val="nil"/>
              <w:left w:val="nil"/>
              <w:bottom w:val="nil"/>
              <w:right w:val="nil"/>
            </w:tcBorders>
            <w:shd w:val="clear" w:color="auto" w:fill="auto"/>
            <w:noWrap/>
            <w:hideMark/>
          </w:tcPr>
          <w:p w:rsidR="002025CC" w:rsidRPr="00EE46A8" w:rsidRDefault="002025CC" w:rsidP="00EB5C27">
            <w:pPr>
              <w:jc w:val="right"/>
              <w:rPr>
                <w:sz w:val="10"/>
                <w:szCs w:val="10"/>
                <w:lang w:eastAsia="en-AU"/>
              </w:rPr>
            </w:pPr>
          </w:p>
        </w:tc>
      </w:tr>
      <w:tr w:rsidR="002025CC" w:rsidRPr="00341D88" w:rsidTr="00EB5C27">
        <w:trPr>
          <w:trHeight w:val="240"/>
        </w:trPr>
        <w:tc>
          <w:tcPr>
            <w:tcW w:w="4556" w:type="dxa"/>
            <w:tcBorders>
              <w:top w:val="nil"/>
              <w:left w:val="nil"/>
              <w:bottom w:val="single" w:sz="4" w:space="0" w:color="auto"/>
              <w:right w:val="nil"/>
            </w:tcBorders>
            <w:shd w:val="clear" w:color="auto" w:fill="auto"/>
            <w:hideMark/>
          </w:tcPr>
          <w:p w:rsidR="002025CC" w:rsidRPr="00341D88" w:rsidRDefault="002025CC" w:rsidP="00EB5C27">
            <w:pPr>
              <w:rPr>
                <w:b/>
                <w:bCs/>
                <w:sz w:val="18"/>
                <w:szCs w:val="18"/>
                <w:lang w:eastAsia="en-AU"/>
              </w:rPr>
            </w:pPr>
            <w:r w:rsidRPr="00341D88">
              <w:rPr>
                <w:b/>
                <w:bCs/>
                <w:sz w:val="18"/>
                <w:szCs w:val="18"/>
                <w:lang w:eastAsia="en-AU"/>
              </w:rPr>
              <w:t>2013-14 Budget</w:t>
            </w:r>
          </w:p>
        </w:tc>
        <w:tc>
          <w:tcPr>
            <w:tcW w:w="960" w:type="dxa"/>
            <w:tcBorders>
              <w:top w:val="nil"/>
              <w:left w:val="nil"/>
              <w:bottom w:val="single" w:sz="4" w:space="0" w:color="auto"/>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29,281</w:t>
            </w:r>
          </w:p>
        </w:tc>
        <w:tc>
          <w:tcPr>
            <w:tcW w:w="960" w:type="dxa"/>
            <w:tcBorders>
              <w:top w:val="nil"/>
              <w:left w:val="nil"/>
              <w:bottom w:val="single" w:sz="4" w:space="0" w:color="auto"/>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43,463</w:t>
            </w:r>
          </w:p>
        </w:tc>
        <w:tc>
          <w:tcPr>
            <w:tcW w:w="960" w:type="dxa"/>
            <w:tcBorders>
              <w:top w:val="nil"/>
              <w:left w:val="nil"/>
              <w:bottom w:val="single" w:sz="4" w:space="0" w:color="auto"/>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15,197</w:t>
            </w:r>
          </w:p>
        </w:tc>
        <w:tc>
          <w:tcPr>
            <w:tcW w:w="960" w:type="dxa"/>
            <w:tcBorders>
              <w:top w:val="nil"/>
              <w:left w:val="nil"/>
              <w:bottom w:val="single" w:sz="4" w:space="0" w:color="auto"/>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5,096</w:t>
            </w:r>
          </w:p>
        </w:tc>
        <w:tc>
          <w:tcPr>
            <w:tcW w:w="960" w:type="dxa"/>
            <w:tcBorders>
              <w:top w:val="nil"/>
              <w:left w:val="nil"/>
              <w:bottom w:val="single" w:sz="4" w:space="0" w:color="auto"/>
              <w:right w:val="nil"/>
            </w:tcBorders>
            <w:shd w:val="clear" w:color="auto" w:fill="auto"/>
            <w:noWrap/>
            <w:hideMark/>
          </w:tcPr>
          <w:p w:rsidR="002025CC" w:rsidRPr="00341D88" w:rsidRDefault="002025CC" w:rsidP="00EB5C27">
            <w:pPr>
              <w:jc w:val="right"/>
              <w:rPr>
                <w:b/>
                <w:bCs/>
                <w:sz w:val="18"/>
                <w:szCs w:val="18"/>
                <w:lang w:eastAsia="en-AU"/>
              </w:rPr>
            </w:pPr>
            <w:r w:rsidRPr="00341D88">
              <w:rPr>
                <w:b/>
                <w:bCs/>
                <w:sz w:val="18"/>
                <w:szCs w:val="18"/>
                <w:lang w:eastAsia="en-AU"/>
              </w:rPr>
              <w:t>3,595</w:t>
            </w:r>
          </w:p>
        </w:tc>
      </w:tr>
    </w:tbl>
    <w:p w:rsidR="001A5A9B" w:rsidRDefault="001A5A9B">
      <w:pPr>
        <w:rPr>
          <w:b/>
          <w:bCs/>
        </w:rPr>
      </w:pPr>
    </w:p>
    <w:p w:rsidR="001A5A9B" w:rsidRDefault="001A5A9B">
      <w:pPr>
        <w:rPr>
          <w:b/>
          <w:bCs/>
        </w:rPr>
      </w:pPr>
      <w:r>
        <w:rPr>
          <w:b/>
          <w:bCs/>
        </w:rPr>
        <w:br w:type="page"/>
      </w:r>
    </w:p>
    <w:p w:rsidR="001A5A9B" w:rsidRDefault="001A5A9B" w:rsidP="001A5A9B">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pPr>
      <w:proofErr w:type="gramStart"/>
      <w:r>
        <w:lastRenderedPageBreak/>
        <w:t>Changes to Appropriation cont.</w:t>
      </w:r>
      <w:proofErr w:type="gramEnd"/>
    </w:p>
    <w:tbl>
      <w:tblPr>
        <w:tblW w:w="9356" w:type="dxa"/>
        <w:tblLook w:val="04A0"/>
      </w:tblPr>
      <w:tblGrid>
        <w:gridCol w:w="4556"/>
        <w:gridCol w:w="960"/>
        <w:gridCol w:w="960"/>
        <w:gridCol w:w="960"/>
        <w:gridCol w:w="960"/>
        <w:gridCol w:w="960"/>
      </w:tblGrid>
      <w:tr w:rsidR="00783AC6" w:rsidRPr="00341D88" w:rsidTr="00EB5C27">
        <w:trPr>
          <w:trHeight w:val="240"/>
        </w:trPr>
        <w:tc>
          <w:tcPr>
            <w:tcW w:w="4556" w:type="dxa"/>
            <w:tcBorders>
              <w:top w:val="nil"/>
              <w:left w:val="nil"/>
              <w:bottom w:val="nil"/>
              <w:right w:val="nil"/>
            </w:tcBorders>
            <w:shd w:val="clear" w:color="auto" w:fill="auto"/>
            <w:hideMark/>
          </w:tcPr>
          <w:p w:rsidR="00783AC6" w:rsidRPr="00341D88" w:rsidRDefault="00783AC6" w:rsidP="00EB5C27">
            <w:pPr>
              <w:rPr>
                <w:b/>
                <w:bCs/>
                <w:sz w:val="18"/>
                <w:szCs w:val="18"/>
                <w:lang w:eastAsia="en-AU"/>
              </w:rPr>
            </w:pPr>
            <w:r w:rsidRPr="00341D88">
              <w:rPr>
                <w:b/>
                <w:bCs/>
                <w:sz w:val="18"/>
                <w:szCs w:val="18"/>
                <w:lang w:eastAsia="en-AU"/>
              </w:rPr>
              <w:t>Changes to Appropriation - Territorial</w:t>
            </w: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p>
        </w:tc>
      </w:tr>
      <w:tr w:rsidR="00783AC6" w:rsidRPr="00341D88" w:rsidTr="00EB5C27">
        <w:trPr>
          <w:trHeight w:val="240"/>
        </w:trPr>
        <w:tc>
          <w:tcPr>
            <w:tcW w:w="4556" w:type="dxa"/>
            <w:tcBorders>
              <w:top w:val="single" w:sz="4" w:space="0" w:color="auto"/>
              <w:left w:val="nil"/>
              <w:bottom w:val="nil"/>
              <w:right w:val="nil"/>
            </w:tcBorders>
            <w:shd w:val="clear" w:color="auto" w:fill="auto"/>
            <w:hideMark/>
          </w:tcPr>
          <w:p w:rsidR="00783AC6" w:rsidRPr="00341D88" w:rsidRDefault="00783AC6" w:rsidP="00EB5C27">
            <w:pPr>
              <w:rPr>
                <w:b/>
                <w:bCs/>
                <w:sz w:val="18"/>
                <w:szCs w:val="18"/>
                <w:lang w:eastAsia="en-AU"/>
              </w:rPr>
            </w:pPr>
            <w:r w:rsidRPr="00341D88">
              <w:rPr>
                <w:b/>
                <w:bCs/>
                <w:sz w:val="18"/>
                <w:szCs w:val="18"/>
                <w:lang w:eastAsia="en-AU"/>
              </w:rPr>
              <w:t> </w:t>
            </w:r>
          </w:p>
        </w:tc>
        <w:tc>
          <w:tcPr>
            <w:tcW w:w="960" w:type="dxa"/>
            <w:tcBorders>
              <w:top w:val="single" w:sz="4" w:space="0" w:color="auto"/>
              <w:left w:val="nil"/>
              <w:bottom w:val="nil"/>
              <w:right w:val="nil"/>
            </w:tcBorders>
            <w:shd w:val="clear" w:color="auto" w:fill="auto"/>
            <w:noWrap/>
            <w:hideMark/>
          </w:tcPr>
          <w:p w:rsidR="00783AC6" w:rsidRPr="00341D88" w:rsidRDefault="00783AC6" w:rsidP="00EB5C27">
            <w:pPr>
              <w:jc w:val="right"/>
              <w:rPr>
                <w:b/>
                <w:bCs/>
                <w:sz w:val="18"/>
                <w:szCs w:val="18"/>
                <w:lang w:eastAsia="en-AU"/>
              </w:rPr>
            </w:pPr>
            <w:r w:rsidRPr="00341D88">
              <w:rPr>
                <w:b/>
                <w:bCs/>
                <w:sz w:val="18"/>
                <w:szCs w:val="18"/>
                <w:lang w:eastAsia="en-AU"/>
              </w:rPr>
              <w:t>2012-13</w:t>
            </w:r>
          </w:p>
        </w:tc>
        <w:tc>
          <w:tcPr>
            <w:tcW w:w="960" w:type="dxa"/>
            <w:tcBorders>
              <w:top w:val="single" w:sz="4" w:space="0" w:color="auto"/>
              <w:left w:val="nil"/>
              <w:bottom w:val="nil"/>
              <w:right w:val="nil"/>
            </w:tcBorders>
            <w:shd w:val="clear" w:color="auto" w:fill="auto"/>
            <w:noWrap/>
            <w:hideMark/>
          </w:tcPr>
          <w:p w:rsidR="00783AC6" w:rsidRPr="00341D88" w:rsidRDefault="00783AC6" w:rsidP="00EB5C27">
            <w:pPr>
              <w:jc w:val="right"/>
              <w:rPr>
                <w:b/>
                <w:bCs/>
                <w:sz w:val="18"/>
                <w:szCs w:val="18"/>
                <w:lang w:eastAsia="en-AU"/>
              </w:rPr>
            </w:pPr>
            <w:r w:rsidRPr="00341D88">
              <w:rPr>
                <w:b/>
                <w:bCs/>
                <w:sz w:val="18"/>
                <w:szCs w:val="18"/>
                <w:lang w:eastAsia="en-AU"/>
              </w:rPr>
              <w:t>2013-14</w:t>
            </w:r>
          </w:p>
        </w:tc>
        <w:tc>
          <w:tcPr>
            <w:tcW w:w="960" w:type="dxa"/>
            <w:tcBorders>
              <w:top w:val="single" w:sz="4" w:space="0" w:color="auto"/>
              <w:left w:val="nil"/>
              <w:bottom w:val="nil"/>
              <w:right w:val="nil"/>
            </w:tcBorders>
            <w:shd w:val="clear" w:color="auto" w:fill="auto"/>
            <w:noWrap/>
            <w:hideMark/>
          </w:tcPr>
          <w:p w:rsidR="00783AC6" w:rsidRPr="00341D88" w:rsidRDefault="00783AC6" w:rsidP="00EB5C27">
            <w:pPr>
              <w:jc w:val="right"/>
              <w:rPr>
                <w:b/>
                <w:bCs/>
                <w:sz w:val="18"/>
                <w:szCs w:val="18"/>
                <w:lang w:eastAsia="en-AU"/>
              </w:rPr>
            </w:pPr>
            <w:r w:rsidRPr="00341D88">
              <w:rPr>
                <w:b/>
                <w:bCs/>
                <w:sz w:val="18"/>
                <w:szCs w:val="18"/>
                <w:lang w:eastAsia="en-AU"/>
              </w:rPr>
              <w:t>2014-15</w:t>
            </w:r>
          </w:p>
        </w:tc>
        <w:tc>
          <w:tcPr>
            <w:tcW w:w="960" w:type="dxa"/>
            <w:tcBorders>
              <w:top w:val="single" w:sz="4" w:space="0" w:color="auto"/>
              <w:left w:val="nil"/>
              <w:bottom w:val="nil"/>
              <w:right w:val="nil"/>
            </w:tcBorders>
            <w:shd w:val="clear" w:color="auto" w:fill="auto"/>
            <w:noWrap/>
            <w:hideMark/>
          </w:tcPr>
          <w:p w:rsidR="00783AC6" w:rsidRPr="00341D88" w:rsidRDefault="00783AC6" w:rsidP="00EB5C27">
            <w:pPr>
              <w:jc w:val="right"/>
              <w:rPr>
                <w:b/>
                <w:bCs/>
                <w:sz w:val="18"/>
                <w:szCs w:val="18"/>
                <w:lang w:eastAsia="en-AU"/>
              </w:rPr>
            </w:pPr>
            <w:r w:rsidRPr="00341D88">
              <w:rPr>
                <w:b/>
                <w:bCs/>
                <w:sz w:val="18"/>
                <w:szCs w:val="18"/>
                <w:lang w:eastAsia="en-AU"/>
              </w:rPr>
              <w:t>2015-16</w:t>
            </w:r>
          </w:p>
        </w:tc>
        <w:tc>
          <w:tcPr>
            <w:tcW w:w="960" w:type="dxa"/>
            <w:tcBorders>
              <w:top w:val="single" w:sz="4" w:space="0" w:color="auto"/>
              <w:left w:val="nil"/>
              <w:bottom w:val="nil"/>
              <w:right w:val="nil"/>
            </w:tcBorders>
            <w:shd w:val="clear" w:color="auto" w:fill="auto"/>
            <w:noWrap/>
            <w:hideMark/>
          </w:tcPr>
          <w:p w:rsidR="00783AC6" w:rsidRPr="00341D88" w:rsidRDefault="00783AC6" w:rsidP="00EB5C27">
            <w:pPr>
              <w:jc w:val="right"/>
              <w:rPr>
                <w:b/>
                <w:bCs/>
                <w:sz w:val="18"/>
                <w:szCs w:val="18"/>
                <w:lang w:eastAsia="en-AU"/>
              </w:rPr>
            </w:pPr>
            <w:r w:rsidRPr="00341D88">
              <w:rPr>
                <w:b/>
                <w:bCs/>
                <w:sz w:val="18"/>
                <w:szCs w:val="18"/>
                <w:lang w:eastAsia="en-AU"/>
              </w:rPr>
              <w:t>2016-17</w:t>
            </w:r>
          </w:p>
        </w:tc>
      </w:tr>
      <w:tr w:rsidR="00783AC6" w:rsidRPr="00341D88" w:rsidTr="00EB5C27">
        <w:trPr>
          <w:trHeight w:val="240"/>
        </w:trPr>
        <w:tc>
          <w:tcPr>
            <w:tcW w:w="4556" w:type="dxa"/>
            <w:tcBorders>
              <w:top w:val="nil"/>
              <w:left w:val="nil"/>
              <w:bottom w:val="nil"/>
              <w:right w:val="nil"/>
            </w:tcBorders>
            <w:shd w:val="clear" w:color="auto" w:fill="auto"/>
            <w:hideMark/>
          </w:tcPr>
          <w:p w:rsidR="00783AC6" w:rsidRPr="00341D88" w:rsidRDefault="00783AC6" w:rsidP="00EB5C27">
            <w:pPr>
              <w:rPr>
                <w:b/>
                <w:bCs/>
                <w:sz w:val="18"/>
                <w:szCs w:val="18"/>
                <w:lang w:eastAsia="en-AU"/>
              </w:rPr>
            </w:pPr>
            <w:r w:rsidRPr="00341D88">
              <w:rPr>
                <w:b/>
                <w:bCs/>
                <w:sz w:val="18"/>
                <w:szCs w:val="18"/>
                <w:lang w:eastAsia="en-AU"/>
              </w:rPr>
              <w:t>Capital Injections</w:t>
            </w:r>
          </w:p>
        </w:tc>
        <w:tc>
          <w:tcPr>
            <w:tcW w:w="960" w:type="dxa"/>
            <w:tcBorders>
              <w:top w:val="nil"/>
              <w:left w:val="nil"/>
              <w:bottom w:val="nil"/>
              <w:right w:val="nil"/>
            </w:tcBorders>
            <w:shd w:val="clear" w:color="auto" w:fill="auto"/>
            <w:noWrap/>
            <w:hideMark/>
          </w:tcPr>
          <w:p w:rsidR="00783AC6" w:rsidRPr="00341D88" w:rsidRDefault="00783AC6" w:rsidP="00EB5C27">
            <w:pPr>
              <w:jc w:val="right"/>
              <w:rPr>
                <w:b/>
                <w:bCs/>
                <w:sz w:val="18"/>
                <w:szCs w:val="18"/>
                <w:lang w:eastAsia="en-AU"/>
              </w:rPr>
            </w:pPr>
            <w:r w:rsidRPr="00341D88">
              <w:rPr>
                <w:b/>
                <w:bCs/>
                <w:sz w:val="18"/>
                <w:szCs w:val="18"/>
                <w:lang w:eastAsia="en-AU"/>
              </w:rPr>
              <w:t>Est. Out.</w:t>
            </w:r>
          </w:p>
        </w:tc>
        <w:tc>
          <w:tcPr>
            <w:tcW w:w="960" w:type="dxa"/>
            <w:tcBorders>
              <w:top w:val="nil"/>
              <w:left w:val="nil"/>
              <w:bottom w:val="nil"/>
              <w:right w:val="nil"/>
            </w:tcBorders>
            <w:shd w:val="clear" w:color="auto" w:fill="auto"/>
            <w:noWrap/>
            <w:hideMark/>
          </w:tcPr>
          <w:p w:rsidR="00783AC6" w:rsidRPr="00341D88" w:rsidRDefault="00783AC6" w:rsidP="00EB5C27">
            <w:pPr>
              <w:jc w:val="right"/>
              <w:rPr>
                <w:b/>
                <w:bCs/>
                <w:sz w:val="18"/>
                <w:szCs w:val="18"/>
                <w:lang w:eastAsia="en-AU"/>
              </w:rPr>
            </w:pPr>
            <w:r w:rsidRPr="00341D88">
              <w:rPr>
                <w:b/>
                <w:bCs/>
                <w:sz w:val="18"/>
                <w:szCs w:val="18"/>
                <w:lang w:eastAsia="en-AU"/>
              </w:rPr>
              <w:t>Budget</w:t>
            </w:r>
          </w:p>
        </w:tc>
        <w:tc>
          <w:tcPr>
            <w:tcW w:w="960" w:type="dxa"/>
            <w:tcBorders>
              <w:top w:val="nil"/>
              <w:left w:val="nil"/>
              <w:bottom w:val="nil"/>
              <w:right w:val="nil"/>
            </w:tcBorders>
            <w:shd w:val="clear" w:color="auto" w:fill="auto"/>
            <w:noWrap/>
            <w:hideMark/>
          </w:tcPr>
          <w:p w:rsidR="00783AC6" w:rsidRPr="00341D88" w:rsidRDefault="00783AC6" w:rsidP="00EB5C27">
            <w:pPr>
              <w:jc w:val="right"/>
              <w:rPr>
                <w:b/>
                <w:bCs/>
                <w:sz w:val="18"/>
                <w:szCs w:val="18"/>
                <w:lang w:eastAsia="en-AU"/>
              </w:rPr>
            </w:pPr>
            <w:r w:rsidRPr="00341D88">
              <w:rPr>
                <w:b/>
                <w:bCs/>
                <w:sz w:val="18"/>
                <w:szCs w:val="18"/>
                <w:lang w:eastAsia="en-AU"/>
              </w:rPr>
              <w:t>Estimate</w:t>
            </w:r>
          </w:p>
        </w:tc>
        <w:tc>
          <w:tcPr>
            <w:tcW w:w="960" w:type="dxa"/>
            <w:tcBorders>
              <w:top w:val="nil"/>
              <w:left w:val="nil"/>
              <w:bottom w:val="nil"/>
              <w:right w:val="nil"/>
            </w:tcBorders>
            <w:shd w:val="clear" w:color="auto" w:fill="auto"/>
            <w:noWrap/>
            <w:hideMark/>
          </w:tcPr>
          <w:p w:rsidR="00783AC6" w:rsidRPr="00341D88" w:rsidRDefault="00783AC6" w:rsidP="00EB5C27">
            <w:pPr>
              <w:jc w:val="right"/>
              <w:rPr>
                <w:b/>
                <w:bCs/>
                <w:sz w:val="18"/>
                <w:szCs w:val="18"/>
                <w:lang w:eastAsia="en-AU"/>
              </w:rPr>
            </w:pPr>
            <w:r w:rsidRPr="00341D88">
              <w:rPr>
                <w:b/>
                <w:bCs/>
                <w:sz w:val="18"/>
                <w:szCs w:val="18"/>
                <w:lang w:eastAsia="en-AU"/>
              </w:rPr>
              <w:t>Estimate</w:t>
            </w:r>
          </w:p>
        </w:tc>
        <w:tc>
          <w:tcPr>
            <w:tcW w:w="960" w:type="dxa"/>
            <w:tcBorders>
              <w:top w:val="nil"/>
              <w:left w:val="nil"/>
              <w:bottom w:val="nil"/>
              <w:right w:val="nil"/>
            </w:tcBorders>
            <w:shd w:val="clear" w:color="auto" w:fill="auto"/>
            <w:noWrap/>
            <w:hideMark/>
          </w:tcPr>
          <w:p w:rsidR="00783AC6" w:rsidRPr="00341D88" w:rsidRDefault="00783AC6" w:rsidP="00EB5C27">
            <w:pPr>
              <w:jc w:val="right"/>
              <w:rPr>
                <w:b/>
                <w:bCs/>
                <w:sz w:val="18"/>
                <w:szCs w:val="18"/>
                <w:lang w:eastAsia="en-AU"/>
              </w:rPr>
            </w:pPr>
            <w:r w:rsidRPr="00341D88">
              <w:rPr>
                <w:b/>
                <w:bCs/>
                <w:sz w:val="18"/>
                <w:szCs w:val="18"/>
                <w:lang w:eastAsia="en-AU"/>
              </w:rPr>
              <w:t>Estimate</w:t>
            </w:r>
          </w:p>
        </w:tc>
      </w:tr>
      <w:tr w:rsidR="00783AC6" w:rsidRPr="00341D88" w:rsidTr="00EB5C27">
        <w:trPr>
          <w:trHeight w:val="240"/>
        </w:trPr>
        <w:tc>
          <w:tcPr>
            <w:tcW w:w="4556" w:type="dxa"/>
            <w:tcBorders>
              <w:top w:val="nil"/>
              <w:left w:val="nil"/>
              <w:bottom w:val="single" w:sz="4" w:space="0" w:color="auto"/>
              <w:right w:val="nil"/>
            </w:tcBorders>
            <w:shd w:val="clear" w:color="auto" w:fill="auto"/>
            <w:hideMark/>
          </w:tcPr>
          <w:p w:rsidR="00783AC6" w:rsidRPr="00341D88" w:rsidRDefault="00783AC6" w:rsidP="00EB5C27">
            <w:pPr>
              <w:rPr>
                <w:b/>
                <w:bCs/>
                <w:sz w:val="18"/>
                <w:szCs w:val="18"/>
                <w:lang w:eastAsia="en-AU"/>
              </w:rPr>
            </w:pPr>
            <w:r w:rsidRPr="00341D88">
              <w:rPr>
                <w:b/>
                <w:bCs/>
                <w:sz w:val="18"/>
                <w:szCs w:val="18"/>
                <w:lang w:eastAsia="en-AU"/>
              </w:rPr>
              <w:t> </w:t>
            </w:r>
          </w:p>
        </w:tc>
        <w:tc>
          <w:tcPr>
            <w:tcW w:w="960" w:type="dxa"/>
            <w:tcBorders>
              <w:top w:val="nil"/>
              <w:left w:val="nil"/>
              <w:bottom w:val="single" w:sz="4" w:space="0" w:color="auto"/>
              <w:right w:val="nil"/>
            </w:tcBorders>
            <w:shd w:val="clear" w:color="auto" w:fill="auto"/>
            <w:noWrap/>
            <w:hideMark/>
          </w:tcPr>
          <w:p w:rsidR="00783AC6" w:rsidRPr="00341D88" w:rsidRDefault="00783AC6" w:rsidP="00EB5C27">
            <w:pPr>
              <w:jc w:val="right"/>
              <w:rPr>
                <w:b/>
                <w:bCs/>
                <w:sz w:val="18"/>
                <w:szCs w:val="18"/>
                <w:lang w:eastAsia="en-AU"/>
              </w:rPr>
            </w:pPr>
            <w:r w:rsidRPr="00341D88">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783AC6" w:rsidRPr="00341D88" w:rsidRDefault="00783AC6" w:rsidP="00EB5C27">
            <w:pPr>
              <w:jc w:val="right"/>
              <w:rPr>
                <w:b/>
                <w:bCs/>
                <w:sz w:val="18"/>
                <w:szCs w:val="18"/>
                <w:lang w:eastAsia="en-AU"/>
              </w:rPr>
            </w:pPr>
            <w:r w:rsidRPr="00341D88">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783AC6" w:rsidRPr="00341D88" w:rsidRDefault="00783AC6" w:rsidP="00EB5C27">
            <w:pPr>
              <w:jc w:val="right"/>
              <w:rPr>
                <w:b/>
                <w:bCs/>
                <w:sz w:val="18"/>
                <w:szCs w:val="18"/>
                <w:lang w:eastAsia="en-AU"/>
              </w:rPr>
            </w:pPr>
            <w:r w:rsidRPr="00341D88">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783AC6" w:rsidRPr="00341D88" w:rsidRDefault="00783AC6" w:rsidP="00EB5C27">
            <w:pPr>
              <w:jc w:val="right"/>
              <w:rPr>
                <w:b/>
                <w:bCs/>
                <w:sz w:val="18"/>
                <w:szCs w:val="18"/>
                <w:lang w:eastAsia="en-AU"/>
              </w:rPr>
            </w:pPr>
            <w:r w:rsidRPr="00341D88">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783AC6" w:rsidRPr="00341D88" w:rsidRDefault="00783AC6" w:rsidP="00EB5C27">
            <w:pPr>
              <w:jc w:val="right"/>
              <w:rPr>
                <w:b/>
                <w:bCs/>
                <w:sz w:val="18"/>
                <w:szCs w:val="18"/>
                <w:lang w:eastAsia="en-AU"/>
              </w:rPr>
            </w:pPr>
            <w:r w:rsidRPr="00341D88">
              <w:rPr>
                <w:b/>
                <w:bCs/>
                <w:sz w:val="18"/>
                <w:szCs w:val="18"/>
                <w:lang w:eastAsia="en-AU"/>
              </w:rPr>
              <w:t>$'000</w:t>
            </w:r>
          </w:p>
        </w:tc>
      </w:tr>
      <w:tr w:rsidR="00783AC6" w:rsidRPr="00341D88" w:rsidTr="00EB5C27">
        <w:trPr>
          <w:trHeight w:val="240"/>
        </w:trPr>
        <w:tc>
          <w:tcPr>
            <w:tcW w:w="4556" w:type="dxa"/>
            <w:tcBorders>
              <w:top w:val="nil"/>
              <w:left w:val="nil"/>
              <w:bottom w:val="nil"/>
              <w:right w:val="nil"/>
            </w:tcBorders>
            <w:shd w:val="clear" w:color="auto" w:fill="auto"/>
            <w:hideMark/>
          </w:tcPr>
          <w:p w:rsidR="00783AC6" w:rsidRPr="00341D88" w:rsidRDefault="00783AC6" w:rsidP="00EB5C27">
            <w:pPr>
              <w:rPr>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p>
        </w:tc>
      </w:tr>
      <w:tr w:rsidR="00783AC6" w:rsidRPr="00341D88" w:rsidTr="00EB5C27">
        <w:trPr>
          <w:trHeight w:val="240"/>
        </w:trPr>
        <w:tc>
          <w:tcPr>
            <w:tcW w:w="4556" w:type="dxa"/>
            <w:tcBorders>
              <w:top w:val="nil"/>
              <w:left w:val="nil"/>
              <w:bottom w:val="nil"/>
              <w:right w:val="nil"/>
            </w:tcBorders>
            <w:shd w:val="clear" w:color="auto" w:fill="auto"/>
            <w:hideMark/>
          </w:tcPr>
          <w:p w:rsidR="00783AC6" w:rsidRPr="00341D88" w:rsidRDefault="00783AC6" w:rsidP="00EB5C27">
            <w:pPr>
              <w:rPr>
                <w:b/>
                <w:bCs/>
                <w:sz w:val="18"/>
                <w:szCs w:val="18"/>
                <w:lang w:eastAsia="en-AU"/>
              </w:rPr>
            </w:pPr>
            <w:r w:rsidRPr="00341D88">
              <w:rPr>
                <w:b/>
                <w:bCs/>
                <w:sz w:val="18"/>
                <w:szCs w:val="18"/>
                <w:lang w:eastAsia="en-AU"/>
              </w:rPr>
              <w:t>2012-13 Budget</w:t>
            </w:r>
          </w:p>
        </w:tc>
        <w:tc>
          <w:tcPr>
            <w:tcW w:w="960" w:type="dxa"/>
            <w:tcBorders>
              <w:top w:val="nil"/>
              <w:left w:val="nil"/>
              <w:bottom w:val="nil"/>
              <w:right w:val="nil"/>
            </w:tcBorders>
            <w:shd w:val="clear" w:color="auto" w:fill="auto"/>
            <w:noWrap/>
            <w:hideMark/>
          </w:tcPr>
          <w:p w:rsidR="00783AC6" w:rsidRPr="00341D88" w:rsidRDefault="00783AC6" w:rsidP="00EB5C27">
            <w:pPr>
              <w:jc w:val="right"/>
              <w:rPr>
                <w:b/>
                <w:bCs/>
                <w:sz w:val="18"/>
                <w:szCs w:val="18"/>
                <w:lang w:eastAsia="en-AU"/>
              </w:rPr>
            </w:pPr>
            <w:r w:rsidRPr="00341D88">
              <w:rPr>
                <w:b/>
                <w:bCs/>
                <w:sz w:val="18"/>
                <w:szCs w:val="18"/>
                <w:lang w:eastAsia="en-AU"/>
              </w:rPr>
              <w:t>1,334</w:t>
            </w:r>
          </w:p>
        </w:tc>
        <w:tc>
          <w:tcPr>
            <w:tcW w:w="960" w:type="dxa"/>
            <w:tcBorders>
              <w:top w:val="nil"/>
              <w:left w:val="nil"/>
              <w:bottom w:val="nil"/>
              <w:right w:val="nil"/>
            </w:tcBorders>
            <w:shd w:val="clear" w:color="auto" w:fill="auto"/>
            <w:noWrap/>
            <w:hideMark/>
          </w:tcPr>
          <w:p w:rsidR="00783AC6" w:rsidRPr="00341D88" w:rsidRDefault="00783AC6" w:rsidP="00EB5C27">
            <w:pPr>
              <w:jc w:val="right"/>
              <w:rPr>
                <w:b/>
                <w:bCs/>
                <w:sz w:val="18"/>
                <w:szCs w:val="18"/>
                <w:lang w:eastAsia="en-AU"/>
              </w:rPr>
            </w:pPr>
            <w:r w:rsidRPr="00341D88">
              <w:rPr>
                <w:b/>
                <w:bCs/>
                <w:sz w:val="18"/>
                <w:szCs w:val="18"/>
                <w:lang w:eastAsia="en-AU"/>
              </w:rPr>
              <w:t>240</w:t>
            </w:r>
          </w:p>
        </w:tc>
        <w:tc>
          <w:tcPr>
            <w:tcW w:w="960" w:type="dxa"/>
            <w:tcBorders>
              <w:top w:val="nil"/>
              <w:left w:val="nil"/>
              <w:bottom w:val="nil"/>
              <w:right w:val="nil"/>
            </w:tcBorders>
            <w:shd w:val="clear" w:color="auto" w:fill="auto"/>
            <w:noWrap/>
            <w:hideMark/>
          </w:tcPr>
          <w:p w:rsidR="00783AC6" w:rsidRPr="00341D88" w:rsidRDefault="00783AC6" w:rsidP="00EB5C27">
            <w:pPr>
              <w:jc w:val="right"/>
              <w:rPr>
                <w:b/>
                <w:bCs/>
                <w:sz w:val="18"/>
                <w:szCs w:val="18"/>
                <w:lang w:eastAsia="en-AU"/>
              </w:rPr>
            </w:pPr>
            <w:r w:rsidRPr="00341D88">
              <w:rPr>
                <w:b/>
                <w:bCs/>
                <w:sz w:val="18"/>
                <w:szCs w:val="18"/>
                <w:lang w:eastAsia="en-AU"/>
              </w:rPr>
              <w:t>246</w:t>
            </w:r>
          </w:p>
        </w:tc>
        <w:tc>
          <w:tcPr>
            <w:tcW w:w="960" w:type="dxa"/>
            <w:tcBorders>
              <w:top w:val="nil"/>
              <w:left w:val="nil"/>
              <w:bottom w:val="nil"/>
              <w:right w:val="nil"/>
            </w:tcBorders>
            <w:shd w:val="clear" w:color="auto" w:fill="auto"/>
            <w:noWrap/>
            <w:hideMark/>
          </w:tcPr>
          <w:p w:rsidR="00783AC6" w:rsidRPr="00341D88" w:rsidRDefault="00783AC6" w:rsidP="00EB5C27">
            <w:pPr>
              <w:jc w:val="right"/>
              <w:rPr>
                <w:b/>
                <w:bCs/>
                <w:sz w:val="18"/>
                <w:szCs w:val="18"/>
                <w:lang w:eastAsia="en-AU"/>
              </w:rPr>
            </w:pPr>
            <w:r w:rsidRPr="00341D88">
              <w:rPr>
                <w:b/>
                <w:bCs/>
                <w:sz w:val="18"/>
                <w:szCs w:val="18"/>
                <w:lang w:eastAsia="en-AU"/>
              </w:rPr>
              <w:t>252</w:t>
            </w:r>
          </w:p>
        </w:tc>
        <w:tc>
          <w:tcPr>
            <w:tcW w:w="960" w:type="dxa"/>
            <w:tcBorders>
              <w:top w:val="nil"/>
              <w:left w:val="nil"/>
              <w:bottom w:val="nil"/>
              <w:right w:val="nil"/>
            </w:tcBorders>
            <w:shd w:val="clear" w:color="auto" w:fill="auto"/>
            <w:noWrap/>
            <w:hideMark/>
          </w:tcPr>
          <w:p w:rsidR="00783AC6" w:rsidRPr="00341D88" w:rsidRDefault="00783AC6" w:rsidP="00EB5C27">
            <w:pPr>
              <w:jc w:val="right"/>
              <w:rPr>
                <w:b/>
                <w:bCs/>
                <w:sz w:val="18"/>
                <w:szCs w:val="18"/>
                <w:lang w:eastAsia="en-AU"/>
              </w:rPr>
            </w:pPr>
            <w:r w:rsidRPr="00341D88">
              <w:rPr>
                <w:b/>
                <w:bCs/>
                <w:sz w:val="18"/>
                <w:szCs w:val="18"/>
                <w:lang w:eastAsia="en-AU"/>
              </w:rPr>
              <w:t>252</w:t>
            </w:r>
          </w:p>
        </w:tc>
      </w:tr>
      <w:tr w:rsidR="00783AC6" w:rsidRPr="00341D88" w:rsidTr="00EB5C27">
        <w:trPr>
          <w:trHeight w:val="240"/>
        </w:trPr>
        <w:tc>
          <w:tcPr>
            <w:tcW w:w="4556" w:type="dxa"/>
            <w:tcBorders>
              <w:top w:val="nil"/>
              <w:left w:val="nil"/>
              <w:bottom w:val="nil"/>
              <w:right w:val="nil"/>
            </w:tcBorders>
            <w:shd w:val="clear" w:color="auto" w:fill="auto"/>
            <w:hideMark/>
          </w:tcPr>
          <w:p w:rsidR="00783AC6" w:rsidRPr="00341D88" w:rsidRDefault="00783AC6" w:rsidP="00EB5C27">
            <w:pPr>
              <w:rPr>
                <w:b/>
                <w:bCs/>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b/>
                <w:bCs/>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b/>
                <w:bCs/>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b/>
                <w:bCs/>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b/>
                <w:bCs/>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b/>
                <w:bCs/>
                <w:sz w:val="18"/>
                <w:szCs w:val="18"/>
                <w:lang w:eastAsia="en-AU"/>
              </w:rPr>
            </w:pPr>
          </w:p>
        </w:tc>
      </w:tr>
      <w:tr w:rsidR="00783AC6" w:rsidRPr="00341D88" w:rsidTr="00EB5C27">
        <w:trPr>
          <w:trHeight w:val="240"/>
        </w:trPr>
        <w:tc>
          <w:tcPr>
            <w:tcW w:w="4556" w:type="dxa"/>
            <w:tcBorders>
              <w:top w:val="nil"/>
              <w:left w:val="nil"/>
              <w:bottom w:val="nil"/>
              <w:right w:val="nil"/>
            </w:tcBorders>
            <w:shd w:val="clear" w:color="auto" w:fill="auto"/>
            <w:hideMark/>
          </w:tcPr>
          <w:p w:rsidR="00783AC6" w:rsidRPr="00341D88" w:rsidRDefault="00783AC6" w:rsidP="00EB5C27">
            <w:pPr>
              <w:rPr>
                <w:b/>
                <w:bCs/>
                <w:sz w:val="18"/>
                <w:szCs w:val="18"/>
                <w:lang w:eastAsia="en-AU"/>
              </w:rPr>
            </w:pPr>
            <w:r w:rsidRPr="00341D88">
              <w:rPr>
                <w:b/>
                <w:bCs/>
                <w:sz w:val="18"/>
                <w:szCs w:val="18"/>
                <w:lang w:eastAsia="en-AU"/>
              </w:rPr>
              <w:t>FMA Section 16B Rollovers from 2011-12</w:t>
            </w:r>
          </w:p>
        </w:tc>
        <w:tc>
          <w:tcPr>
            <w:tcW w:w="960" w:type="dxa"/>
            <w:tcBorders>
              <w:top w:val="nil"/>
              <w:left w:val="nil"/>
              <w:bottom w:val="nil"/>
              <w:right w:val="nil"/>
            </w:tcBorders>
            <w:shd w:val="clear" w:color="auto" w:fill="auto"/>
            <w:noWrap/>
            <w:hideMark/>
          </w:tcPr>
          <w:p w:rsidR="00783AC6" w:rsidRPr="00341D88" w:rsidRDefault="00783AC6" w:rsidP="00EB5C27">
            <w:pPr>
              <w:jc w:val="right"/>
              <w:rPr>
                <w:b/>
                <w:bCs/>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b/>
                <w:bCs/>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b/>
                <w:bCs/>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b/>
                <w:bCs/>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b/>
                <w:bCs/>
                <w:sz w:val="18"/>
                <w:szCs w:val="18"/>
                <w:lang w:eastAsia="en-AU"/>
              </w:rPr>
            </w:pPr>
          </w:p>
        </w:tc>
      </w:tr>
      <w:tr w:rsidR="00783AC6" w:rsidRPr="00341D88" w:rsidTr="00EB5C27">
        <w:trPr>
          <w:trHeight w:val="240"/>
        </w:trPr>
        <w:tc>
          <w:tcPr>
            <w:tcW w:w="4556" w:type="dxa"/>
            <w:tcBorders>
              <w:top w:val="nil"/>
              <w:left w:val="nil"/>
              <w:bottom w:val="nil"/>
              <w:right w:val="nil"/>
            </w:tcBorders>
            <w:shd w:val="clear" w:color="auto" w:fill="auto"/>
            <w:hideMark/>
          </w:tcPr>
          <w:p w:rsidR="00783AC6" w:rsidRPr="00341D88" w:rsidRDefault="00783AC6" w:rsidP="00EB5C27">
            <w:pPr>
              <w:rPr>
                <w:sz w:val="18"/>
                <w:szCs w:val="18"/>
                <w:lang w:eastAsia="en-AU"/>
              </w:rPr>
            </w:pPr>
            <w:r w:rsidRPr="00341D88">
              <w:rPr>
                <w:sz w:val="18"/>
                <w:szCs w:val="18"/>
                <w:lang w:eastAsia="en-AU"/>
              </w:rPr>
              <w:t>Remedial Capital Improvements for ACT Policing Facilities</w:t>
            </w: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r w:rsidRPr="00341D88">
              <w:rPr>
                <w:sz w:val="18"/>
                <w:szCs w:val="18"/>
                <w:lang w:eastAsia="en-AU"/>
              </w:rPr>
              <w:t>199</w:t>
            </w: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r w:rsidRPr="00341D88">
              <w:rPr>
                <w:sz w:val="18"/>
                <w:szCs w:val="18"/>
                <w:lang w:eastAsia="en-AU"/>
              </w:rPr>
              <w:t xml:space="preserve"> - </w:t>
            </w:r>
          </w:p>
        </w:tc>
      </w:tr>
      <w:tr w:rsidR="00783AC6" w:rsidRPr="00341D88" w:rsidTr="00EB5C27">
        <w:trPr>
          <w:trHeight w:val="240"/>
        </w:trPr>
        <w:tc>
          <w:tcPr>
            <w:tcW w:w="4556" w:type="dxa"/>
            <w:tcBorders>
              <w:top w:val="nil"/>
              <w:left w:val="nil"/>
              <w:bottom w:val="nil"/>
              <w:right w:val="nil"/>
            </w:tcBorders>
            <w:shd w:val="clear" w:color="auto" w:fill="auto"/>
            <w:hideMark/>
          </w:tcPr>
          <w:p w:rsidR="00783AC6" w:rsidRPr="00341D88" w:rsidRDefault="00783AC6" w:rsidP="00EB5C27">
            <w:pPr>
              <w:rPr>
                <w:sz w:val="18"/>
                <w:szCs w:val="18"/>
                <w:lang w:eastAsia="en-AU"/>
              </w:rPr>
            </w:pPr>
            <w:r w:rsidRPr="00341D88">
              <w:rPr>
                <w:sz w:val="18"/>
                <w:szCs w:val="18"/>
                <w:lang w:eastAsia="en-AU"/>
              </w:rPr>
              <w:t>ACT Policing Capital Upgrade Program</w:t>
            </w: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r w:rsidRPr="00341D88">
              <w:rPr>
                <w:sz w:val="18"/>
                <w:szCs w:val="18"/>
                <w:lang w:eastAsia="en-AU"/>
              </w:rPr>
              <w:t>22</w:t>
            </w: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r w:rsidRPr="00341D88">
              <w:rPr>
                <w:sz w:val="18"/>
                <w:szCs w:val="18"/>
                <w:lang w:eastAsia="en-AU"/>
              </w:rPr>
              <w:t xml:space="preserve"> - </w:t>
            </w: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r w:rsidRPr="00341D88">
              <w:rPr>
                <w:sz w:val="18"/>
                <w:szCs w:val="18"/>
                <w:lang w:eastAsia="en-AU"/>
              </w:rPr>
              <w:t xml:space="preserve"> - </w:t>
            </w:r>
          </w:p>
        </w:tc>
      </w:tr>
      <w:tr w:rsidR="00783AC6" w:rsidRPr="00341D88" w:rsidTr="00EB5C27">
        <w:trPr>
          <w:trHeight w:val="240"/>
        </w:trPr>
        <w:tc>
          <w:tcPr>
            <w:tcW w:w="4556" w:type="dxa"/>
            <w:tcBorders>
              <w:top w:val="nil"/>
              <w:left w:val="nil"/>
              <w:bottom w:val="nil"/>
              <w:right w:val="nil"/>
            </w:tcBorders>
            <w:shd w:val="clear" w:color="auto" w:fill="auto"/>
            <w:hideMark/>
          </w:tcPr>
          <w:p w:rsidR="00783AC6" w:rsidRPr="00341D88" w:rsidRDefault="00783AC6" w:rsidP="00EB5C27">
            <w:pPr>
              <w:rPr>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p>
        </w:tc>
      </w:tr>
      <w:tr w:rsidR="00783AC6" w:rsidRPr="00341D88" w:rsidTr="00EB5C27">
        <w:trPr>
          <w:trHeight w:val="240"/>
        </w:trPr>
        <w:tc>
          <w:tcPr>
            <w:tcW w:w="4556" w:type="dxa"/>
            <w:tcBorders>
              <w:top w:val="nil"/>
              <w:left w:val="nil"/>
              <w:bottom w:val="nil"/>
              <w:right w:val="nil"/>
            </w:tcBorders>
            <w:shd w:val="clear" w:color="auto" w:fill="auto"/>
            <w:hideMark/>
          </w:tcPr>
          <w:p w:rsidR="00783AC6" w:rsidRPr="00341D88" w:rsidRDefault="00783AC6" w:rsidP="00EB5C27">
            <w:pPr>
              <w:rPr>
                <w:b/>
                <w:bCs/>
                <w:sz w:val="18"/>
                <w:szCs w:val="18"/>
                <w:lang w:eastAsia="en-AU"/>
              </w:rPr>
            </w:pPr>
            <w:r w:rsidRPr="00341D88">
              <w:rPr>
                <w:b/>
                <w:bCs/>
                <w:sz w:val="18"/>
                <w:szCs w:val="18"/>
                <w:lang w:eastAsia="en-AU"/>
              </w:rPr>
              <w:t>2013-14 Budget Policy Adjustments</w:t>
            </w: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p>
        </w:tc>
      </w:tr>
      <w:tr w:rsidR="00783AC6" w:rsidRPr="00341D88" w:rsidTr="00EB5C27">
        <w:trPr>
          <w:trHeight w:val="240"/>
        </w:trPr>
        <w:tc>
          <w:tcPr>
            <w:tcW w:w="4556" w:type="dxa"/>
            <w:tcBorders>
              <w:top w:val="nil"/>
              <w:left w:val="nil"/>
              <w:bottom w:val="nil"/>
              <w:right w:val="nil"/>
            </w:tcBorders>
            <w:shd w:val="clear" w:color="auto" w:fill="auto"/>
            <w:hideMark/>
          </w:tcPr>
          <w:p w:rsidR="00783AC6" w:rsidRPr="00341D88" w:rsidRDefault="00783AC6" w:rsidP="00EB5C27">
            <w:pPr>
              <w:rPr>
                <w:sz w:val="18"/>
                <w:szCs w:val="18"/>
                <w:lang w:eastAsia="en-AU"/>
              </w:rPr>
            </w:pPr>
            <w:r w:rsidRPr="00341D88">
              <w:rPr>
                <w:sz w:val="18"/>
                <w:szCs w:val="18"/>
                <w:lang w:eastAsia="en-AU"/>
              </w:rPr>
              <w:t>More Police Safer Roads</w:t>
            </w: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r w:rsidRPr="00341D88">
              <w:rPr>
                <w:sz w:val="18"/>
                <w:szCs w:val="18"/>
                <w:lang w:eastAsia="en-AU"/>
              </w:rPr>
              <w:t xml:space="preserve">64 </w:t>
            </w: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r w:rsidRPr="00341D88">
              <w:rPr>
                <w:sz w:val="18"/>
                <w:szCs w:val="18"/>
                <w:lang w:eastAsia="en-AU"/>
              </w:rPr>
              <w:t xml:space="preserve">- </w:t>
            </w:r>
          </w:p>
        </w:tc>
      </w:tr>
      <w:tr w:rsidR="00783AC6" w:rsidRPr="00341D88" w:rsidTr="00EB5C27">
        <w:trPr>
          <w:trHeight w:val="240"/>
        </w:trPr>
        <w:tc>
          <w:tcPr>
            <w:tcW w:w="4556" w:type="dxa"/>
            <w:tcBorders>
              <w:top w:val="nil"/>
              <w:left w:val="nil"/>
              <w:bottom w:val="nil"/>
              <w:right w:val="nil"/>
            </w:tcBorders>
            <w:shd w:val="clear" w:color="auto" w:fill="auto"/>
            <w:hideMark/>
          </w:tcPr>
          <w:p w:rsidR="00783AC6" w:rsidRPr="00341D88" w:rsidRDefault="00783AC6" w:rsidP="00EB5C27">
            <w:pPr>
              <w:rPr>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p>
        </w:tc>
      </w:tr>
      <w:tr w:rsidR="00783AC6" w:rsidRPr="00341D88" w:rsidTr="00EB5C27">
        <w:trPr>
          <w:trHeight w:val="240"/>
        </w:trPr>
        <w:tc>
          <w:tcPr>
            <w:tcW w:w="4556" w:type="dxa"/>
            <w:tcBorders>
              <w:top w:val="nil"/>
              <w:left w:val="nil"/>
              <w:bottom w:val="nil"/>
              <w:right w:val="nil"/>
            </w:tcBorders>
            <w:shd w:val="clear" w:color="auto" w:fill="auto"/>
            <w:hideMark/>
          </w:tcPr>
          <w:p w:rsidR="00783AC6" w:rsidRPr="00341D88" w:rsidRDefault="00783AC6" w:rsidP="00EB5C27">
            <w:pPr>
              <w:rPr>
                <w:b/>
                <w:bCs/>
                <w:sz w:val="18"/>
                <w:szCs w:val="18"/>
                <w:lang w:eastAsia="en-AU"/>
              </w:rPr>
            </w:pPr>
            <w:r w:rsidRPr="00341D88">
              <w:rPr>
                <w:b/>
                <w:bCs/>
                <w:sz w:val="18"/>
                <w:szCs w:val="18"/>
                <w:lang w:eastAsia="en-AU"/>
              </w:rPr>
              <w:t>2013-14 Budget Technical Adjustments</w:t>
            </w: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p>
        </w:tc>
      </w:tr>
      <w:tr w:rsidR="00783AC6" w:rsidRPr="00341D88" w:rsidTr="00EB5C27">
        <w:trPr>
          <w:trHeight w:val="240"/>
        </w:trPr>
        <w:tc>
          <w:tcPr>
            <w:tcW w:w="4556" w:type="dxa"/>
            <w:tcBorders>
              <w:top w:val="nil"/>
              <w:left w:val="nil"/>
              <w:bottom w:val="nil"/>
              <w:right w:val="nil"/>
            </w:tcBorders>
            <w:shd w:val="clear" w:color="auto" w:fill="auto"/>
            <w:hideMark/>
          </w:tcPr>
          <w:p w:rsidR="00783AC6" w:rsidRPr="00341D88" w:rsidRDefault="00BE2748" w:rsidP="00EB5C27">
            <w:pPr>
              <w:rPr>
                <w:sz w:val="18"/>
                <w:szCs w:val="18"/>
                <w:lang w:eastAsia="en-AU"/>
              </w:rPr>
            </w:pPr>
            <w:r>
              <w:rPr>
                <w:sz w:val="18"/>
                <w:szCs w:val="18"/>
                <w:lang w:eastAsia="en-AU"/>
              </w:rPr>
              <w:t>Revised Indexation Parameters</w:t>
            </w: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r w:rsidRPr="00341D88">
              <w:rPr>
                <w:sz w:val="18"/>
                <w:szCs w:val="18"/>
                <w:lang w:eastAsia="en-AU"/>
              </w:rPr>
              <w:t xml:space="preserve">6 </w:t>
            </w:r>
          </w:p>
        </w:tc>
      </w:tr>
      <w:tr w:rsidR="00783AC6" w:rsidRPr="00341D88" w:rsidTr="00EB5C27">
        <w:trPr>
          <w:trHeight w:val="240"/>
        </w:trPr>
        <w:tc>
          <w:tcPr>
            <w:tcW w:w="4556" w:type="dxa"/>
            <w:tcBorders>
              <w:top w:val="nil"/>
              <w:left w:val="nil"/>
              <w:bottom w:val="nil"/>
              <w:right w:val="nil"/>
            </w:tcBorders>
            <w:shd w:val="clear" w:color="auto" w:fill="auto"/>
            <w:hideMark/>
          </w:tcPr>
          <w:p w:rsidR="00783AC6" w:rsidRPr="00341D88" w:rsidRDefault="00156F3B" w:rsidP="00EB5C27">
            <w:pPr>
              <w:rPr>
                <w:sz w:val="18"/>
                <w:szCs w:val="18"/>
                <w:lang w:eastAsia="en-AU"/>
              </w:rPr>
            </w:pPr>
            <w:r>
              <w:rPr>
                <w:sz w:val="18"/>
                <w:szCs w:val="18"/>
                <w:lang w:eastAsia="en-AU"/>
              </w:rPr>
              <w:t xml:space="preserve">Adjustment </w:t>
            </w:r>
            <w:r w:rsidRPr="00013549">
              <w:rPr>
                <w:sz w:val="18"/>
                <w:szCs w:val="18"/>
                <w:lang w:eastAsia="en-AU"/>
              </w:rPr>
              <w:t>–</w:t>
            </w:r>
            <w:r>
              <w:rPr>
                <w:sz w:val="18"/>
                <w:szCs w:val="18"/>
                <w:lang w:eastAsia="en-AU"/>
              </w:rPr>
              <w:t xml:space="preserve"> </w:t>
            </w:r>
            <w:r w:rsidR="00783AC6" w:rsidRPr="00341D88">
              <w:rPr>
                <w:sz w:val="18"/>
                <w:szCs w:val="18"/>
                <w:lang w:eastAsia="en-AU"/>
              </w:rPr>
              <w:t>New Belconnen Police Station</w:t>
            </w: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r w:rsidRPr="00341D88">
              <w:rPr>
                <w:sz w:val="18"/>
                <w:szCs w:val="18"/>
                <w:lang w:eastAsia="en-AU"/>
              </w:rPr>
              <w:t>(567)</w:t>
            </w: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r w:rsidRPr="00341D88">
              <w:rPr>
                <w:sz w:val="18"/>
                <w:szCs w:val="18"/>
                <w:lang w:eastAsia="en-AU"/>
              </w:rPr>
              <w:t xml:space="preserve">- </w:t>
            </w: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r w:rsidRPr="00341D88">
              <w:rPr>
                <w:sz w:val="18"/>
                <w:szCs w:val="18"/>
                <w:lang w:eastAsia="en-AU"/>
              </w:rPr>
              <w:t xml:space="preserve">- </w:t>
            </w:r>
          </w:p>
        </w:tc>
      </w:tr>
      <w:tr w:rsidR="00783AC6" w:rsidRPr="00341D88" w:rsidTr="00EB5C27">
        <w:trPr>
          <w:trHeight w:val="240"/>
        </w:trPr>
        <w:tc>
          <w:tcPr>
            <w:tcW w:w="4556" w:type="dxa"/>
            <w:tcBorders>
              <w:top w:val="nil"/>
              <w:left w:val="nil"/>
              <w:bottom w:val="nil"/>
              <w:right w:val="nil"/>
            </w:tcBorders>
            <w:shd w:val="clear" w:color="auto" w:fill="auto"/>
            <w:hideMark/>
          </w:tcPr>
          <w:p w:rsidR="00783AC6" w:rsidRPr="00341D88" w:rsidRDefault="00783AC6" w:rsidP="00EB5C27">
            <w:pPr>
              <w:rPr>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p>
        </w:tc>
        <w:tc>
          <w:tcPr>
            <w:tcW w:w="960" w:type="dxa"/>
            <w:tcBorders>
              <w:top w:val="nil"/>
              <w:left w:val="nil"/>
              <w:bottom w:val="nil"/>
              <w:right w:val="nil"/>
            </w:tcBorders>
            <w:shd w:val="clear" w:color="auto" w:fill="auto"/>
            <w:noWrap/>
            <w:hideMark/>
          </w:tcPr>
          <w:p w:rsidR="00783AC6" w:rsidRPr="00341D88" w:rsidRDefault="00783AC6" w:rsidP="00EB5C27">
            <w:pPr>
              <w:jc w:val="right"/>
              <w:rPr>
                <w:sz w:val="18"/>
                <w:szCs w:val="18"/>
                <w:lang w:eastAsia="en-AU"/>
              </w:rPr>
            </w:pPr>
          </w:p>
        </w:tc>
      </w:tr>
      <w:tr w:rsidR="00783AC6" w:rsidRPr="00341D88" w:rsidTr="00EB5C27">
        <w:trPr>
          <w:trHeight w:val="240"/>
        </w:trPr>
        <w:tc>
          <w:tcPr>
            <w:tcW w:w="4556" w:type="dxa"/>
            <w:tcBorders>
              <w:top w:val="nil"/>
              <w:left w:val="nil"/>
              <w:bottom w:val="single" w:sz="4" w:space="0" w:color="auto"/>
              <w:right w:val="nil"/>
            </w:tcBorders>
            <w:shd w:val="clear" w:color="auto" w:fill="auto"/>
            <w:hideMark/>
          </w:tcPr>
          <w:p w:rsidR="00783AC6" w:rsidRPr="00341D88" w:rsidRDefault="00783AC6" w:rsidP="00EB5C27">
            <w:pPr>
              <w:rPr>
                <w:b/>
                <w:bCs/>
                <w:sz w:val="18"/>
                <w:szCs w:val="18"/>
                <w:lang w:eastAsia="en-AU"/>
              </w:rPr>
            </w:pPr>
            <w:r w:rsidRPr="00341D88">
              <w:rPr>
                <w:b/>
                <w:bCs/>
                <w:sz w:val="18"/>
                <w:szCs w:val="18"/>
                <w:lang w:eastAsia="en-AU"/>
              </w:rPr>
              <w:t>2013-14 Budget</w:t>
            </w:r>
          </w:p>
        </w:tc>
        <w:tc>
          <w:tcPr>
            <w:tcW w:w="960" w:type="dxa"/>
            <w:tcBorders>
              <w:top w:val="nil"/>
              <w:left w:val="nil"/>
              <w:bottom w:val="single" w:sz="4" w:space="0" w:color="auto"/>
              <w:right w:val="nil"/>
            </w:tcBorders>
            <w:shd w:val="clear" w:color="auto" w:fill="auto"/>
            <w:noWrap/>
            <w:hideMark/>
          </w:tcPr>
          <w:p w:rsidR="00783AC6" w:rsidRPr="00341D88" w:rsidRDefault="00783AC6" w:rsidP="00EB5C27">
            <w:pPr>
              <w:jc w:val="right"/>
              <w:rPr>
                <w:b/>
                <w:bCs/>
                <w:sz w:val="18"/>
                <w:szCs w:val="18"/>
                <w:lang w:eastAsia="en-AU"/>
              </w:rPr>
            </w:pPr>
            <w:r w:rsidRPr="00341D88">
              <w:rPr>
                <w:b/>
                <w:bCs/>
                <w:sz w:val="18"/>
                <w:szCs w:val="18"/>
                <w:lang w:eastAsia="en-AU"/>
              </w:rPr>
              <w:t>988</w:t>
            </w:r>
          </w:p>
        </w:tc>
        <w:tc>
          <w:tcPr>
            <w:tcW w:w="960" w:type="dxa"/>
            <w:tcBorders>
              <w:top w:val="nil"/>
              <w:left w:val="nil"/>
              <w:bottom w:val="single" w:sz="4" w:space="0" w:color="auto"/>
              <w:right w:val="nil"/>
            </w:tcBorders>
            <w:shd w:val="clear" w:color="auto" w:fill="auto"/>
            <w:noWrap/>
            <w:hideMark/>
          </w:tcPr>
          <w:p w:rsidR="00783AC6" w:rsidRPr="00341D88" w:rsidRDefault="00783AC6" w:rsidP="00EB5C27">
            <w:pPr>
              <w:jc w:val="right"/>
              <w:rPr>
                <w:b/>
                <w:bCs/>
                <w:sz w:val="18"/>
                <w:szCs w:val="18"/>
                <w:lang w:eastAsia="en-AU"/>
              </w:rPr>
            </w:pPr>
            <w:r w:rsidRPr="00341D88">
              <w:rPr>
                <w:b/>
                <w:bCs/>
                <w:sz w:val="18"/>
                <w:szCs w:val="18"/>
                <w:lang w:eastAsia="en-AU"/>
              </w:rPr>
              <w:t>304</w:t>
            </w:r>
          </w:p>
        </w:tc>
        <w:tc>
          <w:tcPr>
            <w:tcW w:w="960" w:type="dxa"/>
            <w:tcBorders>
              <w:top w:val="nil"/>
              <w:left w:val="nil"/>
              <w:bottom w:val="single" w:sz="4" w:space="0" w:color="auto"/>
              <w:right w:val="nil"/>
            </w:tcBorders>
            <w:shd w:val="clear" w:color="auto" w:fill="auto"/>
            <w:noWrap/>
            <w:hideMark/>
          </w:tcPr>
          <w:p w:rsidR="00783AC6" w:rsidRPr="00341D88" w:rsidRDefault="00783AC6" w:rsidP="00EB5C27">
            <w:pPr>
              <w:jc w:val="right"/>
              <w:rPr>
                <w:b/>
                <w:bCs/>
                <w:sz w:val="18"/>
                <w:szCs w:val="18"/>
                <w:lang w:eastAsia="en-AU"/>
              </w:rPr>
            </w:pPr>
            <w:r w:rsidRPr="00341D88">
              <w:rPr>
                <w:b/>
                <w:bCs/>
                <w:sz w:val="18"/>
                <w:szCs w:val="18"/>
                <w:lang w:eastAsia="en-AU"/>
              </w:rPr>
              <w:t>246</w:t>
            </w:r>
          </w:p>
        </w:tc>
        <w:tc>
          <w:tcPr>
            <w:tcW w:w="960" w:type="dxa"/>
            <w:tcBorders>
              <w:top w:val="nil"/>
              <w:left w:val="nil"/>
              <w:bottom w:val="single" w:sz="4" w:space="0" w:color="auto"/>
              <w:right w:val="nil"/>
            </w:tcBorders>
            <w:shd w:val="clear" w:color="auto" w:fill="auto"/>
            <w:noWrap/>
            <w:hideMark/>
          </w:tcPr>
          <w:p w:rsidR="00783AC6" w:rsidRPr="00341D88" w:rsidRDefault="00783AC6" w:rsidP="00EB5C27">
            <w:pPr>
              <w:jc w:val="right"/>
              <w:rPr>
                <w:b/>
                <w:bCs/>
                <w:sz w:val="18"/>
                <w:szCs w:val="18"/>
                <w:lang w:eastAsia="en-AU"/>
              </w:rPr>
            </w:pPr>
            <w:r w:rsidRPr="00341D88">
              <w:rPr>
                <w:b/>
                <w:bCs/>
                <w:sz w:val="18"/>
                <w:szCs w:val="18"/>
                <w:lang w:eastAsia="en-AU"/>
              </w:rPr>
              <w:t>252</w:t>
            </w:r>
          </w:p>
        </w:tc>
        <w:tc>
          <w:tcPr>
            <w:tcW w:w="960" w:type="dxa"/>
            <w:tcBorders>
              <w:top w:val="nil"/>
              <w:left w:val="nil"/>
              <w:bottom w:val="single" w:sz="4" w:space="0" w:color="auto"/>
              <w:right w:val="nil"/>
            </w:tcBorders>
            <w:shd w:val="clear" w:color="auto" w:fill="auto"/>
            <w:noWrap/>
            <w:hideMark/>
          </w:tcPr>
          <w:p w:rsidR="00783AC6" w:rsidRPr="00341D88" w:rsidRDefault="00783AC6" w:rsidP="00EB5C27">
            <w:pPr>
              <w:jc w:val="right"/>
              <w:rPr>
                <w:b/>
                <w:bCs/>
                <w:sz w:val="18"/>
                <w:szCs w:val="18"/>
                <w:lang w:eastAsia="en-AU"/>
              </w:rPr>
            </w:pPr>
            <w:r w:rsidRPr="00341D88">
              <w:rPr>
                <w:b/>
                <w:bCs/>
                <w:sz w:val="18"/>
                <w:szCs w:val="18"/>
                <w:lang w:eastAsia="en-AU"/>
              </w:rPr>
              <w:t>258</w:t>
            </w:r>
          </w:p>
        </w:tc>
      </w:tr>
    </w:tbl>
    <w:p w:rsidR="00783AC6" w:rsidRDefault="00783AC6">
      <w:pPr>
        <w:rPr>
          <w:b/>
          <w:bCs/>
        </w:rPr>
      </w:pPr>
    </w:p>
    <w:p w:rsidR="00783AC6" w:rsidRDefault="00AA6895">
      <w:pPr>
        <w:rPr>
          <w:b/>
          <w:bCs/>
        </w:rPr>
      </w:pPr>
      <w:r>
        <w:rPr>
          <w:b/>
          <w:bCs/>
        </w:rPr>
        <w:br w:type="page"/>
      </w:r>
    </w:p>
    <w:p w:rsidR="00687393" w:rsidRDefault="00687393" w:rsidP="00687393">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pPr>
      <w:r>
        <w:lastRenderedPageBreak/>
        <w:t>2013</w:t>
      </w:r>
      <w:r>
        <w:noBreakHyphen/>
        <w:t>14 Capital Works Program</w:t>
      </w:r>
    </w:p>
    <w:tbl>
      <w:tblPr>
        <w:tblW w:w="9356" w:type="dxa"/>
        <w:tblLayout w:type="fixed"/>
        <w:tblCellMar>
          <w:left w:w="17" w:type="dxa"/>
          <w:right w:w="17" w:type="dxa"/>
        </w:tblCellMar>
        <w:tblLook w:val="0000"/>
      </w:tblPr>
      <w:tblGrid>
        <w:gridCol w:w="3092"/>
        <w:gridCol w:w="1044"/>
        <w:gridCol w:w="1044"/>
        <w:gridCol w:w="1044"/>
        <w:gridCol w:w="1044"/>
        <w:gridCol w:w="1044"/>
        <w:gridCol w:w="1044"/>
      </w:tblGrid>
      <w:tr w:rsidR="001B4E25" w:rsidRPr="00371CD8" w:rsidTr="00EB5C27">
        <w:trPr>
          <w:trHeight w:val="240"/>
        </w:trPr>
        <w:tc>
          <w:tcPr>
            <w:tcW w:w="3092" w:type="dxa"/>
            <w:tcBorders>
              <w:top w:val="single" w:sz="4" w:space="0" w:color="auto"/>
              <w:left w:val="nil"/>
              <w:bottom w:val="nil"/>
              <w:right w:val="nil"/>
            </w:tcBorders>
          </w:tcPr>
          <w:p w:rsidR="001B4E25" w:rsidRPr="00371CD8" w:rsidRDefault="001B4E25" w:rsidP="00EB5C27">
            <w:pPr>
              <w:pStyle w:val="TableHeadingRight-BP4"/>
              <w:jc w:val="left"/>
              <w:rPr>
                <w:rFonts w:asciiTheme="minorHAnsi" w:hAnsiTheme="minorHAnsi" w:cstheme="minorHAnsi"/>
                <w:szCs w:val="18"/>
              </w:rPr>
            </w:pPr>
            <w:r w:rsidRPr="00371CD8">
              <w:rPr>
                <w:rFonts w:asciiTheme="minorHAnsi" w:hAnsiTheme="minorHAnsi" w:cstheme="minorHAnsi"/>
                <w:szCs w:val="18"/>
              </w:rPr>
              <w:t> </w:t>
            </w:r>
            <w:r w:rsidRPr="00371CD8">
              <w:rPr>
                <w:rFonts w:asciiTheme="minorHAnsi" w:hAnsiTheme="minorHAnsi" w:cstheme="minorHAnsi"/>
                <w:bCs/>
                <w:szCs w:val="18"/>
              </w:rPr>
              <w:t>Controlled</w:t>
            </w:r>
          </w:p>
        </w:tc>
        <w:tc>
          <w:tcPr>
            <w:tcW w:w="1044" w:type="dxa"/>
            <w:tcBorders>
              <w:top w:val="single" w:sz="4" w:space="0" w:color="auto"/>
              <w:left w:val="nil"/>
              <w:bottom w:val="nil"/>
              <w:right w:val="nil"/>
            </w:tcBorders>
          </w:tcPr>
          <w:p w:rsidR="001B4E25" w:rsidRDefault="001B4E25" w:rsidP="00EB5C27">
            <w:pPr>
              <w:keepNext/>
              <w:jc w:val="right"/>
              <w:rPr>
                <w:b/>
                <w:sz w:val="18"/>
                <w:szCs w:val="24"/>
              </w:rPr>
            </w:pPr>
            <w:r>
              <w:rPr>
                <w:b/>
                <w:sz w:val="18"/>
                <w:szCs w:val="24"/>
              </w:rPr>
              <w:t>Estimated</w:t>
            </w:r>
          </w:p>
        </w:tc>
        <w:tc>
          <w:tcPr>
            <w:tcW w:w="1044" w:type="dxa"/>
            <w:tcBorders>
              <w:top w:val="single" w:sz="4" w:space="0" w:color="auto"/>
              <w:left w:val="nil"/>
              <w:bottom w:val="nil"/>
              <w:right w:val="nil"/>
            </w:tcBorders>
          </w:tcPr>
          <w:p w:rsidR="001B4E25" w:rsidRDefault="001B4E25" w:rsidP="00EB5C27">
            <w:pPr>
              <w:keepNext/>
              <w:jc w:val="right"/>
              <w:rPr>
                <w:b/>
                <w:sz w:val="18"/>
                <w:szCs w:val="24"/>
              </w:rPr>
            </w:pPr>
            <w:r>
              <w:rPr>
                <w:b/>
                <w:sz w:val="18"/>
                <w:szCs w:val="24"/>
              </w:rPr>
              <w:t>Estimated</w:t>
            </w:r>
          </w:p>
        </w:tc>
        <w:tc>
          <w:tcPr>
            <w:tcW w:w="1044" w:type="dxa"/>
            <w:tcBorders>
              <w:top w:val="single" w:sz="4" w:space="0" w:color="auto"/>
              <w:left w:val="nil"/>
              <w:bottom w:val="nil"/>
              <w:right w:val="nil"/>
            </w:tcBorders>
          </w:tcPr>
          <w:p w:rsidR="001B4E25" w:rsidRDefault="001B4E25" w:rsidP="00EB5C27">
            <w:pPr>
              <w:keepNext/>
              <w:jc w:val="right"/>
              <w:rPr>
                <w:b/>
                <w:sz w:val="18"/>
                <w:szCs w:val="24"/>
              </w:rPr>
            </w:pPr>
            <w:r>
              <w:rPr>
                <w:b/>
                <w:sz w:val="18"/>
                <w:szCs w:val="24"/>
              </w:rPr>
              <w:t>2013-14</w:t>
            </w:r>
          </w:p>
        </w:tc>
        <w:tc>
          <w:tcPr>
            <w:tcW w:w="1044" w:type="dxa"/>
            <w:tcBorders>
              <w:top w:val="single" w:sz="4" w:space="0" w:color="auto"/>
              <w:left w:val="nil"/>
              <w:bottom w:val="nil"/>
              <w:right w:val="nil"/>
            </w:tcBorders>
          </w:tcPr>
          <w:p w:rsidR="001B4E25" w:rsidRDefault="001B4E25" w:rsidP="00EB5C27">
            <w:pPr>
              <w:keepNext/>
              <w:jc w:val="right"/>
              <w:rPr>
                <w:b/>
                <w:sz w:val="18"/>
                <w:szCs w:val="24"/>
              </w:rPr>
            </w:pPr>
            <w:r>
              <w:rPr>
                <w:b/>
                <w:sz w:val="18"/>
                <w:szCs w:val="24"/>
              </w:rPr>
              <w:t>2014-15</w:t>
            </w:r>
          </w:p>
        </w:tc>
        <w:tc>
          <w:tcPr>
            <w:tcW w:w="1044" w:type="dxa"/>
            <w:tcBorders>
              <w:top w:val="single" w:sz="4" w:space="0" w:color="auto"/>
              <w:left w:val="nil"/>
              <w:bottom w:val="nil"/>
              <w:right w:val="nil"/>
            </w:tcBorders>
          </w:tcPr>
          <w:p w:rsidR="001B4E25" w:rsidRDefault="001B4E25" w:rsidP="00EB5C27">
            <w:pPr>
              <w:keepNext/>
              <w:jc w:val="right"/>
              <w:rPr>
                <w:b/>
                <w:sz w:val="18"/>
                <w:szCs w:val="24"/>
              </w:rPr>
            </w:pPr>
            <w:r>
              <w:rPr>
                <w:b/>
                <w:sz w:val="18"/>
                <w:szCs w:val="24"/>
              </w:rPr>
              <w:t>2015-16</w:t>
            </w:r>
          </w:p>
        </w:tc>
        <w:tc>
          <w:tcPr>
            <w:tcW w:w="1044" w:type="dxa"/>
            <w:tcBorders>
              <w:top w:val="single" w:sz="4" w:space="0" w:color="auto"/>
              <w:left w:val="nil"/>
              <w:bottom w:val="nil"/>
              <w:right w:val="nil"/>
            </w:tcBorders>
          </w:tcPr>
          <w:p w:rsidR="001B4E25" w:rsidRDefault="001B4E25" w:rsidP="00EB5C27">
            <w:pPr>
              <w:keepNext/>
              <w:jc w:val="right"/>
              <w:rPr>
                <w:b/>
                <w:sz w:val="18"/>
                <w:szCs w:val="24"/>
              </w:rPr>
            </w:pPr>
            <w:r>
              <w:rPr>
                <w:b/>
                <w:sz w:val="18"/>
                <w:szCs w:val="24"/>
              </w:rPr>
              <w:t>Physical</w:t>
            </w:r>
          </w:p>
        </w:tc>
      </w:tr>
      <w:tr w:rsidR="001B4E25" w:rsidRPr="00371CD8" w:rsidTr="00EB5C27">
        <w:tblPrEx>
          <w:tblCellMar>
            <w:top w:w="17" w:type="dxa"/>
          </w:tblCellMar>
        </w:tblPrEx>
        <w:trPr>
          <w:trHeight w:val="240"/>
        </w:trPr>
        <w:tc>
          <w:tcPr>
            <w:tcW w:w="3092" w:type="dxa"/>
            <w:tcBorders>
              <w:top w:val="nil"/>
              <w:left w:val="nil"/>
              <w:bottom w:val="nil"/>
              <w:right w:val="nil"/>
            </w:tcBorders>
          </w:tcPr>
          <w:p w:rsidR="001B4E25" w:rsidRPr="00371CD8" w:rsidRDefault="001B4E25" w:rsidP="00EB5C27">
            <w:pPr>
              <w:pStyle w:val="TableHeadingRight-BP4"/>
              <w:jc w:val="left"/>
              <w:rPr>
                <w:rFonts w:asciiTheme="minorHAnsi" w:hAnsiTheme="minorHAnsi" w:cstheme="minorHAnsi"/>
                <w:szCs w:val="18"/>
              </w:rPr>
            </w:pPr>
          </w:p>
        </w:tc>
        <w:tc>
          <w:tcPr>
            <w:tcW w:w="1044" w:type="dxa"/>
            <w:tcBorders>
              <w:top w:val="nil"/>
              <w:left w:val="nil"/>
              <w:bottom w:val="nil"/>
              <w:right w:val="nil"/>
            </w:tcBorders>
          </w:tcPr>
          <w:p w:rsidR="001B4E25" w:rsidRDefault="001B4E25" w:rsidP="00EB5C27">
            <w:pPr>
              <w:keepNext/>
              <w:jc w:val="right"/>
              <w:rPr>
                <w:b/>
                <w:sz w:val="18"/>
                <w:szCs w:val="24"/>
              </w:rPr>
            </w:pPr>
            <w:r>
              <w:rPr>
                <w:b/>
                <w:sz w:val="18"/>
                <w:szCs w:val="24"/>
              </w:rPr>
              <w:t>Total</w:t>
            </w:r>
          </w:p>
        </w:tc>
        <w:tc>
          <w:tcPr>
            <w:tcW w:w="1044" w:type="dxa"/>
            <w:tcBorders>
              <w:top w:val="nil"/>
              <w:left w:val="nil"/>
              <w:bottom w:val="nil"/>
              <w:right w:val="nil"/>
            </w:tcBorders>
          </w:tcPr>
          <w:p w:rsidR="001B4E25" w:rsidRDefault="001B4E25" w:rsidP="00EB5C27">
            <w:pPr>
              <w:keepNext/>
              <w:jc w:val="right"/>
              <w:rPr>
                <w:b/>
                <w:sz w:val="18"/>
                <w:szCs w:val="24"/>
              </w:rPr>
            </w:pPr>
            <w:r>
              <w:rPr>
                <w:b/>
                <w:sz w:val="18"/>
                <w:szCs w:val="24"/>
              </w:rPr>
              <w:t>Expenditure</w:t>
            </w:r>
          </w:p>
        </w:tc>
        <w:tc>
          <w:tcPr>
            <w:tcW w:w="1044" w:type="dxa"/>
            <w:tcBorders>
              <w:top w:val="nil"/>
              <w:left w:val="nil"/>
              <w:bottom w:val="nil"/>
              <w:right w:val="nil"/>
            </w:tcBorders>
          </w:tcPr>
          <w:p w:rsidR="001B4E25" w:rsidRDefault="001B4E25" w:rsidP="00EB5C27">
            <w:pPr>
              <w:keepNext/>
              <w:jc w:val="right"/>
              <w:rPr>
                <w:b/>
                <w:sz w:val="18"/>
                <w:szCs w:val="24"/>
              </w:rPr>
            </w:pPr>
            <w:r>
              <w:rPr>
                <w:b/>
                <w:sz w:val="18"/>
                <w:szCs w:val="24"/>
              </w:rPr>
              <w:t>Financing</w:t>
            </w:r>
          </w:p>
        </w:tc>
        <w:tc>
          <w:tcPr>
            <w:tcW w:w="1044" w:type="dxa"/>
            <w:tcBorders>
              <w:top w:val="nil"/>
              <w:left w:val="nil"/>
              <w:bottom w:val="nil"/>
              <w:right w:val="nil"/>
            </w:tcBorders>
          </w:tcPr>
          <w:p w:rsidR="001B4E25" w:rsidRDefault="001B4E25" w:rsidP="00EB5C27">
            <w:pPr>
              <w:keepNext/>
              <w:jc w:val="right"/>
              <w:rPr>
                <w:b/>
                <w:sz w:val="18"/>
                <w:szCs w:val="24"/>
              </w:rPr>
            </w:pPr>
            <w:r>
              <w:rPr>
                <w:b/>
                <w:sz w:val="18"/>
                <w:szCs w:val="24"/>
              </w:rPr>
              <w:t>Financing</w:t>
            </w:r>
          </w:p>
        </w:tc>
        <w:tc>
          <w:tcPr>
            <w:tcW w:w="1044" w:type="dxa"/>
            <w:tcBorders>
              <w:top w:val="nil"/>
              <w:left w:val="nil"/>
              <w:bottom w:val="nil"/>
              <w:right w:val="nil"/>
            </w:tcBorders>
          </w:tcPr>
          <w:p w:rsidR="001B4E25" w:rsidRDefault="001B4E25" w:rsidP="00EB5C27">
            <w:pPr>
              <w:keepNext/>
              <w:jc w:val="right"/>
              <w:rPr>
                <w:b/>
                <w:sz w:val="18"/>
                <w:szCs w:val="24"/>
              </w:rPr>
            </w:pPr>
            <w:r>
              <w:rPr>
                <w:b/>
                <w:sz w:val="18"/>
                <w:szCs w:val="24"/>
              </w:rPr>
              <w:t>Financing</w:t>
            </w:r>
          </w:p>
        </w:tc>
        <w:tc>
          <w:tcPr>
            <w:tcW w:w="1044" w:type="dxa"/>
            <w:tcBorders>
              <w:top w:val="nil"/>
              <w:left w:val="nil"/>
              <w:bottom w:val="nil"/>
              <w:right w:val="nil"/>
            </w:tcBorders>
          </w:tcPr>
          <w:p w:rsidR="001B4E25" w:rsidRDefault="001B4E25" w:rsidP="00EB5C27">
            <w:pPr>
              <w:keepNext/>
              <w:jc w:val="right"/>
              <w:rPr>
                <w:b/>
                <w:sz w:val="18"/>
                <w:szCs w:val="24"/>
              </w:rPr>
            </w:pPr>
            <w:r>
              <w:rPr>
                <w:b/>
                <w:sz w:val="18"/>
                <w:szCs w:val="24"/>
              </w:rPr>
              <w:t>Completion</w:t>
            </w:r>
          </w:p>
        </w:tc>
      </w:tr>
      <w:tr w:rsidR="001B4E25" w:rsidRPr="00371CD8" w:rsidTr="00EB5C27">
        <w:tblPrEx>
          <w:tblCellMar>
            <w:top w:w="17" w:type="dxa"/>
          </w:tblCellMar>
        </w:tblPrEx>
        <w:trPr>
          <w:trHeight w:val="240"/>
        </w:trPr>
        <w:tc>
          <w:tcPr>
            <w:tcW w:w="3092" w:type="dxa"/>
            <w:tcBorders>
              <w:top w:val="nil"/>
              <w:left w:val="nil"/>
              <w:bottom w:val="nil"/>
              <w:right w:val="nil"/>
            </w:tcBorders>
          </w:tcPr>
          <w:p w:rsidR="001B4E25" w:rsidRPr="00371CD8" w:rsidRDefault="001B4E25" w:rsidP="00EB5C27">
            <w:pPr>
              <w:pStyle w:val="TableHeadingRight-BP4"/>
              <w:jc w:val="left"/>
              <w:rPr>
                <w:rFonts w:asciiTheme="minorHAnsi" w:hAnsiTheme="minorHAnsi" w:cstheme="minorHAnsi"/>
                <w:szCs w:val="18"/>
              </w:rPr>
            </w:pPr>
          </w:p>
        </w:tc>
        <w:tc>
          <w:tcPr>
            <w:tcW w:w="1044" w:type="dxa"/>
            <w:tcBorders>
              <w:top w:val="nil"/>
              <w:left w:val="nil"/>
              <w:bottom w:val="nil"/>
              <w:right w:val="nil"/>
            </w:tcBorders>
          </w:tcPr>
          <w:p w:rsidR="001B4E25" w:rsidRDefault="001B4E25" w:rsidP="00EB5C27">
            <w:pPr>
              <w:keepNext/>
              <w:jc w:val="right"/>
              <w:rPr>
                <w:b/>
                <w:sz w:val="18"/>
                <w:szCs w:val="24"/>
              </w:rPr>
            </w:pPr>
            <w:r>
              <w:rPr>
                <w:b/>
                <w:sz w:val="18"/>
                <w:szCs w:val="24"/>
              </w:rPr>
              <w:t>Cost</w:t>
            </w:r>
          </w:p>
        </w:tc>
        <w:tc>
          <w:tcPr>
            <w:tcW w:w="1044" w:type="dxa"/>
            <w:tcBorders>
              <w:top w:val="nil"/>
              <w:left w:val="nil"/>
              <w:bottom w:val="nil"/>
              <w:right w:val="nil"/>
            </w:tcBorders>
          </w:tcPr>
          <w:p w:rsidR="001B4E25" w:rsidRDefault="001B4E25" w:rsidP="00EB5C27">
            <w:pPr>
              <w:keepNext/>
              <w:jc w:val="right"/>
              <w:rPr>
                <w:b/>
                <w:sz w:val="18"/>
                <w:szCs w:val="24"/>
              </w:rPr>
            </w:pPr>
            <w:r>
              <w:rPr>
                <w:b/>
                <w:sz w:val="18"/>
                <w:szCs w:val="24"/>
              </w:rPr>
              <w:t>Pre 2013-14</w:t>
            </w:r>
          </w:p>
        </w:tc>
        <w:tc>
          <w:tcPr>
            <w:tcW w:w="1044" w:type="dxa"/>
            <w:tcBorders>
              <w:top w:val="nil"/>
              <w:left w:val="nil"/>
              <w:bottom w:val="nil"/>
              <w:right w:val="nil"/>
            </w:tcBorders>
          </w:tcPr>
          <w:p w:rsidR="001B4E25" w:rsidRDefault="001B4E25" w:rsidP="00EB5C27">
            <w:pPr>
              <w:keepNext/>
              <w:jc w:val="right"/>
              <w:rPr>
                <w:b/>
                <w:sz w:val="18"/>
                <w:szCs w:val="24"/>
              </w:rPr>
            </w:pPr>
          </w:p>
        </w:tc>
        <w:tc>
          <w:tcPr>
            <w:tcW w:w="1044" w:type="dxa"/>
            <w:tcBorders>
              <w:top w:val="nil"/>
              <w:left w:val="nil"/>
              <w:bottom w:val="nil"/>
              <w:right w:val="nil"/>
            </w:tcBorders>
          </w:tcPr>
          <w:p w:rsidR="001B4E25" w:rsidRDefault="001B4E25" w:rsidP="00EB5C27">
            <w:pPr>
              <w:keepNext/>
              <w:jc w:val="right"/>
              <w:rPr>
                <w:b/>
                <w:sz w:val="18"/>
                <w:szCs w:val="24"/>
              </w:rPr>
            </w:pPr>
          </w:p>
        </w:tc>
        <w:tc>
          <w:tcPr>
            <w:tcW w:w="1044" w:type="dxa"/>
            <w:tcBorders>
              <w:top w:val="nil"/>
              <w:left w:val="nil"/>
              <w:bottom w:val="nil"/>
              <w:right w:val="nil"/>
            </w:tcBorders>
          </w:tcPr>
          <w:p w:rsidR="001B4E25" w:rsidRDefault="001B4E25" w:rsidP="00EB5C27">
            <w:pPr>
              <w:keepNext/>
              <w:jc w:val="right"/>
              <w:rPr>
                <w:b/>
                <w:sz w:val="18"/>
                <w:szCs w:val="24"/>
              </w:rPr>
            </w:pPr>
          </w:p>
        </w:tc>
        <w:tc>
          <w:tcPr>
            <w:tcW w:w="1044" w:type="dxa"/>
            <w:tcBorders>
              <w:top w:val="nil"/>
              <w:left w:val="nil"/>
              <w:bottom w:val="nil"/>
              <w:right w:val="nil"/>
            </w:tcBorders>
          </w:tcPr>
          <w:p w:rsidR="001B4E25" w:rsidRDefault="001B4E25" w:rsidP="00EB5C27">
            <w:pPr>
              <w:keepNext/>
              <w:jc w:val="right"/>
              <w:rPr>
                <w:b/>
                <w:sz w:val="18"/>
                <w:szCs w:val="24"/>
              </w:rPr>
            </w:pPr>
            <w:r>
              <w:rPr>
                <w:b/>
                <w:sz w:val="18"/>
                <w:szCs w:val="24"/>
              </w:rPr>
              <w:t>Date</w:t>
            </w:r>
          </w:p>
        </w:tc>
      </w:tr>
      <w:tr w:rsidR="001B4E25" w:rsidRPr="00371CD8" w:rsidTr="00EB5C27">
        <w:trPr>
          <w:trHeight w:val="240"/>
        </w:trPr>
        <w:tc>
          <w:tcPr>
            <w:tcW w:w="3092" w:type="dxa"/>
            <w:tcBorders>
              <w:top w:val="nil"/>
              <w:left w:val="nil"/>
              <w:bottom w:val="single" w:sz="4" w:space="0" w:color="auto"/>
              <w:right w:val="nil"/>
            </w:tcBorders>
          </w:tcPr>
          <w:p w:rsidR="001B4E25" w:rsidRPr="00371CD8" w:rsidRDefault="001B4E25" w:rsidP="00EB5C27">
            <w:pPr>
              <w:pStyle w:val="TableHeadingRight-BP4"/>
              <w:jc w:val="left"/>
              <w:rPr>
                <w:rFonts w:asciiTheme="minorHAnsi" w:hAnsiTheme="minorHAnsi" w:cstheme="minorHAnsi"/>
                <w:szCs w:val="18"/>
              </w:rPr>
            </w:pPr>
            <w:r w:rsidRPr="00371CD8">
              <w:rPr>
                <w:rFonts w:asciiTheme="minorHAnsi" w:hAnsiTheme="minorHAnsi" w:cstheme="minorHAnsi"/>
                <w:szCs w:val="18"/>
              </w:rPr>
              <w:t> </w:t>
            </w:r>
          </w:p>
        </w:tc>
        <w:tc>
          <w:tcPr>
            <w:tcW w:w="1044" w:type="dxa"/>
            <w:tcBorders>
              <w:top w:val="nil"/>
              <w:left w:val="nil"/>
              <w:bottom w:val="single" w:sz="4" w:space="0" w:color="auto"/>
              <w:right w:val="nil"/>
            </w:tcBorders>
          </w:tcPr>
          <w:p w:rsidR="001B4E25" w:rsidRDefault="001B4E25" w:rsidP="00EB5C27">
            <w:pPr>
              <w:keepNext/>
              <w:jc w:val="right"/>
              <w:rPr>
                <w:b/>
                <w:sz w:val="18"/>
                <w:szCs w:val="24"/>
              </w:rPr>
            </w:pPr>
            <w:r>
              <w:rPr>
                <w:b/>
                <w:sz w:val="18"/>
                <w:szCs w:val="24"/>
              </w:rPr>
              <w:t>$’000</w:t>
            </w:r>
          </w:p>
        </w:tc>
        <w:tc>
          <w:tcPr>
            <w:tcW w:w="1044" w:type="dxa"/>
            <w:tcBorders>
              <w:top w:val="nil"/>
              <w:left w:val="nil"/>
              <w:bottom w:val="single" w:sz="4" w:space="0" w:color="auto"/>
              <w:right w:val="nil"/>
            </w:tcBorders>
          </w:tcPr>
          <w:p w:rsidR="001B4E25" w:rsidRDefault="001B4E25" w:rsidP="00EB5C27">
            <w:pPr>
              <w:keepNext/>
              <w:jc w:val="right"/>
              <w:rPr>
                <w:b/>
                <w:sz w:val="18"/>
                <w:szCs w:val="24"/>
              </w:rPr>
            </w:pPr>
            <w:r>
              <w:rPr>
                <w:b/>
                <w:sz w:val="18"/>
                <w:szCs w:val="24"/>
              </w:rPr>
              <w:t>$’000</w:t>
            </w:r>
          </w:p>
        </w:tc>
        <w:tc>
          <w:tcPr>
            <w:tcW w:w="1044" w:type="dxa"/>
            <w:tcBorders>
              <w:top w:val="nil"/>
              <w:left w:val="nil"/>
              <w:bottom w:val="single" w:sz="4" w:space="0" w:color="auto"/>
              <w:right w:val="nil"/>
            </w:tcBorders>
          </w:tcPr>
          <w:p w:rsidR="001B4E25" w:rsidRDefault="001B4E25" w:rsidP="00EB5C27">
            <w:pPr>
              <w:keepNext/>
              <w:jc w:val="right"/>
              <w:rPr>
                <w:b/>
                <w:sz w:val="18"/>
                <w:szCs w:val="24"/>
              </w:rPr>
            </w:pPr>
            <w:r>
              <w:rPr>
                <w:b/>
                <w:sz w:val="18"/>
                <w:szCs w:val="24"/>
              </w:rPr>
              <w:t>$’000</w:t>
            </w:r>
          </w:p>
        </w:tc>
        <w:tc>
          <w:tcPr>
            <w:tcW w:w="1044" w:type="dxa"/>
            <w:tcBorders>
              <w:top w:val="nil"/>
              <w:left w:val="nil"/>
              <w:bottom w:val="single" w:sz="4" w:space="0" w:color="auto"/>
              <w:right w:val="nil"/>
            </w:tcBorders>
          </w:tcPr>
          <w:p w:rsidR="001B4E25" w:rsidRDefault="001B4E25" w:rsidP="00EB5C27">
            <w:pPr>
              <w:keepNext/>
              <w:jc w:val="right"/>
              <w:rPr>
                <w:b/>
                <w:sz w:val="18"/>
                <w:szCs w:val="24"/>
              </w:rPr>
            </w:pPr>
            <w:r>
              <w:rPr>
                <w:b/>
                <w:sz w:val="18"/>
                <w:szCs w:val="24"/>
              </w:rPr>
              <w:t>$’000</w:t>
            </w:r>
          </w:p>
        </w:tc>
        <w:tc>
          <w:tcPr>
            <w:tcW w:w="1044" w:type="dxa"/>
            <w:tcBorders>
              <w:top w:val="nil"/>
              <w:left w:val="nil"/>
              <w:bottom w:val="single" w:sz="4" w:space="0" w:color="auto"/>
              <w:right w:val="nil"/>
            </w:tcBorders>
          </w:tcPr>
          <w:p w:rsidR="001B4E25" w:rsidRDefault="001B4E25" w:rsidP="00EB5C27">
            <w:pPr>
              <w:keepNext/>
              <w:jc w:val="right"/>
              <w:rPr>
                <w:b/>
                <w:sz w:val="18"/>
                <w:szCs w:val="24"/>
              </w:rPr>
            </w:pPr>
            <w:r>
              <w:rPr>
                <w:b/>
                <w:sz w:val="18"/>
                <w:szCs w:val="24"/>
              </w:rPr>
              <w:t>$’000</w:t>
            </w:r>
          </w:p>
        </w:tc>
        <w:tc>
          <w:tcPr>
            <w:tcW w:w="1044" w:type="dxa"/>
            <w:tcBorders>
              <w:top w:val="nil"/>
              <w:left w:val="nil"/>
              <w:bottom w:val="single" w:sz="4" w:space="0" w:color="auto"/>
              <w:right w:val="nil"/>
            </w:tcBorders>
          </w:tcPr>
          <w:p w:rsidR="001B4E25" w:rsidRDefault="001B4E25" w:rsidP="00EB5C27">
            <w:pPr>
              <w:keepNext/>
              <w:jc w:val="right"/>
              <w:rPr>
                <w:b/>
                <w:sz w:val="18"/>
                <w:szCs w:val="24"/>
              </w:rPr>
            </w:pPr>
            <w:r>
              <w:rPr>
                <w:b/>
                <w:sz w:val="18"/>
                <w:szCs w:val="24"/>
              </w:rPr>
              <w:t> </w:t>
            </w:r>
          </w:p>
        </w:tc>
      </w:tr>
      <w:tr w:rsidR="001B4E25" w:rsidRPr="00371CD8" w:rsidTr="00EB5C27">
        <w:trPr>
          <w:trHeight w:hRule="exact" w:val="198"/>
        </w:trPr>
        <w:tc>
          <w:tcPr>
            <w:tcW w:w="3092" w:type="dxa"/>
            <w:tcBorders>
              <w:top w:val="nil"/>
              <w:left w:val="nil"/>
              <w:bottom w:val="nil"/>
              <w:right w:val="nil"/>
            </w:tcBorders>
          </w:tcPr>
          <w:p w:rsidR="001B4E25" w:rsidRPr="00371CD8" w:rsidRDefault="001B4E25" w:rsidP="00EB5C27">
            <w:pPr>
              <w:pStyle w:val="TableHeadingLeft-BP4"/>
              <w:rPr>
                <w:rFonts w:asciiTheme="minorHAnsi" w:hAnsiTheme="minorHAnsi" w:cstheme="minorHAnsi"/>
                <w:szCs w:val="18"/>
              </w:rPr>
            </w:pPr>
          </w:p>
        </w:tc>
        <w:tc>
          <w:tcPr>
            <w:tcW w:w="1044" w:type="dxa"/>
            <w:tcBorders>
              <w:top w:val="nil"/>
              <w:left w:val="nil"/>
              <w:bottom w:val="nil"/>
              <w:right w:val="nil"/>
            </w:tcBorders>
          </w:tcPr>
          <w:p w:rsidR="001B4E25" w:rsidRPr="00371CD8" w:rsidRDefault="001B4E25" w:rsidP="00EB5C27">
            <w:pPr>
              <w:pStyle w:val="TableNumbersRight"/>
              <w:rPr>
                <w:rFonts w:asciiTheme="minorHAnsi" w:hAnsiTheme="minorHAnsi" w:cstheme="minorHAnsi"/>
                <w:sz w:val="18"/>
                <w:szCs w:val="18"/>
              </w:rPr>
            </w:pPr>
          </w:p>
        </w:tc>
        <w:tc>
          <w:tcPr>
            <w:tcW w:w="1044" w:type="dxa"/>
            <w:tcBorders>
              <w:top w:val="nil"/>
              <w:left w:val="nil"/>
              <w:bottom w:val="nil"/>
              <w:right w:val="nil"/>
            </w:tcBorders>
          </w:tcPr>
          <w:p w:rsidR="001B4E25" w:rsidRPr="00371CD8" w:rsidRDefault="001B4E25" w:rsidP="00EB5C27">
            <w:pPr>
              <w:pStyle w:val="TableNumbersRight"/>
              <w:rPr>
                <w:rFonts w:asciiTheme="minorHAnsi" w:hAnsiTheme="minorHAnsi" w:cstheme="minorHAnsi"/>
                <w:sz w:val="18"/>
                <w:szCs w:val="18"/>
              </w:rPr>
            </w:pPr>
          </w:p>
        </w:tc>
        <w:tc>
          <w:tcPr>
            <w:tcW w:w="1044" w:type="dxa"/>
            <w:tcBorders>
              <w:top w:val="nil"/>
              <w:left w:val="nil"/>
              <w:bottom w:val="nil"/>
              <w:right w:val="nil"/>
            </w:tcBorders>
          </w:tcPr>
          <w:p w:rsidR="001B4E25" w:rsidRPr="00371CD8" w:rsidRDefault="001B4E25" w:rsidP="00EB5C27">
            <w:pPr>
              <w:pStyle w:val="TableNumbersRight"/>
              <w:rPr>
                <w:rFonts w:asciiTheme="minorHAnsi" w:hAnsiTheme="minorHAnsi" w:cstheme="minorHAnsi"/>
                <w:sz w:val="18"/>
                <w:szCs w:val="18"/>
              </w:rPr>
            </w:pPr>
          </w:p>
        </w:tc>
        <w:tc>
          <w:tcPr>
            <w:tcW w:w="1044" w:type="dxa"/>
            <w:tcBorders>
              <w:top w:val="nil"/>
              <w:left w:val="nil"/>
              <w:bottom w:val="nil"/>
              <w:right w:val="nil"/>
            </w:tcBorders>
          </w:tcPr>
          <w:p w:rsidR="001B4E25" w:rsidRPr="00371CD8" w:rsidRDefault="001B4E25" w:rsidP="00EB5C27">
            <w:pPr>
              <w:pStyle w:val="TableNumbersRight"/>
              <w:rPr>
                <w:rFonts w:asciiTheme="minorHAnsi" w:hAnsiTheme="minorHAnsi" w:cstheme="minorHAnsi"/>
                <w:sz w:val="18"/>
                <w:szCs w:val="18"/>
              </w:rPr>
            </w:pPr>
          </w:p>
        </w:tc>
        <w:tc>
          <w:tcPr>
            <w:tcW w:w="1044" w:type="dxa"/>
            <w:tcBorders>
              <w:top w:val="nil"/>
              <w:left w:val="nil"/>
              <w:bottom w:val="nil"/>
              <w:right w:val="nil"/>
            </w:tcBorders>
          </w:tcPr>
          <w:p w:rsidR="001B4E25" w:rsidRPr="00371CD8" w:rsidRDefault="001B4E25" w:rsidP="00EB5C27">
            <w:pPr>
              <w:pStyle w:val="TableNumbersRight"/>
              <w:rPr>
                <w:rFonts w:asciiTheme="minorHAnsi" w:hAnsiTheme="minorHAnsi" w:cstheme="minorHAnsi"/>
                <w:sz w:val="18"/>
                <w:szCs w:val="18"/>
              </w:rPr>
            </w:pPr>
          </w:p>
        </w:tc>
        <w:tc>
          <w:tcPr>
            <w:tcW w:w="1044" w:type="dxa"/>
            <w:tcBorders>
              <w:top w:val="nil"/>
              <w:left w:val="nil"/>
              <w:bottom w:val="nil"/>
              <w:right w:val="nil"/>
            </w:tcBorders>
          </w:tcPr>
          <w:p w:rsidR="001B4E25" w:rsidRPr="00371CD8" w:rsidRDefault="001B4E25" w:rsidP="00EB5C27">
            <w:pPr>
              <w:pStyle w:val="TableNumbersRight"/>
              <w:rPr>
                <w:rFonts w:asciiTheme="minorHAnsi" w:hAnsiTheme="minorHAnsi" w:cstheme="minorHAnsi"/>
                <w:sz w:val="18"/>
                <w:szCs w:val="18"/>
              </w:rPr>
            </w:pPr>
          </w:p>
        </w:tc>
      </w:tr>
      <w:tr w:rsidR="001B4E25" w:rsidRPr="00156EB8" w:rsidTr="00EB5C27">
        <w:trPr>
          <w:trHeight w:val="240"/>
        </w:trPr>
        <w:tc>
          <w:tcPr>
            <w:tcW w:w="3092" w:type="dxa"/>
            <w:tcBorders>
              <w:top w:val="nil"/>
              <w:left w:val="nil"/>
              <w:bottom w:val="nil"/>
              <w:right w:val="nil"/>
            </w:tcBorders>
          </w:tcPr>
          <w:p w:rsidR="001B4E25" w:rsidRPr="00B558F4" w:rsidRDefault="001B4E25" w:rsidP="00EB5C27">
            <w:pPr>
              <w:pStyle w:val="TableHeadingLeft-BP4"/>
              <w:rPr>
                <w:rFonts w:asciiTheme="minorHAnsi" w:hAnsiTheme="minorHAnsi" w:cstheme="minorHAnsi"/>
                <w:szCs w:val="18"/>
              </w:rPr>
            </w:pPr>
            <w:r w:rsidRPr="00B558F4">
              <w:rPr>
                <w:rFonts w:asciiTheme="minorHAnsi" w:hAnsiTheme="minorHAnsi" w:cstheme="minorHAnsi"/>
                <w:szCs w:val="18"/>
              </w:rPr>
              <w:t>New Capital Works</w:t>
            </w:r>
          </w:p>
        </w:tc>
        <w:tc>
          <w:tcPr>
            <w:tcW w:w="1044" w:type="dxa"/>
            <w:tcBorders>
              <w:top w:val="nil"/>
              <w:left w:val="nil"/>
              <w:bottom w:val="nil"/>
              <w:right w:val="nil"/>
            </w:tcBorders>
          </w:tcPr>
          <w:p w:rsidR="001B4E25" w:rsidRPr="00B558F4" w:rsidRDefault="001B4E25" w:rsidP="00EB5C27">
            <w:pPr>
              <w:pStyle w:val="TableNumbersRight"/>
              <w:rPr>
                <w:rFonts w:asciiTheme="minorHAnsi" w:hAnsiTheme="minorHAnsi" w:cstheme="minorHAnsi"/>
                <w:sz w:val="18"/>
                <w:szCs w:val="18"/>
              </w:rPr>
            </w:pPr>
          </w:p>
        </w:tc>
        <w:tc>
          <w:tcPr>
            <w:tcW w:w="1044" w:type="dxa"/>
            <w:tcBorders>
              <w:top w:val="nil"/>
              <w:left w:val="nil"/>
              <w:bottom w:val="nil"/>
              <w:right w:val="nil"/>
            </w:tcBorders>
          </w:tcPr>
          <w:p w:rsidR="001B4E25" w:rsidRPr="00B558F4" w:rsidRDefault="001B4E25" w:rsidP="00EB5C27">
            <w:pPr>
              <w:pStyle w:val="TableNumbersRight"/>
              <w:rPr>
                <w:rFonts w:asciiTheme="minorHAnsi" w:hAnsiTheme="minorHAnsi" w:cstheme="minorHAnsi"/>
                <w:sz w:val="18"/>
                <w:szCs w:val="18"/>
              </w:rPr>
            </w:pPr>
          </w:p>
        </w:tc>
        <w:tc>
          <w:tcPr>
            <w:tcW w:w="1044" w:type="dxa"/>
            <w:tcBorders>
              <w:top w:val="nil"/>
              <w:left w:val="nil"/>
              <w:bottom w:val="nil"/>
              <w:right w:val="nil"/>
            </w:tcBorders>
          </w:tcPr>
          <w:p w:rsidR="001B4E25" w:rsidRPr="00B558F4" w:rsidRDefault="001B4E25" w:rsidP="00EB5C27">
            <w:pPr>
              <w:pStyle w:val="TableNumbersRight"/>
              <w:rPr>
                <w:rFonts w:asciiTheme="minorHAnsi" w:hAnsiTheme="minorHAnsi" w:cstheme="minorHAnsi"/>
                <w:sz w:val="18"/>
                <w:szCs w:val="18"/>
              </w:rPr>
            </w:pPr>
          </w:p>
        </w:tc>
        <w:tc>
          <w:tcPr>
            <w:tcW w:w="1044" w:type="dxa"/>
            <w:tcBorders>
              <w:top w:val="nil"/>
              <w:left w:val="nil"/>
              <w:bottom w:val="nil"/>
              <w:right w:val="nil"/>
            </w:tcBorders>
          </w:tcPr>
          <w:p w:rsidR="001B4E25" w:rsidRPr="00B558F4" w:rsidRDefault="001B4E25" w:rsidP="00EB5C27">
            <w:pPr>
              <w:pStyle w:val="TableNumbersRight"/>
              <w:rPr>
                <w:rFonts w:asciiTheme="minorHAnsi" w:hAnsiTheme="minorHAnsi" w:cstheme="minorHAnsi"/>
                <w:sz w:val="18"/>
                <w:szCs w:val="18"/>
              </w:rPr>
            </w:pPr>
          </w:p>
        </w:tc>
        <w:tc>
          <w:tcPr>
            <w:tcW w:w="1044" w:type="dxa"/>
            <w:tcBorders>
              <w:top w:val="nil"/>
              <w:left w:val="nil"/>
              <w:bottom w:val="nil"/>
              <w:right w:val="nil"/>
            </w:tcBorders>
          </w:tcPr>
          <w:p w:rsidR="001B4E25" w:rsidRPr="00B558F4" w:rsidRDefault="001B4E25" w:rsidP="00EB5C27">
            <w:pPr>
              <w:pStyle w:val="TableNumbersRight"/>
              <w:rPr>
                <w:rFonts w:asciiTheme="minorHAnsi" w:hAnsiTheme="minorHAnsi" w:cstheme="minorHAnsi"/>
                <w:sz w:val="18"/>
                <w:szCs w:val="18"/>
              </w:rPr>
            </w:pPr>
          </w:p>
        </w:tc>
        <w:tc>
          <w:tcPr>
            <w:tcW w:w="1044" w:type="dxa"/>
            <w:tcBorders>
              <w:top w:val="nil"/>
              <w:left w:val="nil"/>
              <w:bottom w:val="nil"/>
              <w:right w:val="nil"/>
            </w:tcBorders>
          </w:tcPr>
          <w:p w:rsidR="001B4E25" w:rsidRPr="00156EB8" w:rsidRDefault="001B4E25" w:rsidP="00EB5C27">
            <w:pPr>
              <w:pStyle w:val="TableNumbersRight"/>
              <w:rPr>
                <w:rFonts w:asciiTheme="minorHAnsi" w:hAnsiTheme="minorHAnsi" w:cstheme="minorHAnsi"/>
                <w:sz w:val="18"/>
                <w:szCs w:val="18"/>
                <w:highlight w:val="yellow"/>
              </w:rPr>
            </w:pPr>
          </w:p>
        </w:tc>
      </w:tr>
      <w:tr w:rsidR="001B4E25" w:rsidRPr="00156EB8" w:rsidTr="00EB5C27">
        <w:trPr>
          <w:trHeight w:val="240"/>
        </w:trPr>
        <w:tc>
          <w:tcPr>
            <w:tcW w:w="3092" w:type="dxa"/>
            <w:tcBorders>
              <w:top w:val="nil"/>
              <w:left w:val="nil"/>
              <w:bottom w:val="nil"/>
              <w:right w:val="nil"/>
            </w:tcBorders>
          </w:tcPr>
          <w:p w:rsidR="001B4E25" w:rsidRPr="00B558F4" w:rsidRDefault="001B4E25" w:rsidP="00013549">
            <w:pPr>
              <w:pStyle w:val="TableTextLeft-BP4"/>
              <w:rPr>
                <w:rFonts w:asciiTheme="minorHAnsi" w:hAnsiTheme="minorHAnsi" w:cstheme="minorHAnsi"/>
              </w:rPr>
            </w:pPr>
            <w:r>
              <w:rPr>
                <w:rFonts w:asciiTheme="minorHAnsi" w:hAnsiTheme="minorHAnsi" w:cstheme="minorHAnsi"/>
              </w:rPr>
              <w:t>ESA Station Upgrade</w:t>
            </w:r>
            <w:r w:rsidR="00013549">
              <w:rPr>
                <w:rFonts w:asciiTheme="minorHAnsi" w:hAnsiTheme="minorHAnsi" w:cstheme="minorHAnsi"/>
              </w:rPr>
              <w:t xml:space="preserve"> and Relocation</w:t>
            </w:r>
            <w:r>
              <w:rPr>
                <w:rFonts w:asciiTheme="minorHAnsi" w:hAnsiTheme="minorHAnsi" w:cstheme="minorHAnsi"/>
              </w:rPr>
              <w:t xml:space="preserve"> – South Tuggeranong Station</w:t>
            </w:r>
          </w:p>
        </w:tc>
        <w:tc>
          <w:tcPr>
            <w:tcW w:w="1044" w:type="dxa"/>
            <w:tcBorders>
              <w:top w:val="nil"/>
              <w:left w:val="nil"/>
              <w:bottom w:val="nil"/>
              <w:right w:val="nil"/>
            </w:tcBorders>
          </w:tcPr>
          <w:p w:rsidR="001B4E25" w:rsidRPr="00B558F4" w:rsidRDefault="001B4E25" w:rsidP="00EB5C27">
            <w:pPr>
              <w:pStyle w:val="TableNumbersRight"/>
              <w:rPr>
                <w:rFonts w:asciiTheme="minorHAnsi" w:hAnsiTheme="minorHAnsi" w:cstheme="minorHAnsi"/>
                <w:bCs/>
                <w:sz w:val="18"/>
                <w:szCs w:val="18"/>
              </w:rPr>
            </w:pPr>
            <w:r>
              <w:rPr>
                <w:rFonts w:asciiTheme="minorHAnsi" w:hAnsiTheme="minorHAnsi" w:cstheme="minorHAnsi"/>
                <w:bCs/>
                <w:sz w:val="18"/>
                <w:szCs w:val="18"/>
              </w:rPr>
              <w:t>17,360</w:t>
            </w:r>
          </w:p>
        </w:tc>
        <w:tc>
          <w:tcPr>
            <w:tcW w:w="1044" w:type="dxa"/>
            <w:tcBorders>
              <w:top w:val="nil"/>
              <w:left w:val="nil"/>
              <w:bottom w:val="nil"/>
              <w:right w:val="nil"/>
            </w:tcBorders>
          </w:tcPr>
          <w:p w:rsidR="001B4E25" w:rsidRPr="00B558F4" w:rsidRDefault="001B4E25" w:rsidP="00EB5C27">
            <w:pPr>
              <w:pStyle w:val="TableNumbersRight-BP4"/>
              <w:rPr>
                <w:szCs w:val="18"/>
              </w:rPr>
            </w:pPr>
            <w:r>
              <w:rPr>
                <w:szCs w:val="18"/>
              </w:rPr>
              <w:t>-</w:t>
            </w:r>
          </w:p>
        </w:tc>
        <w:tc>
          <w:tcPr>
            <w:tcW w:w="1044" w:type="dxa"/>
            <w:tcBorders>
              <w:top w:val="nil"/>
              <w:left w:val="nil"/>
              <w:bottom w:val="nil"/>
              <w:right w:val="nil"/>
            </w:tcBorders>
          </w:tcPr>
          <w:p w:rsidR="001B4E25" w:rsidRPr="00B558F4" w:rsidRDefault="001B4E25" w:rsidP="00EB5C27">
            <w:pPr>
              <w:jc w:val="right"/>
              <w:rPr>
                <w:sz w:val="18"/>
                <w:szCs w:val="18"/>
              </w:rPr>
            </w:pPr>
            <w:r>
              <w:rPr>
                <w:sz w:val="18"/>
                <w:szCs w:val="18"/>
              </w:rPr>
              <w:t>7,847</w:t>
            </w:r>
          </w:p>
        </w:tc>
        <w:tc>
          <w:tcPr>
            <w:tcW w:w="1044" w:type="dxa"/>
            <w:tcBorders>
              <w:top w:val="nil"/>
              <w:left w:val="nil"/>
              <w:bottom w:val="nil"/>
              <w:right w:val="nil"/>
            </w:tcBorders>
          </w:tcPr>
          <w:p w:rsidR="001B4E25" w:rsidRPr="00B558F4" w:rsidRDefault="001B4E25" w:rsidP="00EB5C27">
            <w:pPr>
              <w:jc w:val="right"/>
              <w:rPr>
                <w:sz w:val="18"/>
                <w:szCs w:val="18"/>
              </w:rPr>
            </w:pPr>
            <w:r>
              <w:rPr>
                <w:sz w:val="18"/>
                <w:szCs w:val="18"/>
              </w:rPr>
              <w:t>8,589</w:t>
            </w:r>
          </w:p>
        </w:tc>
        <w:tc>
          <w:tcPr>
            <w:tcW w:w="1044" w:type="dxa"/>
            <w:tcBorders>
              <w:top w:val="nil"/>
              <w:left w:val="nil"/>
              <w:bottom w:val="nil"/>
              <w:right w:val="nil"/>
            </w:tcBorders>
          </w:tcPr>
          <w:p w:rsidR="001B4E25" w:rsidRPr="00B558F4" w:rsidRDefault="001B4E25" w:rsidP="00EB5C27">
            <w:pPr>
              <w:jc w:val="right"/>
              <w:rPr>
                <w:sz w:val="18"/>
                <w:szCs w:val="18"/>
              </w:rPr>
            </w:pPr>
            <w:r>
              <w:rPr>
                <w:sz w:val="18"/>
                <w:szCs w:val="18"/>
              </w:rPr>
              <w:t>924</w:t>
            </w:r>
          </w:p>
        </w:tc>
        <w:tc>
          <w:tcPr>
            <w:tcW w:w="1044" w:type="dxa"/>
            <w:tcBorders>
              <w:top w:val="nil"/>
              <w:left w:val="nil"/>
              <w:bottom w:val="nil"/>
              <w:right w:val="nil"/>
            </w:tcBorders>
          </w:tcPr>
          <w:p w:rsidR="001B4E25" w:rsidRPr="0053568C" w:rsidRDefault="001B4E25" w:rsidP="00EB5C27">
            <w:pPr>
              <w:pStyle w:val="TableNumbersRight-BP4"/>
              <w:rPr>
                <w:szCs w:val="18"/>
              </w:rPr>
            </w:pPr>
            <w:r>
              <w:rPr>
                <w:szCs w:val="18"/>
              </w:rPr>
              <w:t>Nov 2014</w:t>
            </w:r>
          </w:p>
        </w:tc>
      </w:tr>
      <w:tr w:rsidR="001B4E25" w:rsidRPr="00A8535E" w:rsidTr="00EB5C27">
        <w:trPr>
          <w:trHeight w:val="240"/>
        </w:trPr>
        <w:tc>
          <w:tcPr>
            <w:tcW w:w="3092" w:type="dxa"/>
            <w:tcBorders>
              <w:top w:val="nil"/>
              <w:left w:val="nil"/>
              <w:bottom w:val="nil"/>
              <w:right w:val="nil"/>
            </w:tcBorders>
          </w:tcPr>
          <w:p w:rsidR="001B4E25" w:rsidRPr="00A8535E" w:rsidRDefault="001B4E25" w:rsidP="00771A11">
            <w:pPr>
              <w:pStyle w:val="TableTextLeft-BP4"/>
              <w:rPr>
                <w:rFonts w:asciiTheme="minorHAnsi" w:hAnsiTheme="minorHAnsi" w:cstheme="minorHAnsi"/>
                <w:b/>
              </w:rPr>
            </w:pPr>
            <w:r w:rsidRPr="00A8535E">
              <w:rPr>
                <w:rFonts w:asciiTheme="minorHAnsi" w:hAnsiTheme="minorHAnsi" w:cstheme="minorHAnsi"/>
              </w:rPr>
              <w:t>A</w:t>
            </w:r>
            <w:r>
              <w:rPr>
                <w:rFonts w:asciiTheme="minorHAnsi" w:hAnsiTheme="minorHAnsi" w:cstheme="minorHAnsi"/>
              </w:rPr>
              <w:t xml:space="preserve">lexander </w:t>
            </w:r>
            <w:proofErr w:type="spellStart"/>
            <w:r>
              <w:rPr>
                <w:rFonts w:asciiTheme="minorHAnsi" w:hAnsiTheme="minorHAnsi" w:cstheme="minorHAnsi"/>
              </w:rPr>
              <w:t>Maconochie</w:t>
            </w:r>
            <w:proofErr w:type="spellEnd"/>
            <w:r>
              <w:rPr>
                <w:rFonts w:asciiTheme="minorHAnsi" w:hAnsiTheme="minorHAnsi" w:cstheme="minorHAnsi"/>
              </w:rPr>
              <w:t xml:space="preserve"> Centre</w:t>
            </w:r>
            <w:r w:rsidRPr="00A8535E">
              <w:rPr>
                <w:rFonts w:asciiTheme="minorHAnsi" w:hAnsiTheme="minorHAnsi" w:cstheme="minorHAnsi"/>
              </w:rPr>
              <w:t xml:space="preserve"> Additional Facilities </w:t>
            </w:r>
            <w:r>
              <w:rPr>
                <w:rFonts w:asciiTheme="minorHAnsi" w:hAnsiTheme="minorHAnsi" w:cstheme="minorHAnsi"/>
              </w:rPr>
              <w:t>(Design)</w:t>
            </w:r>
            <w:r w:rsidRPr="00A8535E">
              <w:rPr>
                <w:rFonts w:asciiTheme="minorHAnsi" w:hAnsiTheme="minorHAnsi" w:cstheme="minorHAnsi"/>
              </w:rPr>
              <w:t xml:space="preserve"> </w:t>
            </w:r>
          </w:p>
        </w:tc>
        <w:tc>
          <w:tcPr>
            <w:tcW w:w="1044" w:type="dxa"/>
            <w:tcBorders>
              <w:top w:val="nil"/>
              <w:left w:val="nil"/>
              <w:bottom w:val="nil"/>
              <w:right w:val="nil"/>
            </w:tcBorders>
            <w:shd w:val="clear" w:color="auto" w:fill="auto"/>
          </w:tcPr>
          <w:p w:rsidR="001B4E25" w:rsidRPr="00A8535E" w:rsidRDefault="001B4E25" w:rsidP="00EB5C27">
            <w:pPr>
              <w:pStyle w:val="TableNumbersRight"/>
              <w:rPr>
                <w:rFonts w:asciiTheme="minorHAnsi" w:hAnsiTheme="minorHAnsi" w:cstheme="minorHAnsi"/>
                <w:bCs/>
                <w:sz w:val="18"/>
                <w:szCs w:val="18"/>
              </w:rPr>
            </w:pPr>
            <w:r>
              <w:rPr>
                <w:rFonts w:asciiTheme="minorHAnsi" w:hAnsiTheme="minorHAnsi" w:cstheme="minorHAnsi"/>
                <w:bCs/>
                <w:sz w:val="18"/>
                <w:szCs w:val="18"/>
              </w:rPr>
              <w:t>3,000</w:t>
            </w:r>
          </w:p>
        </w:tc>
        <w:tc>
          <w:tcPr>
            <w:tcW w:w="1044" w:type="dxa"/>
            <w:tcBorders>
              <w:top w:val="nil"/>
              <w:left w:val="nil"/>
              <w:bottom w:val="nil"/>
              <w:right w:val="nil"/>
            </w:tcBorders>
            <w:shd w:val="clear" w:color="auto" w:fill="auto"/>
          </w:tcPr>
          <w:p w:rsidR="001B4E25" w:rsidRPr="00A8535E" w:rsidRDefault="001B4E25" w:rsidP="00EB5C27">
            <w:pPr>
              <w:pStyle w:val="TableNumbersRight"/>
              <w:rPr>
                <w:rFonts w:asciiTheme="minorHAnsi" w:hAnsiTheme="minorHAnsi" w:cstheme="minorHAnsi"/>
                <w:bCs/>
                <w:sz w:val="18"/>
                <w:szCs w:val="18"/>
              </w:rPr>
            </w:pPr>
            <w:r>
              <w:rPr>
                <w:rFonts w:asciiTheme="minorHAnsi" w:hAnsiTheme="minorHAnsi" w:cstheme="minorHAnsi"/>
                <w:bCs/>
                <w:sz w:val="18"/>
                <w:szCs w:val="18"/>
              </w:rPr>
              <w:t>-</w:t>
            </w:r>
          </w:p>
        </w:tc>
        <w:tc>
          <w:tcPr>
            <w:tcW w:w="1044" w:type="dxa"/>
            <w:tcBorders>
              <w:top w:val="nil"/>
              <w:left w:val="nil"/>
              <w:bottom w:val="nil"/>
              <w:right w:val="nil"/>
            </w:tcBorders>
            <w:shd w:val="clear" w:color="auto" w:fill="auto"/>
          </w:tcPr>
          <w:p w:rsidR="001B4E25" w:rsidRPr="00A8535E" w:rsidRDefault="001B4E25" w:rsidP="00EB5C27">
            <w:pPr>
              <w:pStyle w:val="TableNumbersRight"/>
              <w:rPr>
                <w:rFonts w:asciiTheme="minorHAnsi" w:hAnsiTheme="minorHAnsi" w:cstheme="minorHAnsi"/>
                <w:bCs/>
                <w:sz w:val="18"/>
                <w:szCs w:val="18"/>
              </w:rPr>
            </w:pPr>
            <w:r>
              <w:rPr>
                <w:rFonts w:asciiTheme="minorHAnsi" w:hAnsiTheme="minorHAnsi" w:cstheme="minorHAnsi"/>
                <w:bCs/>
                <w:sz w:val="18"/>
                <w:szCs w:val="18"/>
              </w:rPr>
              <w:t>3,000</w:t>
            </w:r>
          </w:p>
        </w:tc>
        <w:tc>
          <w:tcPr>
            <w:tcW w:w="1044" w:type="dxa"/>
            <w:tcBorders>
              <w:top w:val="nil"/>
              <w:left w:val="nil"/>
              <w:bottom w:val="nil"/>
              <w:right w:val="nil"/>
            </w:tcBorders>
            <w:shd w:val="clear" w:color="auto" w:fill="auto"/>
          </w:tcPr>
          <w:p w:rsidR="001B4E25" w:rsidRPr="00A8535E" w:rsidRDefault="001B4E25" w:rsidP="00EB5C27">
            <w:pPr>
              <w:pStyle w:val="TableNumbersRight"/>
              <w:rPr>
                <w:rFonts w:asciiTheme="minorHAnsi" w:hAnsiTheme="minorHAnsi" w:cstheme="minorHAnsi"/>
                <w:bCs/>
                <w:sz w:val="18"/>
                <w:szCs w:val="18"/>
              </w:rPr>
            </w:pPr>
            <w:r>
              <w:rPr>
                <w:rFonts w:asciiTheme="minorHAnsi" w:hAnsiTheme="minorHAnsi" w:cstheme="minorHAnsi"/>
                <w:bCs/>
                <w:sz w:val="18"/>
                <w:szCs w:val="18"/>
              </w:rPr>
              <w:t>-</w:t>
            </w:r>
          </w:p>
        </w:tc>
        <w:tc>
          <w:tcPr>
            <w:tcW w:w="1044" w:type="dxa"/>
            <w:tcBorders>
              <w:top w:val="nil"/>
              <w:left w:val="nil"/>
              <w:bottom w:val="nil"/>
              <w:right w:val="nil"/>
            </w:tcBorders>
          </w:tcPr>
          <w:p w:rsidR="001B4E25" w:rsidRPr="00A8535E" w:rsidRDefault="001B4E25" w:rsidP="00EB5C27">
            <w:pPr>
              <w:pStyle w:val="TableNumbersRight"/>
              <w:rPr>
                <w:rFonts w:asciiTheme="minorHAnsi" w:hAnsiTheme="minorHAnsi" w:cstheme="minorHAnsi"/>
                <w:bCs/>
                <w:sz w:val="18"/>
                <w:szCs w:val="18"/>
              </w:rPr>
            </w:pPr>
            <w:r>
              <w:rPr>
                <w:rFonts w:asciiTheme="minorHAnsi" w:hAnsiTheme="minorHAnsi" w:cstheme="minorHAnsi"/>
                <w:bCs/>
                <w:sz w:val="18"/>
                <w:szCs w:val="18"/>
              </w:rPr>
              <w:t>-</w:t>
            </w:r>
          </w:p>
        </w:tc>
        <w:tc>
          <w:tcPr>
            <w:tcW w:w="1044" w:type="dxa"/>
            <w:tcBorders>
              <w:top w:val="nil"/>
              <w:left w:val="nil"/>
              <w:bottom w:val="nil"/>
              <w:right w:val="nil"/>
            </w:tcBorders>
          </w:tcPr>
          <w:p w:rsidR="001B4E25" w:rsidRPr="00A8535E" w:rsidRDefault="001B4E25" w:rsidP="00EB5C27">
            <w:pPr>
              <w:pStyle w:val="TableNumbersRight"/>
              <w:rPr>
                <w:rFonts w:asciiTheme="minorHAnsi" w:hAnsiTheme="minorHAnsi" w:cstheme="minorHAnsi"/>
                <w:bCs/>
                <w:sz w:val="18"/>
                <w:szCs w:val="18"/>
                <w:highlight w:val="yellow"/>
              </w:rPr>
            </w:pPr>
            <w:r w:rsidRPr="00191DB3">
              <w:rPr>
                <w:rFonts w:asciiTheme="minorHAnsi" w:hAnsiTheme="minorHAnsi" w:cstheme="minorHAnsi"/>
                <w:bCs/>
                <w:sz w:val="18"/>
                <w:szCs w:val="18"/>
              </w:rPr>
              <w:t>Jun 2014</w:t>
            </w:r>
          </w:p>
        </w:tc>
      </w:tr>
      <w:tr w:rsidR="001B4E25" w:rsidRPr="00191DB3" w:rsidTr="00EB5C27">
        <w:trPr>
          <w:trHeight w:val="240"/>
        </w:trPr>
        <w:tc>
          <w:tcPr>
            <w:tcW w:w="3092" w:type="dxa"/>
            <w:tcBorders>
              <w:top w:val="nil"/>
              <w:left w:val="nil"/>
              <w:bottom w:val="nil"/>
              <w:right w:val="nil"/>
            </w:tcBorders>
          </w:tcPr>
          <w:p w:rsidR="001B4E25" w:rsidRPr="00A8535E" w:rsidRDefault="001B4E25" w:rsidP="00EB5C27">
            <w:pPr>
              <w:pStyle w:val="TableHeadingLeft-BP4"/>
              <w:rPr>
                <w:rFonts w:asciiTheme="minorHAnsi" w:hAnsiTheme="minorHAnsi" w:cstheme="minorHAnsi"/>
                <w:b w:val="0"/>
                <w:szCs w:val="18"/>
              </w:rPr>
            </w:pPr>
          </w:p>
        </w:tc>
        <w:tc>
          <w:tcPr>
            <w:tcW w:w="1044" w:type="dxa"/>
            <w:tcBorders>
              <w:top w:val="nil"/>
              <w:left w:val="nil"/>
              <w:bottom w:val="nil"/>
              <w:right w:val="nil"/>
            </w:tcBorders>
            <w:shd w:val="clear" w:color="auto" w:fill="auto"/>
          </w:tcPr>
          <w:p w:rsidR="001B4E25" w:rsidRPr="00A8535E" w:rsidRDefault="001B4E25" w:rsidP="00EB5C27">
            <w:pPr>
              <w:pStyle w:val="TableNumbersRight"/>
              <w:rPr>
                <w:rFonts w:asciiTheme="minorHAnsi" w:hAnsiTheme="minorHAnsi" w:cstheme="minorHAnsi"/>
                <w:bCs/>
                <w:sz w:val="18"/>
                <w:szCs w:val="18"/>
              </w:rPr>
            </w:pPr>
          </w:p>
        </w:tc>
        <w:tc>
          <w:tcPr>
            <w:tcW w:w="1044" w:type="dxa"/>
            <w:tcBorders>
              <w:top w:val="nil"/>
              <w:left w:val="nil"/>
              <w:bottom w:val="nil"/>
              <w:right w:val="nil"/>
            </w:tcBorders>
            <w:shd w:val="clear" w:color="auto" w:fill="auto"/>
          </w:tcPr>
          <w:p w:rsidR="001B4E25" w:rsidRPr="00A8535E" w:rsidRDefault="001B4E25" w:rsidP="00EB5C27">
            <w:pPr>
              <w:pStyle w:val="TableNumbersRight"/>
              <w:rPr>
                <w:rFonts w:asciiTheme="minorHAnsi" w:hAnsiTheme="minorHAnsi" w:cstheme="minorHAnsi"/>
                <w:bCs/>
                <w:sz w:val="18"/>
                <w:szCs w:val="18"/>
              </w:rPr>
            </w:pPr>
          </w:p>
        </w:tc>
        <w:tc>
          <w:tcPr>
            <w:tcW w:w="1044" w:type="dxa"/>
            <w:tcBorders>
              <w:top w:val="nil"/>
              <w:left w:val="nil"/>
              <w:bottom w:val="nil"/>
              <w:right w:val="nil"/>
            </w:tcBorders>
            <w:shd w:val="clear" w:color="auto" w:fill="auto"/>
          </w:tcPr>
          <w:p w:rsidR="001B4E25" w:rsidRPr="00A8535E" w:rsidRDefault="001B4E25" w:rsidP="00EB5C27">
            <w:pPr>
              <w:pStyle w:val="TableNumbersRight"/>
              <w:rPr>
                <w:rFonts w:asciiTheme="minorHAnsi" w:hAnsiTheme="minorHAnsi" w:cstheme="minorHAnsi"/>
                <w:bCs/>
                <w:sz w:val="18"/>
                <w:szCs w:val="18"/>
              </w:rPr>
            </w:pPr>
          </w:p>
        </w:tc>
        <w:tc>
          <w:tcPr>
            <w:tcW w:w="1044" w:type="dxa"/>
            <w:tcBorders>
              <w:top w:val="nil"/>
              <w:left w:val="nil"/>
              <w:bottom w:val="nil"/>
              <w:right w:val="nil"/>
            </w:tcBorders>
            <w:shd w:val="clear" w:color="auto" w:fill="auto"/>
          </w:tcPr>
          <w:p w:rsidR="001B4E25" w:rsidRPr="00A8535E" w:rsidRDefault="001B4E25" w:rsidP="00EB5C27">
            <w:pPr>
              <w:pStyle w:val="TableNumbersRight"/>
              <w:rPr>
                <w:rFonts w:asciiTheme="minorHAnsi" w:hAnsiTheme="minorHAnsi" w:cstheme="minorHAnsi"/>
                <w:bCs/>
                <w:sz w:val="18"/>
                <w:szCs w:val="18"/>
              </w:rPr>
            </w:pPr>
          </w:p>
        </w:tc>
        <w:tc>
          <w:tcPr>
            <w:tcW w:w="1044" w:type="dxa"/>
            <w:tcBorders>
              <w:top w:val="nil"/>
              <w:left w:val="nil"/>
              <w:bottom w:val="nil"/>
              <w:right w:val="nil"/>
            </w:tcBorders>
          </w:tcPr>
          <w:p w:rsidR="001B4E25" w:rsidRPr="00A8535E" w:rsidRDefault="001B4E25" w:rsidP="00EB5C27">
            <w:pPr>
              <w:pStyle w:val="TableNumbersRight"/>
              <w:rPr>
                <w:rFonts w:asciiTheme="minorHAnsi" w:hAnsiTheme="minorHAnsi" w:cstheme="minorHAnsi"/>
                <w:bCs/>
                <w:sz w:val="18"/>
                <w:szCs w:val="18"/>
              </w:rPr>
            </w:pPr>
          </w:p>
        </w:tc>
        <w:tc>
          <w:tcPr>
            <w:tcW w:w="1044" w:type="dxa"/>
            <w:tcBorders>
              <w:top w:val="nil"/>
              <w:left w:val="nil"/>
              <w:bottom w:val="nil"/>
              <w:right w:val="nil"/>
            </w:tcBorders>
          </w:tcPr>
          <w:p w:rsidR="001B4E25" w:rsidRPr="00191DB3" w:rsidRDefault="001B4E25" w:rsidP="00EB5C27">
            <w:pPr>
              <w:pStyle w:val="TableNumbersRight"/>
              <w:rPr>
                <w:rFonts w:asciiTheme="minorHAnsi" w:hAnsiTheme="minorHAnsi" w:cstheme="minorHAnsi"/>
                <w:bCs/>
                <w:sz w:val="18"/>
                <w:szCs w:val="18"/>
              </w:rPr>
            </w:pPr>
          </w:p>
        </w:tc>
      </w:tr>
      <w:tr w:rsidR="001B4E25" w:rsidRPr="00156EB8" w:rsidTr="00EB5C27">
        <w:trPr>
          <w:trHeight w:val="240"/>
        </w:trPr>
        <w:tc>
          <w:tcPr>
            <w:tcW w:w="3092" w:type="dxa"/>
            <w:tcBorders>
              <w:top w:val="nil"/>
              <w:left w:val="nil"/>
              <w:bottom w:val="nil"/>
              <w:right w:val="nil"/>
            </w:tcBorders>
          </w:tcPr>
          <w:p w:rsidR="001B4E25" w:rsidRPr="00B558F4" w:rsidRDefault="001B4E25" w:rsidP="00EB5C27">
            <w:pPr>
              <w:pStyle w:val="TableHeadingLeft-BP4"/>
              <w:rPr>
                <w:rFonts w:asciiTheme="minorHAnsi" w:hAnsiTheme="minorHAnsi" w:cstheme="minorHAnsi"/>
                <w:szCs w:val="18"/>
              </w:rPr>
            </w:pPr>
            <w:r w:rsidRPr="00B558F4">
              <w:rPr>
                <w:rFonts w:asciiTheme="minorHAnsi" w:hAnsiTheme="minorHAnsi" w:cstheme="minorHAnsi"/>
                <w:szCs w:val="18"/>
              </w:rPr>
              <w:t>Total New Capital Works</w:t>
            </w:r>
          </w:p>
        </w:tc>
        <w:tc>
          <w:tcPr>
            <w:tcW w:w="1044" w:type="dxa"/>
            <w:tcBorders>
              <w:top w:val="nil"/>
              <w:left w:val="nil"/>
              <w:bottom w:val="nil"/>
              <w:right w:val="nil"/>
            </w:tcBorders>
            <w:shd w:val="clear" w:color="auto" w:fill="auto"/>
          </w:tcPr>
          <w:p w:rsidR="001B4E25" w:rsidRPr="00B558F4" w:rsidRDefault="001B4E25" w:rsidP="00EB5C27">
            <w:pPr>
              <w:pStyle w:val="TableNumbersRight"/>
              <w:rPr>
                <w:rFonts w:asciiTheme="minorHAnsi" w:hAnsiTheme="minorHAnsi" w:cstheme="minorHAnsi"/>
                <w:b/>
                <w:bCs/>
                <w:sz w:val="18"/>
                <w:szCs w:val="18"/>
              </w:rPr>
            </w:pPr>
            <w:r>
              <w:rPr>
                <w:rFonts w:asciiTheme="minorHAnsi" w:hAnsiTheme="minorHAnsi" w:cstheme="minorHAnsi"/>
                <w:b/>
                <w:bCs/>
                <w:sz w:val="18"/>
                <w:szCs w:val="18"/>
              </w:rPr>
              <w:t>20,360</w:t>
            </w:r>
          </w:p>
        </w:tc>
        <w:tc>
          <w:tcPr>
            <w:tcW w:w="1044" w:type="dxa"/>
            <w:tcBorders>
              <w:top w:val="nil"/>
              <w:left w:val="nil"/>
              <w:bottom w:val="nil"/>
              <w:right w:val="nil"/>
            </w:tcBorders>
            <w:shd w:val="clear" w:color="auto" w:fill="auto"/>
          </w:tcPr>
          <w:p w:rsidR="001B4E25" w:rsidRPr="00B558F4" w:rsidRDefault="001B4E25" w:rsidP="00EB5C27">
            <w:pPr>
              <w:pStyle w:val="TableNumbersRight"/>
              <w:rPr>
                <w:rFonts w:asciiTheme="minorHAnsi" w:hAnsiTheme="minorHAnsi" w:cstheme="minorHAnsi"/>
                <w:b/>
                <w:bCs/>
                <w:sz w:val="18"/>
                <w:szCs w:val="18"/>
              </w:rPr>
            </w:pPr>
            <w:r w:rsidRPr="00B558F4">
              <w:rPr>
                <w:rFonts w:asciiTheme="minorHAnsi" w:hAnsiTheme="minorHAnsi" w:cstheme="minorHAnsi"/>
                <w:b/>
                <w:bCs/>
                <w:sz w:val="18"/>
                <w:szCs w:val="18"/>
              </w:rPr>
              <w:t>- </w:t>
            </w:r>
          </w:p>
        </w:tc>
        <w:tc>
          <w:tcPr>
            <w:tcW w:w="1044" w:type="dxa"/>
            <w:tcBorders>
              <w:top w:val="nil"/>
              <w:left w:val="nil"/>
              <w:bottom w:val="nil"/>
              <w:right w:val="nil"/>
            </w:tcBorders>
            <w:shd w:val="clear" w:color="auto" w:fill="auto"/>
          </w:tcPr>
          <w:p w:rsidR="001B4E25" w:rsidRPr="00B558F4" w:rsidRDefault="001B4E25" w:rsidP="00EB5C27">
            <w:pPr>
              <w:pStyle w:val="TableNumbersRight"/>
              <w:rPr>
                <w:rFonts w:asciiTheme="minorHAnsi" w:hAnsiTheme="minorHAnsi" w:cstheme="minorHAnsi"/>
                <w:b/>
                <w:bCs/>
                <w:sz w:val="18"/>
                <w:szCs w:val="18"/>
              </w:rPr>
            </w:pPr>
            <w:r>
              <w:rPr>
                <w:rFonts w:asciiTheme="minorHAnsi" w:hAnsiTheme="minorHAnsi" w:cstheme="minorHAnsi"/>
                <w:b/>
                <w:bCs/>
                <w:sz w:val="18"/>
                <w:szCs w:val="18"/>
              </w:rPr>
              <w:t>10,847</w:t>
            </w:r>
          </w:p>
        </w:tc>
        <w:tc>
          <w:tcPr>
            <w:tcW w:w="1044" w:type="dxa"/>
            <w:tcBorders>
              <w:top w:val="nil"/>
              <w:left w:val="nil"/>
              <w:bottom w:val="nil"/>
              <w:right w:val="nil"/>
            </w:tcBorders>
            <w:shd w:val="clear" w:color="auto" w:fill="auto"/>
          </w:tcPr>
          <w:p w:rsidR="001B4E25" w:rsidRPr="00B558F4" w:rsidRDefault="001B4E25" w:rsidP="00EB5C27">
            <w:pPr>
              <w:pStyle w:val="TableNumbersRight"/>
              <w:rPr>
                <w:rFonts w:asciiTheme="minorHAnsi" w:hAnsiTheme="minorHAnsi" w:cstheme="minorHAnsi"/>
                <w:b/>
                <w:bCs/>
                <w:sz w:val="18"/>
                <w:szCs w:val="18"/>
              </w:rPr>
            </w:pPr>
            <w:r>
              <w:rPr>
                <w:rFonts w:asciiTheme="minorHAnsi" w:hAnsiTheme="minorHAnsi" w:cstheme="minorHAnsi"/>
                <w:b/>
                <w:bCs/>
                <w:sz w:val="18"/>
                <w:szCs w:val="18"/>
              </w:rPr>
              <w:t>8,589</w:t>
            </w:r>
          </w:p>
        </w:tc>
        <w:tc>
          <w:tcPr>
            <w:tcW w:w="1044" w:type="dxa"/>
            <w:tcBorders>
              <w:top w:val="nil"/>
              <w:left w:val="nil"/>
              <w:bottom w:val="nil"/>
              <w:right w:val="nil"/>
            </w:tcBorders>
          </w:tcPr>
          <w:p w:rsidR="001B4E25" w:rsidRPr="00B558F4" w:rsidRDefault="001B4E25" w:rsidP="00EB5C27">
            <w:pPr>
              <w:pStyle w:val="TableNumbersRight"/>
              <w:rPr>
                <w:rFonts w:asciiTheme="minorHAnsi" w:hAnsiTheme="minorHAnsi" w:cstheme="minorHAnsi"/>
                <w:b/>
                <w:bCs/>
                <w:sz w:val="18"/>
                <w:szCs w:val="18"/>
              </w:rPr>
            </w:pPr>
            <w:r>
              <w:rPr>
                <w:rFonts w:asciiTheme="minorHAnsi" w:hAnsiTheme="minorHAnsi" w:cstheme="minorHAnsi"/>
                <w:b/>
                <w:bCs/>
                <w:sz w:val="18"/>
                <w:szCs w:val="18"/>
              </w:rPr>
              <w:t>924</w:t>
            </w:r>
          </w:p>
        </w:tc>
        <w:tc>
          <w:tcPr>
            <w:tcW w:w="1044" w:type="dxa"/>
            <w:tcBorders>
              <w:top w:val="nil"/>
              <w:left w:val="nil"/>
              <w:bottom w:val="nil"/>
              <w:right w:val="nil"/>
            </w:tcBorders>
          </w:tcPr>
          <w:p w:rsidR="001B4E25" w:rsidRPr="00156EB8" w:rsidRDefault="001B4E25" w:rsidP="00EB5C27">
            <w:pPr>
              <w:pStyle w:val="TableNumbersRight"/>
              <w:rPr>
                <w:rFonts w:asciiTheme="minorHAnsi" w:hAnsiTheme="minorHAnsi" w:cstheme="minorHAnsi"/>
                <w:b/>
                <w:bCs/>
                <w:sz w:val="18"/>
                <w:szCs w:val="18"/>
                <w:highlight w:val="yellow"/>
              </w:rPr>
            </w:pPr>
          </w:p>
        </w:tc>
      </w:tr>
      <w:tr w:rsidR="001B4E25" w:rsidRPr="00156EB8" w:rsidTr="00EB5C27">
        <w:trPr>
          <w:trHeight w:hRule="exact" w:val="198"/>
        </w:trPr>
        <w:tc>
          <w:tcPr>
            <w:tcW w:w="3092" w:type="dxa"/>
            <w:tcBorders>
              <w:top w:val="nil"/>
              <w:left w:val="nil"/>
              <w:bottom w:val="nil"/>
              <w:right w:val="nil"/>
            </w:tcBorders>
          </w:tcPr>
          <w:p w:rsidR="001B4E25" w:rsidRPr="00B558F4" w:rsidRDefault="001B4E25" w:rsidP="00EB5C27">
            <w:pPr>
              <w:pStyle w:val="TableHeadingLeft-BP4"/>
              <w:rPr>
                <w:rFonts w:asciiTheme="minorHAnsi" w:hAnsiTheme="minorHAnsi" w:cstheme="minorHAnsi"/>
                <w:color w:val="000000"/>
                <w:szCs w:val="18"/>
              </w:rPr>
            </w:pPr>
          </w:p>
        </w:tc>
        <w:tc>
          <w:tcPr>
            <w:tcW w:w="1044" w:type="dxa"/>
            <w:tcBorders>
              <w:top w:val="nil"/>
              <w:left w:val="nil"/>
              <w:bottom w:val="nil"/>
              <w:right w:val="nil"/>
            </w:tcBorders>
            <w:shd w:val="clear" w:color="auto" w:fill="auto"/>
          </w:tcPr>
          <w:p w:rsidR="001B4E25" w:rsidRPr="00B558F4" w:rsidRDefault="001B4E25" w:rsidP="00EB5C27">
            <w:pPr>
              <w:pStyle w:val="TableNumbersRight"/>
              <w:rPr>
                <w:rFonts w:asciiTheme="minorHAnsi" w:hAnsiTheme="minorHAnsi" w:cstheme="minorHAnsi"/>
                <w:color w:val="000000"/>
                <w:sz w:val="18"/>
                <w:szCs w:val="18"/>
              </w:rPr>
            </w:pPr>
          </w:p>
        </w:tc>
        <w:tc>
          <w:tcPr>
            <w:tcW w:w="1044" w:type="dxa"/>
            <w:tcBorders>
              <w:top w:val="nil"/>
              <w:left w:val="nil"/>
              <w:bottom w:val="nil"/>
              <w:right w:val="nil"/>
            </w:tcBorders>
            <w:shd w:val="clear" w:color="auto" w:fill="auto"/>
          </w:tcPr>
          <w:p w:rsidR="001B4E25" w:rsidRPr="00B558F4" w:rsidRDefault="001B4E25" w:rsidP="00EB5C27">
            <w:pPr>
              <w:pStyle w:val="TableNumbersRight"/>
              <w:rPr>
                <w:rFonts w:asciiTheme="minorHAnsi" w:hAnsiTheme="minorHAnsi" w:cstheme="minorHAnsi"/>
                <w:color w:val="000000"/>
                <w:sz w:val="18"/>
                <w:szCs w:val="18"/>
              </w:rPr>
            </w:pPr>
          </w:p>
        </w:tc>
        <w:tc>
          <w:tcPr>
            <w:tcW w:w="1044" w:type="dxa"/>
            <w:tcBorders>
              <w:top w:val="nil"/>
              <w:left w:val="nil"/>
              <w:bottom w:val="nil"/>
              <w:right w:val="nil"/>
            </w:tcBorders>
            <w:shd w:val="clear" w:color="auto" w:fill="auto"/>
          </w:tcPr>
          <w:p w:rsidR="001B4E25" w:rsidRPr="00B558F4" w:rsidRDefault="001B4E25" w:rsidP="00EB5C27">
            <w:pPr>
              <w:pStyle w:val="TableNumbersRight"/>
              <w:rPr>
                <w:rFonts w:asciiTheme="minorHAnsi" w:hAnsiTheme="minorHAnsi" w:cstheme="minorHAnsi"/>
                <w:color w:val="000000"/>
                <w:sz w:val="18"/>
                <w:szCs w:val="18"/>
              </w:rPr>
            </w:pPr>
          </w:p>
        </w:tc>
        <w:tc>
          <w:tcPr>
            <w:tcW w:w="1044" w:type="dxa"/>
            <w:tcBorders>
              <w:top w:val="nil"/>
              <w:left w:val="nil"/>
              <w:bottom w:val="nil"/>
              <w:right w:val="nil"/>
            </w:tcBorders>
            <w:shd w:val="clear" w:color="auto" w:fill="auto"/>
          </w:tcPr>
          <w:p w:rsidR="001B4E25" w:rsidRPr="00B558F4" w:rsidRDefault="001B4E25" w:rsidP="00EB5C27">
            <w:pPr>
              <w:pStyle w:val="TableNumbersRight"/>
              <w:rPr>
                <w:rFonts w:asciiTheme="minorHAnsi" w:hAnsiTheme="minorHAnsi" w:cstheme="minorHAnsi"/>
                <w:color w:val="000000"/>
                <w:sz w:val="18"/>
                <w:szCs w:val="18"/>
              </w:rPr>
            </w:pPr>
          </w:p>
        </w:tc>
        <w:tc>
          <w:tcPr>
            <w:tcW w:w="1044" w:type="dxa"/>
            <w:tcBorders>
              <w:top w:val="nil"/>
              <w:left w:val="nil"/>
              <w:bottom w:val="nil"/>
              <w:right w:val="nil"/>
            </w:tcBorders>
          </w:tcPr>
          <w:p w:rsidR="001B4E25" w:rsidRPr="00B558F4" w:rsidRDefault="001B4E25" w:rsidP="00EB5C27">
            <w:pPr>
              <w:pStyle w:val="TableNumbersRight"/>
              <w:rPr>
                <w:rFonts w:asciiTheme="minorHAnsi" w:hAnsiTheme="minorHAnsi" w:cstheme="minorHAnsi"/>
                <w:color w:val="000000"/>
                <w:sz w:val="18"/>
                <w:szCs w:val="18"/>
              </w:rPr>
            </w:pPr>
          </w:p>
        </w:tc>
        <w:tc>
          <w:tcPr>
            <w:tcW w:w="1044" w:type="dxa"/>
            <w:tcBorders>
              <w:top w:val="nil"/>
              <w:left w:val="nil"/>
              <w:bottom w:val="nil"/>
              <w:right w:val="nil"/>
            </w:tcBorders>
          </w:tcPr>
          <w:p w:rsidR="001B4E25" w:rsidRPr="00156EB8" w:rsidRDefault="001B4E25" w:rsidP="00EB5C27">
            <w:pPr>
              <w:pStyle w:val="TableNumbersRight"/>
              <w:rPr>
                <w:rFonts w:asciiTheme="minorHAnsi" w:hAnsiTheme="minorHAnsi" w:cstheme="minorHAnsi"/>
                <w:color w:val="000000"/>
                <w:sz w:val="18"/>
                <w:szCs w:val="18"/>
                <w:highlight w:val="yellow"/>
              </w:rPr>
            </w:pPr>
          </w:p>
        </w:tc>
      </w:tr>
      <w:tr w:rsidR="001B4E25" w:rsidRPr="00156EB8" w:rsidTr="00EB5C27">
        <w:trPr>
          <w:trHeight w:val="240"/>
        </w:trPr>
        <w:tc>
          <w:tcPr>
            <w:tcW w:w="3092" w:type="dxa"/>
            <w:tcBorders>
              <w:top w:val="nil"/>
              <w:left w:val="nil"/>
              <w:bottom w:val="nil"/>
              <w:right w:val="nil"/>
            </w:tcBorders>
          </w:tcPr>
          <w:p w:rsidR="001B4E25" w:rsidRPr="00B558F4" w:rsidRDefault="001B4E25" w:rsidP="00EB5C27">
            <w:pPr>
              <w:pStyle w:val="TableHeadingLeft-BP4"/>
              <w:rPr>
                <w:rFonts w:asciiTheme="minorHAnsi" w:hAnsiTheme="minorHAnsi" w:cstheme="minorHAnsi"/>
                <w:szCs w:val="18"/>
              </w:rPr>
            </w:pPr>
            <w:r w:rsidRPr="00B558F4">
              <w:rPr>
                <w:rFonts w:asciiTheme="minorHAnsi" w:hAnsiTheme="minorHAnsi" w:cstheme="minorHAnsi"/>
                <w:szCs w:val="18"/>
              </w:rPr>
              <w:t>Capital Upgrades</w:t>
            </w:r>
          </w:p>
        </w:tc>
        <w:tc>
          <w:tcPr>
            <w:tcW w:w="1044" w:type="dxa"/>
            <w:tcBorders>
              <w:top w:val="nil"/>
              <w:left w:val="nil"/>
              <w:bottom w:val="nil"/>
              <w:right w:val="nil"/>
            </w:tcBorders>
            <w:shd w:val="clear" w:color="auto" w:fill="auto"/>
          </w:tcPr>
          <w:p w:rsidR="001B4E25" w:rsidRPr="00B558F4" w:rsidRDefault="001B4E25" w:rsidP="00EB5C27">
            <w:pPr>
              <w:pStyle w:val="TableNumbersRight"/>
              <w:rPr>
                <w:rFonts w:asciiTheme="minorHAnsi" w:hAnsiTheme="minorHAnsi" w:cstheme="minorHAnsi"/>
                <w:color w:val="000000"/>
                <w:sz w:val="18"/>
                <w:szCs w:val="18"/>
              </w:rPr>
            </w:pPr>
          </w:p>
        </w:tc>
        <w:tc>
          <w:tcPr>
            <w:tcW w:w="1044" w:type="dxa"/>
            <w:tcBorders>
              <w:top w:val="nil"/>
              <w:left w:val="nil"/>
              <w:bottom w:val="nil"/>
              <w:right w:val="nil"/>
            </w:tcBorders>
            <w:shd w:val="clear" w:color="auto" w:fill="auto"/>
          </w:tcPr>
          <w:p w:rsidR="001B4E25" w:rsidRPr="00B558F4" w:rsidRDefault="001B4E25" w:rsidP="00EB5C27">
            <w:pPr>
              <w:pStyle w:val="TableNumbersRight"/>
              <w:rPr>
                <w:rFonts w:asciiTheme="minorHAnsi" w:hAnsiTheme="minorHAnsi" w:cstheme="minorHAnsi"/>
                <w:color w:val="000000"/>
                <w:sz w:val="18"/>
                <w:szCs w:val="18"/>
              </w:rPr>
            </w:pPr>
          </w:p>
        </w:tc>
        <w:tc>
          <w:tcPr>
            <w:tcW w:w="1044" w:type="dxa"/>
            <w:tcBorders>
              <w:top w:val="nil"/>
              <w:left w:val="nil"/>
              <w:bottom w:val="nil"/>
              <w:right w:val="nil"/>
            </w:tcBorders>
            <w:shd w:val="clear" w:color="auto" w:fill="auto"/>
          </w:tcPr>
          <w:p w:rsidR="001B4E25" w:rsidRPr="00B558F4" w:rsidRDefault="001B4E25" w:rsidP="00EB5C27">
            <w:pPr>
              <w:pStyle w:val="TableNumbersRight"/>
              <w:rPr>
                <w:rFonts w:asciiTheme="minorHAnsi" w:hAnsiTheme="minorHAnsi" w:cstheme="minorHAnsi"/>
                <w:color w:val="000000"/>
                <w:sz w:val="18"/>
                <w:szCs w:val="18"/>
              </w:rPr>
            </w:pPr>
          </w:p>
        </w:tc>
        <w:tc>
          <w:tcPr>
            <w:tcW w:w="1044" w:type="dxa"/>
            <w:tcBorders>
              <w:top w:val="nil"/>
              <w:left w:val="nil"/>
              <w:bottom w:val="nil"/>
              <w:right w:val="nil"/>
            </w:tcBorders>
            <w:shd w:val="clear" w:color="auto" w:fill="auto"/>
          </w:tcPr>
          <w:p w:rsidR="001B4E25" w:rsidRPr="00B558F4" w:rsidRDefault="001B4E25" w:rsidP="00EB5C27">
            <w:pPr>
              <w:pStyle w:val="TableNumbersRight"/>
              <w:rPr>
                <w:rFonts w:asciiTheme="minorHAnsi" w:hAnsiTheme="minorHAnsi" w:cstheme="minorHAnsi"/>
                <w:color w:val="000000"/>
                <w:sz w:val="18"/>
                <w:szCs w:val="18"/>
              </w:rPr>
            </w:pPr>
          </w:p>
        </w:tc>
        <w:tc>
          <w:tcPr>
            <w:tcW w:w="1044" w:type="dxa"/>
            <w:tcBorders>
              <w:top w:val="nil"/>
              <w:left w:val="nil"/>
              <w:bottom w:val="nil"/>
              <w:right w:val="nil"/>
            </w:tcBorders>
          </w:tcPr>
          <w:p w:rsidR="001B4E25" w:rsidRPr="00B558F4" w:rsidRDefault="001B4E25" w:rsidP="00EB5C27">
            <w:pPr>
              <w:pStyle w:val="TableNumbersRight"/>
              <w:rPr>
                <w:rFonts w:asciiTheme="minorHAnsi" w:hAnsiTheme="minorHAnsi" w:cstheme="minorHAnsi"/>
                <w:color w:val="000000"/>
                <w:sz w:val="18"/>
                <w:szCs w:val="18"/>
              </w:rPr>
            </w:pPr>
          </w:p>
        </w:tc>
        <w:tc>
          <w:tcPr>
            <w:tcW w:w="1044" w:type="dxa"/>
            <w:tcBorders>
              <w:top w:val="nil"/>
              <w:left w:val="nil"/>
              <w:bottom w:val="nil"/>
              <w:right w:val="nil"/>
            </w:tcBorders>
          </w:tcPr>
          <w:p w:rsidR="001B4E25" w:rsidRPr="00156EB8" w:rsidRDefault="001B4E25" w:rsidP="00EB5C27">
            <w:pPr>
              <w:pStyle w:val="TableNumbersRight"/>
              <w:rPr>
                <w:rFonts w:asciiTheme="minorHAnsi" w:hAnsiTheme="minorHAnsi" w:cstheme="minorHAnsi"/>
                <w:color w:val="000000"/>
                <w:sz w:val="18"/>
                <w:szCs w:val="18"/>
                <w:highlight w:val="yellow"/>
              </w:rPr>
            </w:pPr>
          </w:p>
        </w:tc>
      </w:tr>
      <w:tr w:rsidR="001B4E25" w:rsidRPr="00156EB8" w:rsidTr="00EB5C27">
        <w:trPr>
          <w:trHeight w:val="240"/>
        </w:trPr>
        <w:tc>
          <w:tcPr>
            <w:tcW w:w="3092" w:type="dxa"/>
            <w:tcBorders>
              <w:top w:val="nil"/>
              <w:left w:val="nil"/>
              <w:bottom w:val="nil"/>
              <w:right w:val="nil"/>
            </w:tcBorders>
          </w:tcPr>
          <w:p w:rsidR="001B4E25" w:rsidRPr="00B558F4" w:rsidRDefault="001B4E25" w:rsidP="00EB5C27">
            <w:pPr>
              <w:pStyle w:val="TableTextLeft-BP4"/>
              <w:rPr>
                <w:rFonts w:asciiTheme="minorHAnsi" w:hAnsiTheme="minorHAnsi" w:cstheme="minorHAnsi"/>
              </w:rPr>
            </w:pPr>
            <w:r w:rsidRPr="00B558F4">
              <w:rPr>
                <w:rFonts w:asciiTheme="minorHAnsi" w:hAnsiTheme="minorHAnsi" w:cstheme="minorHAnsi"/>
              </w:rPr>
              <w:t>Emergency Services Agency Projects</w:t>
            </w:r>
          </w:p>
        </w:tc>
        <w:tc>
          <w:tcPr>
            <w:tcW w:w="1044" w:type="dxa"/>
            <w:tcBorders>
              <w:top w:val="nil"/>
              <w:left w:val="nil"/>
              <w:bottom w:val="nil"/>
              <w:right w:val="nil"/>
            </w:tcBorders>
            <w:shd w:val="clear" w:color="auto" w:fill="auto"/>
          </w:tcPr>
          <w:p w:rsidR="001B4E25" w:rsidRPr="00B558F4" w:rsidRDefault="001B4E25" w:rsidP="00EB5C27">
            <w:pPr>
              <w:pStyle w:val="TableNumbersRight"/>
              <w:rPr>
                <w:rFonts w:asciiTheme="minorHAnsi" w:hAnsiTheme="minorHAnsi" w:cstheme="minorHAnsi"/>
                <w:sz w:val="18"/>
                <w:szCs w:val="18"/>
              </w:rPr>
            </w:pPr>
            <w:r w:rsidRPr="00B558F4">
              <w:rPr>
                <w:rFonts w:asciiTheme="minorHAnsi" w:hAnsiTheme="minorHAnsi" w:cstheme="minorHAnsi"/>
                <w:sz w:val="18"/>
                <w:szCs w:val="18"/>
              </w:rPr>
              <w:t>299</w:t>
            </w:r>
          </w:p>
        </w:tc>
        <w:tc>
          <w:tcPr>
            <w:tcW w:w="1044" w:type="dxa"/>
            <w:tcBorders>
              <w:top w:val="nil"/>
              <w:left w:val="nil"/>
              <w:bottom w:val="nil"/>
              <w:right w:val="nil"/>
            </w:tcBorders>
            <w:shd w:val="clear" w:color="auto" w:fill="auto"/>
          </w:tcPr>
          <w:p w:rsidR="001B4E25" w:rsidRPr="00B558F4" w:rsidRDefault="001B4E25" w:rsidP="00EB5C27">
            <w:pPr>
              <w:pStyle w:val="TableNumbersRight"/>
              <w:rPr>
                <w:rFonts w:asciiTheme="minorHAnsi" w:hAnsiTheme="minorHAnsi" w:cstheme="minorHAnsi"/>
                <w:sz w:val="18"/>
                <w:szCs w:val="18"/>
              </w:rPr>
            </w:pPr>
            <w:r w:rsidRPr="00B558F4">
              <w:rPr>
                <w:rFonts w:asciiTheme="minorHAnsi" w:hAnsiTheme="minorHAnsi" w:cstheme="minorHAnsi"/>
                <w:sz w:val="18"/>
                <w:szCs w:val="18"/>
              </w:rPr>
              <w:t>- </w:t>
            </w:r>
          </w:p>
        </w:tc>
        <w:tc>
          <w:tcPr>
            <w:tcW w:w="1044" w:type="dxa"/>
            <w:tcBorders>
              <w:top w:val="nil"/>
              <w:left w:val="nil"/>
              <w:bottom w:val="nil"/>
              <w:right w:val="nil"/>
            </w:tcBorders>
            <w:shd w:val="clear" w:color="auto" w:fill="auto"/>
          </w:tcPr>
          <w:p w:rsidR="001B4E25" w:rsidRPr="00B558F4" w:rsidRDefault="001B4E25" w:rsidP="00EB5C27">
            <w:pPr>
              <w:pStyle w:val="TableNumbersRight"/>
              <w:rPr>
                <w:rFonts w:asciiTheme="minorHAnsi" w:hAnsiTheme="minorHAnsi" w:cstheme="minorHAnsi"/>
                <w:sz w:val="18"/>
                <w:szCs w:val="18"/>
              </w:rPr>
            </w:pPr>
            <w:r w:rsidRPr="00B558F4">
              <w:rPr>
                <w:rFonts w:asciiTheme="minorHAnsi" w:hAnsiTheme="minorHAnsi" w:cstheme="minorHAnsi"/>
                <w:sz w:val="18"/>
                <w:szCs w:val="18"/>
              </w:rPr>
              <w:t>299</w:t>
            </w:r>
          </w:p>
        </w:tc>
        <w:tc>
          <w:tcPr>
            <w:tcW w:w="1044" w:type="dxa"/>
            <w:tcBorders>
              <w:top w:val="nil"/>
              <w:left w:val="nil"/>
              <w:bottom w:val="nil"/>
              <w:right w:val="nil"/>
            </w:tcBorders>
            <w:shd w:val="clear" w:color="auto" w:fill="auto"/>
          </w:tcPr>
          <w:p w:rsidR="001B4E25" w:rsidRPr="00B558F4" w:rsidRDefault="001B4E25" w:rsidP="00EB5C27">
            <w:pPr>
              <w:pStyle w:val="TableNumbersRight"/>
              <w:rPr>
                <w:rFonts w:asciiTheme="minorHAnsi" w:hAnsiTheme="minorHAnsi" w:cstheme="minorHAnsi"/>
                <w:sz w:val="18"/>
                <w:szCs w:val="18"/>
              </w:rPr>
            </w:pPr>
            <w:r w:rsidRPr="00B558F4">
              <w:rPr>
                <w:rFonts w:asciiTheme="minorHAnsi" w:hAnsiTheme="minorHAnsi" w:cstheme="minorHAnsi"/>
                <w:sz w:val="18"/>
                <w:szCs w:val="18"/>
              </w:rPr>
              <w:t>- </w:t>
            </w:r>
          </w:p>
        </w:tc>
        <w:tc>
          <w:tcPr>
            <w:tcW w:w="1044" w:type="dxa"/>
            <w:tcBorders>
              <w:top w:val="nil"/>
              <w:left w:val="nil"/>
              <w:bottom w:val="nil"/>
              <w:right w:val="nil"/>
            </w:tcBorders>
          </w:tcPr>
          <w:p w:rsidR="001B4E25" w:rsidRPr="00B558F4" w:rsidRDefault="001B4E25" w:rsidP="00EB5C27">
            <w:pPr>
              <w:pStyle w:val="TableNumbersRight"/>
              <w:rPr>
                <w:rFonts w:asciiTheme="minorHAnsi" w:hAnsiTheme="minorHAnsi" w:cstheme="minorHAnsi"/>
                <w:sz w:val="18"/>
                <w:szCs w:val="18"/>
              </w:rPr>
            </w:pPr>
            <w:r w:rsidRPr="00B558F4">
              <w:rPr>
                <w:rFonts w:asciiTheme="minorHAnsi" w:hAnsiTheme="minorHAnsi" w:cstheme="minorHAnsi"/>
                <w:sz w:val="18"/>
                <w:szCs w:val="18"/>
              </w:rPr>
              <w:t>- </w:t>
            </w:r>
          </w:p>
        </w:tc>
        <w:tc>
          <w:tcPr>
            <w:tcW w:w="1044" w:type="dxa"/>
            <w:tcBorders>
              <w:top w:val="nil"/>
              <w:left w:val="nil"/>
              <w:bottom w:val="nil"/>
              <w:right w:val="nil"/>
            </w:tcBorders>
          </w:tcPr>
          <w:p w:rsidR="001B4E25" w:rsidRPr="00156EB8" w:rsidRDefault="001B4E25" w:rsidP="00EB5C27">
            <w:pPr>
              <w:pStyle w:val="TableNumbersRight"/>
              <w:rPr>
                <w:rFonts w:asciiTheme="minorHAnsi" w:hAnsiTheme="minorHAnsi" w:cstheme="minorHAnsi"/>
                <w:color w:val="000000"/>
                <w:sz w:val="18"/>
                <w:szCs w:val="18"/>
                <w:highlight w:val="yellow"/>
              </w:rPr>
            </w:pPr>
          </w:p>
        </w:tc>
      </w:tr>
      <w:tr w:rsidR="001B4E25" w:rsidRPr="00156EB8" w:rsidTr="00EB5C27">
        <w:trPr>
          <w:trHeight w:val="240"/>
        </w:trPr>
        <w:tc>
          <w:tcPr>
            <w:tcW w:w="3092" w:type="dxa"/>
            <w:tcBorders>
              <w:top w:val="nil"/>
              <w:left w:val="nil"/>
              <w:bottom w:val="nil"/>
              <w:right w:val="nil"/>
            </w:tcBorders>
          </w:tcPr>
          <w:p w:rsidR="001B4E25" w:rsidRPr="00B558F4" w:rsidRDefault="001B4E25" w:rsidP="00EB5C27">
            <w:pPr>
              <w:pStyle w:val="TableTextLeft-BP4"/>
              <w:rPr>
                <w:rFonts w:asciiTheme="minorHAnsi" w:hAnsiTheme="minorHAnsi" w:cstheme="minorHAnsi"/>
              </w:rPr>
            </w:pPr>
            <w:r w:rsidRPr="00B558F4">
              <w:rPr>
                <w:rFonts w:asciiTheme="minorHAnsi" w:hAnsiTheme="minorHAnsi" w:cstheme="minorHAnsi"/>
              </w:rPr>
              <w:t>Courts, Corrections and Office Accommodation Upgrades</w:t>
            </w:r>
          </w:p>
        </w:tc>
        <w:tc>
          <w:tcPr>
            <w:tcW w:w="1044" w:type="dxa"/>
            <w:tcBorders>
              <w:top w:val="nil"/>
              <w:left w:val="nil"/>
              <w:bottom w:val="nil"/>
              <w:right w:val="nil"/>
            </w:tcBorders>
            <w:shd w:val="clear" w:color="auto" w:fill="auto"/>
          </w:tcPr>
          <w:p w:rsidR="001B4E25" w:rsidRPr="00B558F4" w:rsidRDefault="001B4E25" w:rsidP="00EB5C27">
            <w:pPr>
              <w:pStyle w:val="TableNumbersRight"/>
              <w:rPr>
                <w:rFonts w:asciiTheme="minorHAnsi" w:hAnsiTheme="minorHAnsi" w:cstheme="minorHAnsi"/>
                <w:sz w:val="18"/>
                <w:szCs w:val="18"/>
              </w:rPr>
            </w:pPr>
            <w:r w:rsidRPr="00B558F4">
              <w:rPr>
                <w:rFonts w:asciiTheme="minorHAnsi" w:hAnsiTheme="minorHAnsi" w:cstheme="minorHAnsi"/>
                <w:sz w:val="18"/>
                <w:szCs w:val="18"/>
              </w:rPr>
              <w:t>777</w:t>
            </w:r>
          </w:p>
        </w:tc>
        <w:tc>
          <w:tcPr>
            <w:tcW w:w="1044" w:type="dxa"/>
            <w:tcBorders>
              <w:top w:val="nil"/>
              <w:left w:val="nil"/>
              <w:bottom w:val="nil"/>
              <w:right w:val="nil"/>
            </w:tcBorders>
            <w:shd w:val="clear" w:color="auto" w:fill="auto"/>
          </w:tcPr>
          <w:p w:rsidR="001B4E25" w:rsidRPr="00B558F4" w:rsidRDefault="001B4E25" w:rsidP="00EB5C27">
            <w:pPr>
              <w:pStyle w:val="TableNumbersRight"/>
              <w:rPr>
                <w:rFonts w:asciiTheme="minorHAnsi" w:hAnsiTheme="minorHAnsi" w:cstheme="minorHAnsi"/>
                <w:sz w:val="18"/>
                <w:szCs w:val="18"/>
              </w:rPr>
            </w:pPr>
            <w:r w:rsidRPr="00B558F4">
              <w:rPr>
                <w:rFonts w:asciiTheme="minorHAnsi" w:hAnsiTheme="minorHAnsi" w:cstheme="minorHAnsi"/>
                <w:sz w:val="18"/>
                <w:szCs w:val="18"/>
              </w:rPr>
              <w:t>- </w:t>
            </w:r>
          </w:p>
        </w:tc>
        <w:tc>
          <w:tcPr>
            <w:tcW w:w="1044" w:type="dxa"/>
            <w:tcBorders>
              <w:top w:val="nil"/>
              <w:left w:val="nil"/>
              <w:bottom w:val="nil"/>
              <w:right w:val="nil"/>
            </w:tcBorders>
            <w:shd w:val="clear" w:color="auto" w:fill="auto"/>
          </w:tcPr>
          <w:p w:rsidR="001B4E25" w:rsidRPr="00B558F4" w:rsidRDefault="001B4E25" w:rsidP="00EB5C27">
            <w:pPr>
              <w:pStyle w:val="TableNumbersRight"/>
              <w:rPr>
                <w:rFonts w:asciiTheme="minorHAnsi" w:hAnsiTheme="minorHAnsi" w:cstheme="minorHAnsi"/>
                <w:sz w:val="18"/>
                <w:szCs w:val="18"/>
              </w:rPr>
            </w:pPr>
            <w:r w:rsidRPr="00B558F4">
              <w:rPr>
                <w:rFonts w:asciiTheme="minorHAnsi" w:hAnsiTheme="minorHAnsi" w:cstheme="minorHAnsi"/>
                <w:sz w:val="18"/>
                <w:szCs w:val="18"/>
              </w:rPr>
              <w:t>777</w:t>
            </w:r>
          </w:p>
        </w:tc>
        <w:tc>
          <w:tcPr>
            <w:tcW w:w="1044" w:type="dxa"/>
            <w:tcBorders>
              <w:top w:val="nil"/>
              <w:left w:val="nil"/>
              <w:bottom w:val="nil"/>
              <w:right w:val="nil"/>
            </w:tcBorders>
            <w:shd w:val="clear" w:color="auto" w:fill="auto"/>
          </w:tcPr>
          <w:p w:rsidR="001B4E25" w:rsidRPr="00B558F4" w:rsidRDefault="001B4E25" w:rsidP="00EB5C27">
            <w:pPr>
              <w:pStyle w:val="TableNumbersRight"/>
              <w:rPr>
                <w:rFonts w:asciiTheme="minorHAnsi" w:hAnsiTheme="minorHAnsi" w:cstheme="minorHAnsi"/>
                <w:sz w:val="18"/>
                <w:szCs w:val="18"/>
              </w:rPr>
            </w:pPr>
            <w:r w:rsidRPr="00B558F4">
              <w:rPr>
                <w:rFonts w:asciiTheme="minorHAnsi" w:hAnsiTheme="minorHAnsi" w:cstheme="minorHAnsi"/>
                <w:sz w:val="18"/>
                <w:szCs w:val="18"/>
              </w:rPr>
              <w:t>- </w:t>
            </w:r>
          </w:p>
        </w:tc>
        <w:tc>
          <w:tcPr>
            <w:tcW w:w="1044" w:type="dxa"/>
            <w:tcBorders>
              <w:top w:val="nil"/>
              <w:left w:val="nil"/>
              <w:bottom w:val="nil"/>
              <w:right w:val="nil"/>
            </w:tcBorders>
          </w:tcPr>
          <w:p w:rsidR="001B4E25" w:rsidRPr="00B558F4" w:rsidRDefault="001B4E25" w:rsidP="00EB5C27">
            <w:pPr>
              <w:pStyle w:val="TableNumbersRight"/>
              <w:rPr>
                <w:rFonts w:asciiTheme="minorHAnsi" w:hAnsiTheme="minorHAnsi" w:cstheme="minorHAnsi"/>
                <w:sz w:val="18"/>
                <w:szCs w:val="18"/>
              </w:rPr>
            </w:pPr>
            <w:r w:rsidRPr="00B558F4">
              <w:rPr>
                <w:rFonts w:asciiTheme="minorHAnsi" w:hAnsiTheme="minorHAnsi" w:cstheme="minorHAnsi"/>
                <w:sz w:val="18"/>
                <w:szCs w:val="18"/>
              </w:rPr>
              <w:t>- </w:t>
            </w:r>
          </w:p>
        </w:tc>
        <w:tc>
          <w:tcPr>
            <w:tcW w:w="1044" w:type="dxa"/>
            <w:tcBorders>
              <w:top w:val="nil"/>
              <w:left w:val="nil"/>
              <w:bottom w:val="nil"/>
              <w:right w:val="nil"/>
            </w:tcBorders>
          </w:tcPr>
          <w:p w:rsidR="001B4E25" w:rsidRPr="00156EB8" w:rsidRDefault="001B4E25" w:rsidP="00EB5C27">
            <w:pPr>
              <w:pStyle w:val="TableNumbersRight"/>
              <w:rPr>
                <w:rFonts w:asciiTheme="minorHAnsi" w:hAnsiTheme="minorHAnsi" w:cstheme="minorHAnsi"/>
                <w:color w:val="000000"/>
                <w:sz w:val="18"/>
                <w:szCs w:val="18"/>
                <w:highlight w:val="yellow"/>
              </w:rPr>
            </w:pPr>
          </w:p>
        </w:tc>
      </w:tr>
      <w:tr w:rsidR="001B4E25" w:rsidRPr="00156EB8" w:rsidTr="00EB5C27">
        <w:tblPrEx>
          <w:tblCellMar>
            <w:left w:w="0" w:type="dxa"/>
            <w:right w:w="0" w:type="dxa"/>
          </w:tblCellMar>
        </w:tblPrEx>
        <w:trPr>
          <w:trHeight w:val="240"/>
        </w:trPr>
        <w:tc>
          <w:tcPr>
            <w:tcW w:w="3092" w:type="dxa"/>
            <w:tcBorders>
              <w:top w:val="nil"/>
              <w:left w:val="nil"/>
              <w:bottom w:val="nil"/>
              <w:right w:val="nil"/>
            </w:tcBorders>
          </w:tcPr>
          <w:p w:rsidR="001B4E25" w:rsidRPr="00B558F4" w:rsidRDefault="001B4E25" w:rsidP="00EB5C27">
            <w:pPr>
              <w:pStyle w:val="TableHeadingLeft-BP4"/>
              <w:rPr>
                <w:rFonts w:asciiTheme="minorHAnsi" w:hAnsiTheme="minorHAnsi" w:cstheme="minorHAnsi"/>
                <w:szCs w:val="18"/>
              </w:rPr>
            </w:pPr>
            <w:r w:rsidRPr="00B558F4">
              <w:rPr>
                <w:rFonts w:asciiTheme="minorHAnsi" w:hAnsiTheme="minorHAnsi" w:cstheme="minorHAnsi"/>
                <w:szCs w:val="18"/>
              </w:rPr>
              <w:t>Total Capital Upgrades</w:t>
            </w:r>
          </w:p>
        </w:tc>
        <w:tc>
          <w:tcPr>
            <w:tcW w:w="1044" w:type="dxa"/>
            <w:tcBorders>
              <w:top w:val="nil"/>
              <w:left w:val="nil"/>
              <w:bottom w:val="nil"/>
              <w:right w:val="nil"/>
            </w:tcBorders>
            <w:shd w:val="clear" w:color="auto" w:fill="auto"/>
          </w:tcPr>
          <w:p w:rsidR="001B4E25" w:rsidRPr="00B558F4" w:rsidRDefault="001B4E25" w:rsidP="00EB5C27">
            <w:pPr>
              <w:pStyle w:val="TableNumbersRight"/>
              <w:rPr>
                <w:rFonts w:asciiTheme="minorHAnsi" w:hAnsiTheme="minorHAnsi" w:cstheme="minorHAnsi"/>
                <w:b/>
                <w:bCs/>
                <w:sz w:val="18"/>
                <w:szCs w:val="18"/>
              </w:rPr>
            </w:pPr>
            <w:r w:rsidRPr="00B558F4">
              <w:rPr>
                <w:rFonts w:asciiTheme="minorHAnsi" w:hAnsiTheme="minorHAnsi" w:cstheme="minorHAnsi"/>
                <w:b/>
                <w:bCs/>
                <w:sz w:val="18"/>
                <w:szCs w:val="18"/>
              </w:rPr>
              <w:t>1,076</w:t>
            </w:r>
          </w:p>
        </w:tc>
        <w:tc>
          <w:tcPr>
            <w:tcW w:w="1044" w:type="dxa"/>
            <w:tcBorders>
              <w:top w:val="nil"/>
              <w:left w:val="nil"/>
              <w:bottom w:val="nil"/>
              <w:right w:val="nil"/>
            </w:tcBorders>
            <w:shd w:val="clear" w:color="auto" w:fill="auto"/>
          </w:tcPr>
          <w:p w:rsidR="001B4E25" w:rsidRPr="00B558F4" w:rsidRDefault="001B4E25" w:rsidP="00EB5C27">
            <w:pPr>
              <w:pStyle w:val="TableNumbersRight"/>
              <w:rPr>
                <w:rFonts w:asciiTheme="minorHAnsi" w:hAnsiTheme="minorHAnsi" w:cstheme="minorHAnsi"/>
                <w:sz w:val="18"/>
                <w:szCs w:val="18"/>
              </w:rPr>
            </w:pPr>
            <w:r w:rsidRPr="00B558F4">
              <w:rPr>
                <w:rFonts w:asciiTheme="minorHAnsi" w:hAnsiTheme="minorHAnsi" w:cstheme="minorHAnsi"/>
                <w:sz w:val="18"/>
                <w:szCs w:val="18"/>
              </w:rPr>
              <w:t>- </w:t>
            </w:r>
          </w:p>
        </w:tc>
        <w:tc>
          <w:tcPr>
            <w:tcW w:w="1044" w:type="dxa"/>
            <w:tcBorders>
              <w:top w:val="nil"/>
              <w:left w:val="nil"/>
              <w:bottom w:val="nil"/>
              <w:right w:val="nil"/>
            </w:tcBorders>
            <w:shd w:val="clear" w:color="auto" w:fill="auto"/>
          </w:tcPr>
          <w:p w:rsidR="001B4E25" w:rsidRPr="00B558F4" w:rsidRDefault="001B4E25" w:rsidP="00EB5C27">
            <w:pPr>
              <w:pStyle w:val="TableNumbersRight"/>
              <w:rPr>
                <w:rFonts w:asciiTheme="minorHAnsi" w:hAnsiTheme="minorHAnsi" w:cstheme="minorHAnsi"/>
                <w:b/>
                <w:bCs/>
                <w:sz w:val="18"/>
                <w:szCs w:val="18"/>
              </w:rPr>
            </w:pPr>
            <w:r w:rsidRPr="00B558F4">
              <w:rPr>
                <w:rFonts w:asciiTheme="minorHAnsi" w:hAnsiTheme="minorHAnsi" w:cstheme="minorHAnsi"/>
                <w:b/>
                <w:bCs/>
                <w:sz w:val="18"/>
                <w:szCs w:val="18"/>
              </w:rPr>
              <w:t>1,076</w:t>
            </w:r>
          </w:p>
        </w:tc>
        <w:tc>
          <w:tcPr>
            <w:tcW w:w="1044" w:type="dxa"/>
            <w:tcBorders>
              <w:top w:val="nil"/>
              <w:left w:val="nil"/>
              <w:bottom w:val="nil"/>
              <w:right w:val="nil"/>
            </w:tcBorders>
            <w:shd w:val="clear" w:color="auto" w:fill="auto"/>
          </w:tcPr>
          <w:p w:rsidR="001B4E25" w:rsidRPr="00B558F4" w:rsidRDefault="001B4E25" w:rsidP="00EB5C27">
            <w:pPr>
              <w:pStyle w:val="TableNumbersRight"/>
              <w:rPr>
                <w:rFonts w:asciiTheme="minorHAnsi" w:hAnsiTheme="minorHAnsi" w:cstheme="minorHAnsi"/>
                <w:sz w:val="18"/>
                <w:szCs w:val="18"/>
              </w:rPr>
            </w:pPr>
            <w:r w:rsidRPr="00B558F4">
              <w:rPr>
                <w:rFonts w:asciiTheme="minorHAnsi" w:hAnsiTheme="minorHAnsi" w:cstheme="minorHAnsi"/>
                <w:sz w:val="18"/>
                <w:szCs w:val="18"/>
              </w:rPr>
              <w:t>- </w:t>
            </w:r>
          </w:p>
        </w:tc>
        <w:tc>
          <w:tcPr>
            <w:tcW w:w="1044" w:type="dxa"/>
            <w:tcBorders>
              <w:top w:val="nil"/>
              <w:left w:val="nil"/>
              <w:bottom w:val="nil"/>
              <w:right w:val="nil"/>
            </w:tcBorders>
            <w:tcMar>
              <w:top w:w="17" w:type="dxa"/>
              <w:left w:w="17" w:type="dxa"/>
              <w:right w:w="17" w:type="dxa"/>
            </w:tcMar>
          </w:tcPr>
          <w:p w:rsidR="001B4E25" w:rsidRPr="00B558F4" w:rsidRDefault="001B4E25" w:rsidP="00EB5C27">
            <w:pPr>
              <w:pStyle w:val="TableNumbersRight"/>
              <w:rPr>
                <w:rFonts w:asciiTheme="minorHAnsi" w:hAnsiTheme="minorHAnsi" w:cstheme="minorHAnsi"/>
                <w:sz w:val="18"/>
                <w:szCs w:val="18"/>
              </w:rPr>
            </w:pPr>
            <w:r w:rsidRPr="00B558F4">
              <w:rPr>
                <w:rFonts w:asciiTheme="minorHAnsi" w:hAnsiTheme="minorHAnsi" w:cstheme="minorHAnsi"/>
                <w:sz w:val="18"/>
                <w:szCs w:val="18"/>
              </w:rPr>
              <w:t>- </w:t>
            </w:r>
          </w:p>
        </w:tc>
        <w:tc>
          <w:tcPr>
            <w:tcW w:w="1044" w:type="dxa"/>
            <w:tcBorders>
              <w:top w:val="nil"/>
              <w:left w:val="nil"/>
              <w:bottom w:val="nil"/>
              <w:right w:val="nil"/>
            </w:tcBorders>
            <w:tcMar>
              <w:left w:w="17" w:type="dxa"/>
              <w:right w:w="17" w:type="dxa"/>
            </w:tcMar>
          </w:tcPr>
          <w:p w:rsidR="001B4E25" w:rsidRPr="00156EB8" w:rsidRDefault="001B4E25" w:rsidP="00EB5C27">
            <w:pPr>
              <w:pStyle w:val="TableNumbersRight"/>
              <w:rPr>
                <w:rFonts w:asciiTheme="minorHAnsi" w:hAnsiTheme="minorHAnsi" w:cstheme="minorHAnsi"/>
                <w:b/>
                <w:bCs/>
                <w:sz w:val="18"/>
                <w:szCs w:val="18"/>
                <w:highlight w:val="yellow"/>
              </w:rPr>
            </w:pPr>
          </w:p>
        </w:tc>
      </w:tr>
      <w:tr w:rsidR="001B4E25" w:rsidRPr="00156EB8" w:rsidTr="00EB5C27">
        <w:trPr>
          <w:trHeight w:hRule="exact" w:val="198"/>
        </w:trPr>
        <w:tc>
          <w:tcPr>
            <w:tcW w:w="3092" w:type="dxa"/>
            <w:tcBorders>
              <w:top w:val="nil"/>
              <w:left w:val="nil"/>
              <w:bottom w:val="nil"/>
              <w:right w:val="nil"/>
            </w:tcBorders>
          </w:tcPr>
          <w:p w:rsidR="001B4E25" w:rsidRPr="00B558F4" w:rsidRDefault="001B4E25" w:rsidP="00EB5C27">
            <w:pPr>
              <w:pStyle w:val="TableHeadingLeft-BP4"/>
              <w:rPr>
                <w:rFonts w:asciiTheme="minorHAnsi" w:hAnsiTheme="minorHAnsi" w:cstheme="minorHAnsi"/>
                <w:color w:val="000000"/>
                <w:szCs w:val="18"/>
              </w:rPr>
            </w:pPr>
          </w:p>
        </w:tc>
        <w:tc>
          <w:tcPr>
            <w:tcW w:w="1044" w:type="dxa"/>
            <w:tcBorders>
              <w:top w:val="nil"/>
              <w:left w:val="nil"/>
              <w:bottom w:val="nil"/>
              <w:right w:val="nil"/>
            </w:tcBorders>
            <w:shd w:val="clear" w:color="auto" w:fill="auto"/>
          </w:tcPr>
          <w:p w:rsidR="001B4E25" w:rsidRPr="00B558F4" w:rsidRDefault="001B4E25" w:rsidP="00EB5C27">
            <w:pPr>
              <w:pStyle w:val="TableNumbersRight"/>
              <w:rPr>
                <w:rFonts w:asciiTheme="minorHAnsi" w:hAnsiTheme="minorHAnsi" w:cstheme="minorHAnsi"/>
                <w:b/>
                <w:bCs/>
                <w:sz w:val="18"/>
                <w:szCs w:val="18"/>
              </w:rPr>
            </w:pPr>
          </w:p>
        </w:tc>
        <w:tc>
          <w:tcPr>
            <w:tcW w:w="1044" w:type="dxa"/>
            <w:tcBorders>
              <w:top w:val="nil"/>
              <w:left w:val="nil"/>
              <w:bottom w:val="nil"/>
              <w:right w:val="nil"/>
            </w:tcBorders>
            <w:shd w:val="clear" w:color="auto" w:fill="auto"/>
          </w:tcPr>
          <w:p w:rsidR="001B4E25" w:rsidRPr="00B558F4" w:rsidRDefault="001B4E25" w:rsidP="00EB5C27">
            <w:pPr>
              <w:pStyle w:val="TableNumbersRight"/>
              <w:rPr>
                <w:rFonts w:asciiTheme="minorHAnsi" w:hAnsiTheme="minorHAnsi" w:cstheme="minorHAnsi"/>
                <w:b/>
                <w:bCs/>
                <w:sz w:val="18"/>
                <w:szCs w:val="18"/>
              </w:rPr>
            </w:pPr>
          </w:p>
        </w:tc>
        <w:tc>
          <w:tcPr>
            <w:tcW w:w="1044" w:type="dxa"/>
            <w:tcBorders>
              <w:top w:val="nil"/>
              <w:left w:val="nil"/>
              <w:bottom w:val="nil"/>
              <w:right w:val="nil"/>
            </w:tcBorders>
            <w:shd w:val="clear" w:color="auto" w:fill="auto"/>
          </w:tcPr>
          <w:p w:rsidR="001B4E25" w:rsidRPr="00B558F4" w:rsidRDefault="001B4E25" w:rsidP="00EB5C27">
            <w:pPr>
              <w:pStyle w:val="TableNumbersRight"/>
              <w:rPr>
                <w:rFonts w:asciiTheme="minorHAnsi" w:hAnsiTheme="minorHAnsi" w:cstheme="minorHAnsi"/>
                <w:b/>
                <w:bCs/>
                <w:sz w:val="18"/>
                <w:szCs w:val="18"/>
              </w:rPr>
            </w:pPr>
          </w:p>
        </w:tc>
        <w:tc>
          <w:tcPr>
            <w:tcW w:w="1044" w:type="dxa"/>
            <w:tcBorders>
              <w:top w:val="nil"/>
              <w:left w:val="nil"/>
              <w:bottom w:val="nil"/>
              <w:right w:val="nil"/>
            </w:tcBorders>
            <w:shd w:val="clear" w:color="auto" w:fill="auto"/>
          </w:tcPr>
          <w:p w:rsidR="001B4E25" w:rsidRPr="00B558F4" w:rsidRDefault="001B4E25" w:rsidP="00EB5C27">
            <w:pPr>
              <w:pStyle w:val="TableNumbersRight"/>
              <w:rPr>
                <w:rFonts w:asciiTheme="minorHAnsi" w:hAnsiTheme="minorHAnsi" w:cstheme="minorHAnsi"/>
                <w:b/>
                <w:bCs/>
                <w:sz w:val="18"/>
                <w:szCs w:val="18"/>
              </w:rPr>
            </w:pPr>
          </w:p>
        </w:tc>
        <w:tc>
          <w:tcPr>
            <w:tcW w:w="1044" w:type="dxa"/>
            <w:tcBorders>
              <w:top w:val="nil"/>
              <w:left w:val="nil"/>
              <w:bottom w:val="nil"/>
              <w:right w:val="nil"/>
            </w:tcBorders>
          </w:tcPr>
          <w:p w:rsidR="001B4E25" w:rsidRPr="00B558F4" w:rsidRDefault="001B4E25" w:rsidP="00EB5C27">
            <w:pPr>
              <w:pStyle w:val="TableNumbersRight"/>
              <w:rPr>
                <w:rFonts w:asciiTheme="minorHAnsi" w:hAnsiTheme="minorHAnsi" w:cstheme="minorHAnsi"/>
                <w:b/>
                <w:bCs/>
                <w:sz w:val="18"/>
                <w:szCs w:val="18"/>
              </w:rPr>
            </w:pPr>
          </w:p>
        </w:tc>
        <w:tc>
          <w:tcPr>
            <w:tcW w:w="1044" w:type="dxa"/>
            <w:tcBorders>
              <w:top w:val="nil"/>
              <w:left w:val="nil"/>
              <w:bottom w:val="nil"/>
              <w:right w:val="nil"/>
            </w:tcBorders>
          </w:tcPr>
          <w:p w:rsidR="001B4E25" w:rsidRPr="00156EB8" w:rsidRDefault="001B4E25" w:rsidP="00EB5C27">
            <w:pPr>
              <w:pStyle w:val="TableNumbersRight"/>
              <w:rPr>
                <w:rFonts w:asciiTheme="minorHAnsi" w:hAnsiTheme="minorHAnsi" w:cstheme="minorHAnsi"/>
                <w:b/>
                <w:bCs/>
                <w:sz w:val="18"/>
                <w:szCs w:val="18"/>
                <w:highlight w:val="yellow"/>
              </w:rPr>
            </w:pPr>
          </w:p>
        </w:tc>
      </w:tr>
      <w:tr w:rsidR="001B4E25" w:rsidRPr="00156EB8" w:rsidTr="00EB5C27">
        <w:trPr>
          <w:trHeight w:val="240"/>
        </w:trPr>
        <w:tc>
          <w:tcPr>
            <w:tcW w:w="3092" w:type="dxa"/>
            <w:tcBorders>
              <w:top w:val="nil"/>
              <w:left w:val="nil"/>
              <w:bottom w:val="single" w:sz="4" w:space="0" w:color="auto"/>
              <w:right w:val="nil"/>
            </w:tcBorders>
          </w:tcPr>
          <w:p w:rsidR="001B4E25" w:rsidRPr="00B558F4" w:rsidRDefault="001B4E25" w:rsidP="00EB5C27">
            <w:pPr>
              <w:pStyle w:val="TableHeadingLeft-BP4"/>
              <w:rPr>
                <w:rFonts w:asciiTheme="minorHAnsi" w:hAnsiTheme="minorHAnsi" w:cstheme="minorHAnsi"/>
                <w:bCs/>
                <w:szCs w:val="18"/>
              </w:rPr>
            </w:pPr>
            <w:r w:rsidRPr="00B558F4">
              <w:rPr>
                <w:rFonts w:asciiTheme="minorHAnsi" w:hAnsiTheme="minorHAnsi" w:cstheme="minorHAnsi"/>
                <w:szCs w:val="18"/>
              </w:rPr>
              <w:t>Total New Works</w:t>
            </w:r>
          </w:p>
        </w:tc>
        <w:tc>
          <w:tcPr>
            <w:tcW w:w="1044" w:type="dxa"/>
            <w:tcBorders>
              <w:top w:val="nil"/>
              <w:left w:val="nil"/>
              <w:bottom w:val="single" w:sz="4" w:space="0" w:color="auto"/>
              <w:right w:val="nil"/>
            </w:tcBorders>
            <w:shd w:val="clear" w:color="auto" w:fill="auto"/>
          </w:tcPr>
          <w:p w:rsidR="001B4E25" w:rsidRPr="00B558F4" w:rsidRDefault="001B4E25" w:rsidP="00EB5C27">
            <w:pPr>
              <w:pStyle w:val="TableNumbersRight"/>
              <w:rPr>
                <w:rFonts w:asciiTheme="minorHAnsi" w:hAnsiTheme="minorHAnsi" w:cstheme="minorHAnsi"/>
                <w:b/>
                <w:bCs/>
                <w:sz w:val="18"/>
                <w:szCs w:val="18"/>
              </w:rPr>
            </w:pPr>
            <w:r>
              <w:rPr>
                <w:rFonts w:asciiTheme="minorHAnsi" w:hAnsiTheme="minorHAnsi" w:cstheme="minorHAnsi"/>
                <w:b/>
                <w:bCs/>
                <w:sz w:val="18"/>
                <w:szCs w:val="18"/>
              </w:rPr>
              <w:t>21,436</w:t>
            </w:r>
          </w:p>
        </w:tc>
        <w:tc>
          <w:tcPr>
            <w:tcW w:w="1044" w:type="dxa"/>
            <w:tcBorders>
              <w:top w:val="nil"/>
              <w:left w:val="nil"/>
              <w:bottom w:val="single" w:sz="4" w:space="0" w:color="auto"/>
              <w:right w:val="nil"/>
            </w:tcBorders>
            <w:shd w:val="clear" w:color="auto" w:fill="auto"/>
          </w:tcPr>
          <w:p w:rsidR="001B4E25" w:rsidRPr="00B558F4" w:rsidRDefault="001B4E25" w:rsidP="00EB5C27">
            <w:pPr>
              <w:pStyle w:val="TableNumbersRight"/>
              <w:rPr>
                <w:rFonts w:asciiTheme="minorHAnsi" w:hAnsiTheme="minorHAnsi" w:cstheme="minorHAnsi"/>
                <w:b/>
                <w:bCs/>
                <w:sz w:val="18"/>
                <w:szCs w:val="18"/>
              </w:rPr>
            </w:pPr>
            <w:r w:rsidRPr="00B558F4">
              <w:rPr>
                <w:rFonts w:asciiTheme="minorHAnsi" w:hAnsiTheme="minorHAnsi" w:cstheme="minorHAnsi"/>
                <w:b/>
                <w:bCs/>
                <w:sz w:val="18"/>
                <w:szCs w:val="18"/>
              </w:rPr>
              <w:t>- </w:t>
            </w:r>
          </w:p>
        </w:tc>
        <w:tc>
          <w:tcPr>
            <w:tcW w:w="1044" w:type="dxa"/>
            <w:tcBorders>
              <w:top w:val="nil"/>
              <w:left w:val="nil"/>
              <w:bottom w:val="single" w:sz="4" w:space="0" w:color="auto"/>
              <w:right w:val="nil"/>
            </w:tcBorders>
            <w:shd w:val="clear" w:color="auto" w:fill="auto"/>
          </w:tcPr>
          <w:p w:rsidR="001B4E25" w:rsidRPr="00B558F4" w:rsidRDefault="001B4E25" w:rsidP="00EB5C27">
            <w:pPr>
              <w:pStyle w:val="TableNumbersRight"/>
              <w:rPr>
                <w:rFonts w:asciiTheme="minorHAnsi" w:hAnsiTheme="minorHAnsi" w:cstheme="minorHAnsi"/>
                <w:b/>
                <w:bCs/>
                <w:sz w:val="18"/>
                <w:szCs w:val="18"/>
              </w:rPr>
            </w:pPr>
            <w:r>
              <w:rPr>
                <w:rFonts w:asciiTheme="minorHAnsi" w:hAnsiTheme="minorHAnsi" w:cstheme="minorHAnsi"/>
                <w:b/>
                <w:bCs/>
                <w:sz w:val="18"/>
                <w:szCs w:val="18"/>
              </w:rPr>
              <w:t>11,923</w:t>
            </w:r>
          </w:p>
        </w:tc>
        <w:tc>
          <w:tcPr>
            <w:tcW w:w="1044" w:type="dxa"/>
            <w:tcBorders>
              <w:top w:val="nil"/>
              <w:left w:val="nil"/>
              <w:bottom w:val="single" w:sz="4" w:space="0" w:color="auto"/>
              <w:right w:val="nil"/>
            </w:tcBorders>
            <w:shd w:val="clear" w:color="auto" w:fill="auto"/>
          </w:tcPr>
          <w:p w:rsidR="001B4E25" w:rsidRPr="00B558F4" w:rsidRDefault="001B4E25" w:rsidP="00EB5C27">
            <w:pPr>
              <w:pStyle w:val="TableNumbersRight"/>
              <w:rPr>
                <w:rFonts w:asciiTheme="minorHAnsi" w:hAnsiTheme="minorHAnsi" w:cstheme="minorHAnsi"/>
                <w:b/>
                <w:bCs/>
                <w:sz w:val="18"/>
                <w:szCs w:val="18"/>
              </w:rPr>
            </w:pPr>
            <w:r>
              <w:rPr>
                <w:rFonts w:asciiTheme="minorHAnsi" w:hAnsiTheme="minorHAnsi" w:cstheme="minorHAnsi"/>
                <w:b/>
                <w:bCs/>
                <w:sz w:val="18"/>
                <w:szCs w:val="18"/>
              </w:rPr>
              <w:t>8,589</w:t>
            </w:r>
          </w:p>
        </w:tc>
        <w:tc>
          <w:tcPr>
            <w:tcW w:w="1044" w:type="dxa"/>
            <w:tcBorders>
              <w:top w:val="nil"/>
              <w:left w:val="nil"/>
              <w:bottom w:val="single" w:sz="4" w:space="0" w:color="auto"/>
              <w:right w:val="nil"/>
            </w:tcBorders>
          </w:tcPr>
          <w:p w:rsidR="001B4E25" w:rsidRPr="00B558F4" w:rsidRDefault="001B4E25" w:rsidP="00EB5C27">
            <w:pPr>
              <w:pStyle w:val="TableNumbersRight"/>
              <w:rPr>
                <w:rFonts w:asciiTheme="minorHAnsi" w:hAnsiTheme="minorHAnsi" w:cstheme="minorHAnsi"/>
                <w:b/>
                <w:bCs/>
                <w:sz w:val="18"/>
                <w:szCs w:val="18"/>
              </w:rPr>
            </w:pPr>
            <w:r>
              <w:rPr>
                <w:rFonts w:asciiTheme="minorHAnsi" w:hAnsiTheme="minorHAnsi" w:cstheme="minorHAnsi"/>
                <w:b/>
                <w:bCs/>
                <w:sz w:val="18"/>
                <w:szCs w:val="18"/>
              </w:rPr>
              <w:t>924</w:t>
            </w:r>
          </w:p>
        </w:tc>
        <w:tc>
          <w:tcPr>
            <w:tcW w:w="1044" w:type="dxa"/>
            <w:tcBorders>
              <w:top w:val="nil"/>
              <w:left w:val="nil"/>
              <w:bottom w:val="single" w:sz="4" w:space="0" w:color="auto"/>
              <w:right w:val="nil"/>
            </w:tcBorders>
          </w:tcPr>
          <w:p w:rsidR="001B4E25" w:rsidRPr="00156EB8" w:rsidRDefault="001B4E25" w:rsidP="00EB5C27">
            <w:pPr>
              <w:pStyle w:val="TableNumbersRight"/>
              <w:rPr>
                <w:rFonts w:asciiTheme="minorHAnsi" w:hAnsiTheme="minorHAnsi" w:cstheme="minorHAnsi"/>
                <w:b/>
                <w:bCs/>
                <w:sz w:val="18"/>
                <w:szCs w:val="18"/>
                <w:highlight w:val="yellow"/>
              </w:rPr>
            </w:pPr>
          </w:p>
        </w:tc>
      </w:tr>
      <w:tr w:rsidR="001B4E25" w:rsidRPr="0045253F" w:rsidTr="00EB5C27">
        <w:trPr>
          <w:trHeight w:hRule="exact" w:val="198"/>
        </w:trPr>
        <w:tc>
          <w:tcPr>
            <w:tcW w:w="3092" w:type="dxa"/>
            <w:tcBorders>
              <w:top w:val="nil"/>
              <w:left w:val="nil"/>
              <w:bottom w:val="nil"/>
              <w:right w:val="nil"/>
            </w:tcBorders>
          </w:tcPr>
          <w:p w:rsidR="001B4E25" w:rsidRPr="00B558F4" w:rsidRDefault="001B4E25" w:rsidP="00EB5C27">
            <w:pPr>
              <w:pStyle w:val="TableHeadingLeft-BP4"/>
              <w:rPr>
                <w:rFonts w:asciiTheme="minorHAnsi" w:hAnsiTheme="minorHAnsi" w:cstheme="minorHAnsi"/>
                <w:szCs w:val="18"/>
              </w:rPr>
            </w:pPr>
            <w:r w:rsidRPr="00B558F4">
              <w:rPr>
                <w:rFonts w:asciiTheme="minorHAnsi" w:hAnsiTheme="minorHAnsi" w:cstheme="minorHAnsi"/>
                <w:szCs w:val="18"/>
              </w:rPr>
              <w:t> </w:t>
            </w:r>
          </w:p>
        </w:tc>
        <w:tc>
          <w:tcPr>
            <w:tcW w:w="1044" w:type="dxa"/>
            <w:tcBorders>
              <w:top w:val="nil"/>
              <w:left w:val="nil"/>
              <w:bottom w:val="nil"/>
              <w:right w:val="nil"/>
            </w:tcBorders>
          </w:tcPr>
          <w:p w:rsidR="001B4E25" w:rsidRPr="00B558F4" w:rsidRDefault="001B4E25" w:rsidP="00EB5C27">
            <w:pPr>
              <w:pStyle w:val="TableNumbersRight"/>
              <w:rPr>
                <w:rFonts w:asciiTheme="minorHAnsi" w:hAnsiTheme="minorHAnsi" w:cstheme="minorHAnsi"/>
                <w:color w:val="000000"/>
                <w:sz w:val="18"/>
                <w:szCs w:val="18"/>
              </w:rPr>
            </w:pPr>
          </w:p>
        </w:tc>
        <w:tc>
          <w:tcPr>
            <w:tcW w:w="1044" w:type="dxa"/>
            <w:tcBorders>
              <w:top w:val="nil"/>
              <w:left w:val="nil"/>
              <w:bottom w:val="nil"/>
              <w:right w:val="nil"/>
            </w:tcBorders>
          </w:tcPr>
          <w:p w:rsidR="001B4E25" w:rsidRPr="00B558F4" w:rsidRDefault="001B4E25" w:rsidP="00EB5C27">
            <w:pPr>
              <w:pStyle w:val="TableNumbersRight"/>
              <w:rPr>
                <w:rFonts w:asciiTheme="minorHAnsi" w:hAnsiTheme="minorHAnsi" w:cstheme="minorHAnsi"/>
                <w:color w:val="000000"/>
                <w:sz w:val="18"/>
                <w:szCs w:val="18"/>
              </w:rPr>
            </w:pPr>
          </w:p>
        </w:tc>
        <w:tc>
          <w:tcPr>
            <w:tcW w:w="1044" w:type="dxa"/>
            <w:tcBorders>
              <w:top w:val="nil"/>
              <w:left w:val="nil"/>
              <w:bottom w:val="nil"/>
              <w:right w:val="nil"/>
            </w:tcBorders>
          </w:tcPr>
          <w:p w:rsidR="001B4E25" w:rsidRPr="00B558F4" w:rsidRDefault="001B4E25" w:rsidP="00EB5C27">
            <w:pPr>
              <w:pStyle w:val="TableNumbersRight"/>
              <w:rPr>
                <w:rFonts w:asciiTheme="minorHAnsi" w:hAnsiTheme="minorHAnsi" w:cstheme="minorHAnsi"/>
                <w:color w:val="000000"/>
                <w:sz w:val="18"/>
                <w:szCs w:val="18"/>
              </w:rPr>
            </w:pPr>
          </w:p>
        </w:tc>
        <w:tc>
          <w:tcPr>
            <w:tcW w:w="1044" w:type="dxa"/>
            <w:tcBorders>
              <w:top w:val="nil"/>
              <w:left w:val="nil"/>
              <w:bottom w:val="nil"/>
              <w:right w:val="nil"/>
            </w:tcBorders>
          </w:tcPr>
          <w:p w:rsidR="001B4E25" w:rsidRPr="00B558F4" w:rsidRDefault="001B4E25" w:rsidP="00EB5C27">
            <w:pPr>
              <w:pStyle w:val="TableNumbersRight"/>
              <w:rPr>
                <w:rFonts w:asciiTheme="minorHAnsi" w:hAnsiTheme="minorHAnsi" w:cstheme="minorHAnsi"/>
                <w:color w:val="000000"/>
                <w:sz w:val="18"/>
                <w:szCs w:val="18"/>
              </w:rPr>
            </w:pPr>
          </w:p>
        </w:tc>
        <w:tc>
          <w:tcPr>
            <w:tcW w:w="1044" w:type="dxa"/>
            <w:tcBorders>
              <w:top w:val="nil"/>
              <w:left w:val="nil"/>
              <w:bottom w:val="nil"/>
              <w:right w:val="nil"/>
            </w:tcBorders>
          </w:tcPr>
          <w:p w:rsidR="001B4E25" w:rsidRPr="00B558F4" w:rsidRDefault="001B4E25" w:rsidP="00EB5C27">
            <w:pPr>
              <w:pStyle w:val="TableNumbersRight"/>
              <w:rPr>
                <w:rFonts w:asciiTheme="minorHAnsi" w:hAnsiTheme="minorHAnsi" w:cstheme="minorHAnsi"/>
                <w:color w:val="000000"/>
                <w:sz w:val="18"/>
                <w:szCs w:val="18"/>
              </w:rPr>
            </w:pPr>
          </w:p>
        </w:tc>
        <w:tc>
          <w:tcPr>
            <w:tcW w:w="1044" w:type="dxa"/>
            <w:tcBorders>
              <w:top w:val="nil"/>
              <w:left w:val="nil"/>
              <w:bottom w:val="nil"/>
              <w:right w:val="nil"/>
            </w:tcBorders>
          </w:tcPr>
          <w:p w:rsidR="001B4E25" w:rsidRPr="0045253F" w:rsidRDefault="001B4E25" w:rsidP="00EB5C27">
            <w:pPr>
              <w:pStyle w:val="TableNumbersRight"/>
              <w:rPr>
                <w:rFonts w:asciiTheme="minorHAnsi" w:hAnsiTheme="minorHAnsi" w:cstheme="minorHAnsi"/>
                <w:color w:val="000000"/>
                <w:sz w:val="18"/>
                <w:szCs w:val="18"/>
              </w:rPr>
            </w:pPr>
            <w:r w:rsidRPr="0045253F">
              <w:rPr>
                <w:rFonts w:asciiTheme="minorHAnsi" w:hAnsiTheme="minorHAnsi" w:cstheme="minorHAnsi"/>
                <w:color w:val="000000"/>
                <w:sz w:val="18"/>
                <w:szCs w:val="18"/>
              </w:rPr>
              <w:t> </w:t>
            </w:r>
          </w:p>
        </w:tc>
      </w:tr>
      <w:tr w:rsidR="001B4E25" w:rsidRPr="00156EB8" w:rsidTr="00EB5C27">
        <w:trPr>
          <w:trHeight w:val="240"/>
        </w:trPr>
        <w:tc>
          <w:tcPr>
            <w:tcW w:w="3092" w:type="dxa"/>
            <w:tcBorders>
              <w:top w:val="nil"/>
              <w:left w:val="nil"/>
              <w:bottom w:val="nil"/>
              <w:right w:val="nil"/>
            </w:tcBorders>
          </w:tcPr>
          <w:p w:rsidR="001B4E25" w:rsidRPr="00B558F4" w:rsidRDefault="001B4E25" w:rsidP="00EB5C27">
            <w:pPr>
              <w:pStyle w:val="TableHeadingLeft-BP4"/>
              <w:rPr>
                <w:rFonts w:asciiTheme="minorHAnsi" w:hAnsiTheme="minorHAnsi" w:cstheme="minorHAnsi"/>
                <w:szCs w:val="18"/>
              </w:rPr>
            </w:pPr>
            <w:r w:rsidRPr="00B558F4">
              <w:rPr>
                <w:rFonts w:asciiTheme="minorHAnsi" w:hAnsiTheme="minorHAnsi" w:cstheme="minorHAnsi"/>
                <w:szCs w:val="18"/>
              </w:rPr>
              <w:t>Works in Progress</w:t>
            </w:r>
          </w:p>
        </w:tc>
        <w:tc>
          <w:tcPr>
            <w:tcW w:w="1044" w:type="dxa"/>
            <w:tcBorders>
              <w:top w:val="nil"/>
              <w:left w:val="nil"/>
              <w:bottom w:val="nil"/>
              <w:right w:val="nil"/>
            </w:tcBorders>
          </w:tcPr>
          <w:p w:rsidR="001B4E25" w:rsidRPr="00B558F4" w:rsidRDefault="001B4E25" w:rsidP="00EB5C27">
            <w:pPr>
              <w:pStyle w:val="TableNumbersRight"/>
              <w:rPr>
                <w:rFonts w:asciiTheme="minorHAnsi" w:hAnsiTheme="minorHAnsi" w:cstheme="minorHAnsi"/>
                <w:color w:val="000000"/>
                <w:sz w:val="18"/>
                <w:szCs w:val="18"/>
              </w:rPr>
            </w:pPr>
          </w:p>
        </w:tc>
        <w:tc>
          <w:tcPr>
            <w:tcW w:w="1044" w:type="dxa"/>
            <w:tcBorders>
              <w:top w:val="nil"/>
              <w:left w:val="nil"/>
              <w:right w:val="nil"/>
            </w:tcBorders>
          </w:tcPr>
          <w:p w:rsidR="001B4E25" w:rsidRPr="00B558F4" w:rsidRDefault="001B4E25" w:rsidP="00EB5C27">
            <w:pPr>
              <w:pStyle w:val="TableNumbersRight"/>
              <w:rPr>
                <w:rFonts w:asciiTheme="minorHAnsi" w:hAnsiTheme="minorHAnsi" w:cstheme="minorHAnsi"/>
                <w:color w:val="000000"/>
                <w:sz w:val="18"/>
                <w:szCs w:val="18"/>
              </w:rPr>
            </w:pPr>
          </w:p>
        </w:tc>
        <w:tc>
          <w:tcPr>
            <w:tcW w:w="1044" w:type="dxa"/>
            <w:tcBorders>
              <w:top w:val="nil"/>
              <w:left w:val="nil"/>
              <w:right w:val="nil"/>
            </w:tcBorders>
          </w:tcPr>
          <w:p w:rsidR="001B4E25" w:rsidRPr="00B558F4" w:rsidRDefault="001B4E25" w:rsidP="00EB5C27">
            <w:pPr>
              <w:pStyle w:val="TableNumbersRight"/>
              <w:rPr>
                <w:rFonts w:asciiTheme="minorHAnsi" w:hAnsiTheme="minorHAnsi" w:cstheme="minorHAnsi"/>
                <w:color w:val="000000"/>
                <w:sz w:val="18"/>
                <w:szCs w:val="18"/>
              </w:rPr>
            </w:pPr>
          </w:p>
        </w:tc>
        <w:tc>
          <w:tcPr>
            <w:tcW w:w="1044" w:type="dxa"/>
            <w:tcBorders>
              <w:top w:val="nil"/>
              <w:left w:val="nil"/>
              <w:bottom w:val="nil"/>
              <w:right w:val="nil"/>
            </w:tcBorders>
          </w:tcPr>
          <w:p w:rsidR="001B4E25" w:rsidRPr="00B558F4" w:rsidRDefault="001B4E25" w:rsidP="00EB5C27">
            <w:pPr>
              <w:pStyle w:val="TableNumbersRight"/>
              <w:rPr>
                <w:rFonts w:asciiTheme="minorHAnsi" w:hAnsiTheme="minorHAnsi" w:cstheme="minorHAnsi"/>
                <w:color w:val="000000"/>
                <w:sz w:val="18"/>
                <w:szCs w:val="18"/>
              </w:rPr>
            </w:pPr>
          </w:p>
        </w:tc>
        <w:tc>
          <w:tcPr>
            <w:tcW w:w="1044" w:type="dxa"/>
            <w:tcBorders>
              <w:top w:val="nil"/>
              <w:left w:val="nil"/>
              <w:bottom w:val="nil"/>
              <w:right w:val="nil"/>
            </w:tcBorders>
          </w:tcPr>
          <w:p w:rsidR="001B4E25" w:rsidRPr="00B558F4" w:rsidRDefault="001B4E25" w:rsidP="00EB5C27">
            <w:pPr>
              <w:pStyle w:val="TableNumbersRight"/>
              <w:rPr>
                <w:rFonts w:asciiTheme="minorHAnsi" w:hAnsiTheme="minorHAnsi" w:cstheme="minorHAnsi"/>
                <w:color w:val="000000"/>
                <w:sz w:val="18"/>
                <w:szCs w:val="18"/>
              </w:rPr>
            </w:pPr>
          </w:p>
        </w:tc>
        <w:tc>
          <w:tcPr>
            <w:tcW w:w="1044" w:type="dxa"/>
            <w:tcBorders>
              <w:top w:val="nil"/>
              <w:left w:val="nil"/>
              <w:right w:val="nil"/>
            </w:tcBorders>
          </w:tcPr>
          <w:p w:rsidR="001B4E25" w:rsidRPr="00156EB8" w:rsidRDefault="001B4E25" w:rsidP="00EB5C27">
            <w:pPr>
              <w:pStyle w:val="TableNumbersRight"/>
              <w:rPr>
                <w:rFonts w:asciiTheme="minorHAnsi" w:hAnsiTheme="minorHAnsi" w:cstheme="minorHAnsi"/>
                <w:color w:val="000000"/>
                <w:sz w:val="18"/>
                <w:szCs w:val="18"/>
                <w:highlight w:val="yellow"/>
              </w:rPr>
            </w:pPr>
          </w:p>
        </w:tc>
      </w:tr>
      <w:tr w:rsidR="001B4E25" w:rsidRPr="00156EB8" w:rsidTr="00EB5C27">
        <w:trPr>
          <w:trHeight w:val="240"/>
        </w:trPr>
        <w:tc>
          <w:tcPr>
            <w:tcW w:w="3092" w:type="dxa"/>
            <w:tcBorders>
              <w:top w:val="nil"/>
              <w:left w:val="nil"/>
              <w:bottom w:val="nil"/>
              <w:right w:val="nil"/>
            </w:tcBorders>
          </w:tcPr>
          <w:p w:rsidR="001B4E25" w:rsidRPr="00B558F4" w:rsidRDefault="001B4E25" w:rsidP="00EB5C27">
            <w:pPr>
              <w:pStyle w:val="TableTextLeft-BP4"/>
              <w:rPr>
                <w:rFonts w:asciiTheme="minorHAnsi" w:hAnsiTheme="minorHAnsi" w:cstheme="minorHAnsi"/>
              </w:rPr>
            </w:pPr>
            <w:r w:rsidRPr="00B558F4">
              <w:rPr>
                <w:rFonts w:asciiTheme="minorHAnsi" w:hAnsiTheme="minorHAnsi" w:cstheme="minorHAnsi"/>
              </w:rPr>
              <w:t xml:space="preserve">New Court </w:t>
            </w:r>
            <w:r>
              <w:rPr>
                <w:rFonts w:asciiTheme="minorHAnsi" w:hAnsiTheme="minorHAnsi" w:cstheme="minorHAnsi"/>
              </w:rPr>
              <w:t xml:space="preserve">Facilities </w:t>
            </w:r>
            <w:r w:rsidRPr="00B558F4">
              <w:rPr>
                <w:rFonts w:asciiTheme="minorHAnsi" w:hAnsiTheme="minorHAnsi" w:cstheme="minorHAnsi"/>
              </w:rPr>
              <w:t>(Design</w:t>
            </w:r>
            <w:r>
              <w:rPr>
                <w:rFonts w:asciiTheme="minorHAnsi" w:hAnsiTheme="minorHAnsi" w:cstheme="minorHAnsi"/>
              </w:rPr>
              <w:t xml:space="preserve"> and PPP Scoping</w:t>
            </w:r>
            <w:r w:rsidRPr="00B558F4">
              <w:rPr>
                <w:rFonts w:asciiTheme="minorHAnsi" w:hAnsiTheme="minorHAnsi" w:cstheme="minorHAnsi"/>
              </w:rPr>
              <w:t>)</w:t>
            </w:r>
            <w:r w:rsidRPr="000E5832">
              <w:rPr>
                <w:rFonts w:asciiTheme="minorHAnsi" w:hAnsiTheme="minorHAnsi" w:cstheme="minorHAnsi"/>
                <w:vertAlign w:val="superscript"/>
              </w:rPr>
              <w:t>1</w:t>
            </w:r>
          </w:p>
        </w:tc>
        <w:tc>
          <w:tcPr>
            <w:tcW w:w="1044" w:type="dxa"/>
            <w:tcBorders>
              <w:top w:val="nil"/>
              <w:left w:val="nil"/>
              <w:bottom w:val="nil"/>
              <w:right w:val="nil"/>
            </w:tcBorders>
          </w:tcPr>
          <w:p w:rsidR="001B4E25" w:rsidRPr="00B558F4" w:rsidRDefault="001B4E25" w:rsidP="00EB5C27">
            <w:pPr>
              <w:pStyle w:val="TableNumbersRight"/>
              <w:rPr>
                <w:rFonts w:asciiTheme="minorHAnsi" w:hAnsiTheme="minorHAnsi" w:cstheme="minorHAnsi"/>
                <w:color w:val="000000"/>
                <w:sz w:val="18"/>
                <w:szCs w:val="18"/>
              </w:rPr>
            </w:pPr>
            <w:r>
              <w:rPr>
                <w:rFonts w:asciiTheme="minorHAnsi" w:hAnsiTheme="minorHAnsi" w:cstheme="minorHAnsi"/>
                <w:color w:val="000000"/>
                <w:sz w:val="18"/>
                <w:szCs w:val="18"/>
              </w:rPr>
              <w:t>3,250</w:t>
            </w:r>
          </w:p>
        </w:tc>
        <w:tc>
          <w:tcPr>
            <w:tcW w:w="1044" w:type="dxa"/>
            <w:tcBorders>
              <w:top w:val="nil"/>
              <w:left w:val="nil"/>
              <w:bottom w:val="nil"/>
              <w:right w:val="nil"/>
            </w:tcBorders>
            <w:shd w:val="clear" w:color="auto" w:fill="auto"/>
          </w:tcPr>
          <w:p w:rsidR="001B4E25" w:rsidRPr="00B558F4" w:rsidRDefault="001B4E25" w:rsidP="00EB5C27">
            <w:pPr>
              <w:pStyle w:val="TableNumbersRight"/>
              <w:rPr>
                <w:rFonts w:asciiTheme="minorHAnsi" w:hAnsiTheme="minorHAnsi" w:cstheme="minorHAnsi"/>
                <w:color w:val="000000"/>
                <w:sz w:val="18"/>
                <w:szCs w:val="18"/>
              </w:rPr>
            </w:pPr>
            <w:r>
              <w:rPr>
                <w:rFonts w:asciiTheme="minorHAnsi" w:hAnsiTheme="minorHAnsi" w:cstheme="minorHAnsi"/>
                <w:color w:val="000000"/>
                <w:sz w:val="18"/>
                <w:szCs w:val="18"/>
              </w:rPr>
              <w:t>2,60</w:t>
            </w:r>
            <w:r w:rsidRPr="00B558F4">
              <w:rPr>
                <w:rFonts w:asciiTheme="minorHAnsi" w:hAnsiTheme="minorHAnsi" w:cstheme="minorHAnsi"/>
                <w:color w:val="000000"/>
                <w:sz w:val="18"/>
                <w:szCs w:val="18"/>
              </w:rPr>
              <w:t>0</w:t>
            </w:r>
          </w:p>
        </w:tc>
        <w:tc>
          <w:tcPr>
            <w:tcW w:w="1044" w:type="dxa"/>
            <w:tcBorders>
              <w:top w:val="nil"/>
              <w:left w:val="nil"/>
              <w:bottom w:val="nil"/>
              <w:right w:val="nil"/>
            </w:tcBorders>
            <w:shd w:val="clear" w:color="auto" w:fill="auto"/>
          </w:tcPr>
          <w:p w:rsidR="001B4E25" w:rsidRPr="00B558F4" w:rsidRDefault="001B4E25" w:rsidP="00EB5C27">
            <w:pPr>
              <w:pStyle w:val="TableNumbersRight"/>
              <w:rPr>
                <w:rFonts w:asciiTheme="minorHAnsi" w:hAnsiTheme="minorHAnsi" w:cstheme="minorHAnsi"/>
                <w:color w:val="000000"/>
                <w:sz w:val="18"/>
                <w:szCs w:val="18"/>
              </w:rPr>
            </w:pPr>
            <w:r>
              <w:rPr>
                <w:rFonts w:asciiTheme="minorHAnsi" w:hAnsiTheme="minorHAnsi" w:cstheme="minorHAnsi"/>
                <w:color w:val="000000"/>
                <w:sz w:val="18"/>
                <w:szCs w:val="18"/>
              </w:rPr>
              <w:t>650</w:t>
            </w:r>
          </w:p>
        </w:tc>
        <w:tc>
          <w:tcPr>
            <w:tcW w:w="1044" w:type="dxa"/>
            <w:tcBorders>
              <w:top w:val="nil"/>
              <w:left w:val="nil"/>
              <w:bottom w:val="nil"/>
              <w:right w:val="nil"/>
            </w:tcBorders>
          </w:tcPr>
          <w:p w:rsidR="001B4E25" w:rsidRPr="00B558F4" w:rsidRDefault="001B4E25" w:rsidP="00EB5C27">
            <w:pPr>
              <w:pStyle w:val="TableNumbersRight"/>
              <w:rPr>
                <w:rFonts w:asciiTheme="minorHAnsi" w:hAnsiTheme="minorHAnsi" w:cstheme="minorHAnsi"/>
                <w:color w:val="000000"/>
                <w:sz w:val="18"/>
                <w:szCs w:val="18"/>
              </w:rPr>
            </w:pPr>
            <w:r w:rsidRPr="00B558F4">
              <w:rPr>
                <w:rFonts w:asciiTheme="minorHAnsi" w:hAnsiTheme="minorHAnsi" w:cstheme="minorHAnsi"/>
                <w:color w:val="000000"/>
                <w:sz w:val="18"/>
                <w:szCs w:val="18"/>
              </w:rPr>
              <w:t>- </w:t>
            </w:r>
          </w:p>
        </w:tc>
        <w:tc>
          <w:tcPr>
            <w:tcW w:w="1044" w:type="dxa"/>
            <w:tcBorders>
              <w:top w:val="nil"/>
              <w:left w:val="nil"/>
              <w:bottom w:val="nil"/>
              <w:right w:val="nil"/>
            </w:tcBorders>
          </w:tcPr>
          <w:p w:rsidR="001B4E25" w:rsidRPr="00B558F4" w:rsidRDefault="001B4E25" w:rsidP="00EB5C27">
            <w:pPr>
              <w:pStyle w:val="TableNumbersRight"/>
              <w:rPr>
                <w:rFonts w:asciiTheme="minorHAnsi" w:hAnsiTheme="minorHAnsi" w:cstheme="minorHAnsi"/>
                <w:color w:val="000000"/>
                <w:sz w:val="18"/>
                <w:szCs w:val="18"/>
              </w:rPr>
            </w:pPr>
            <w:r w:rsidRPr="00B558F4">
              <w:rPr>
                <w:rFonts w:asciiTheme="minorHAnsi" w:hAnsiTheme="minorHAnsi" w:cstheme="minorHAnsi"/>
                <w:color w:val="000000"/>
                <w:sz w:val="18"/>
                <w:szCs w:val="18"/>
              </w:rPr>
              <w:t>- </w:t>
            </w:r>
          </w:p>
        </w:tc>
        <w:tc>
          <w:tcPr>
            <w:tcW w:w="1044" w:type="dxa"/>
            <w:tcBorders>
              <w:top w:val="nil"/>
              <w:left w:val="nil"/>
              <w:bottom w:val="nil"/>
              <w:right w:val="nil"/>
            </w:tcBorders>
            <w:shd w:val="clear" w:color="auto" w:fill="auto"/>
          </w:tcPr>
          <w:p w:rsidR="001B4E25" w:rsidRPr="00FD606C" w:rsidRDefault="001B4E25" w:rsidP="00EB5C27">
            <w:pPr>
              <w:pStyle w:val="TableNumbersRight"/>
              <w:rPr>
                <w:rFonts w:asciiTheme="minorHAnsi" w:hAnsiTheme="minorHAnsi" w:cstheme="minorHAnsi"/>
                <w:sz w:val="18"/>
                <w:szCs w:val="18"/>
              </w:rPr>
            </w:pPr>
            <w:r w:rsidRPr="00FD606C">
              <w:rPr>
                <w:rFonts w:asciiTheme="minorHAnsi" w:hAnsiTheme="minorHAnsi" w:cstheme="minorHAnsi"/>
                <w:sz w:val="18"/>
                <w:szCs w:val="18"/>
              </w:rPr>
              <w:t>Jun 2014</w:t>
            </w:r>
          </w:p>
        </w:tc>
      </w:tr>
      <w:tr w:rsidR="001B4E25" w:rsidRPr="00FD606C" w:rsidTr="00EB5C27">
        <w:tblPrEx>
          <w:tblCellMar>
            <w:left w:w="0" w:type="dxa"/>
            <w:right w:w="0" w:type="dxa"/>
          </w:tblCellMar>
        </w:tblPrEx>
        <w:trPr>
          <w:trHeight w:val="240"/>
        </w:trPr>
        <w:tc>
          <w:tcPr>
            <w:tcW w:w="3092" w:type="dxa"/>
            <w:tcBorders>
              <w:top w:val="nil"/>
              <w:left w:val="nil"/>
              <w:bottom w:val="nil"/>
              <w:right w:val="nil"/>
            </w:tcBorders>
          </w:tcPr>
          <w:p w:rsidR="001B4E25" w:rsidRPr="00FD606C" w:rsidRDefault="001B4E25" w:rsidP="00EB5C27">
            <w:pPr>
              <w:pStyle w:val="TableHeadingLeft-BP4"/>
              <w:rPr>
                <w:rFonts w:asciiTheme="minorHAnsi" w:hAnsiTheme="minorHAnsi" w:cstheme="minorHAnsi"/>
                <w:b w:val="0"/>
                <w:szCs w:val="18"/>
              </w:rPr>
            </w:pPr>
            <w:r w:rsidRPr="00FD606C">
              <w:rPr>
                <w:rFonts w:asciiTheme="minorHAnsi" w:hAnsiTheme="minorHAnsi" w:cstheme="minorHAnsi"/>
                <w:b w:val="0"/>
                <w:szCs w:val="18"/>
              </w:rPr>
              <w:t xml:space="preserve">Alexander </w:t>
            </w:r>
            <w:proofErr w:type="spellStart"/>
            <w:r w:rsidRPr="00FD606C">
              <w:rPr>
                <w:rFonts w:asciiTheme="minorHAnsi" w:hAnsiTheme="minorHAnsi" w:cstheme="minorHAnsi"/>
                <w:b w:val="0"/>
                <w:szCs w:val="18"/>
              </w:rPr>
              <w:t>Maconochie</w:t>
            </w:r>
            <w:proofErr w:type="spellEnd"/>
            <w:r w:rsidRPr="00FD606C">
              <w:rPr>
                <w:rFonts w:asciiTheme="minorHAnsi" w:hAnsiTheme="minorHAnsi" w:cstheme="minorHAnsi"/>
                <w:b w:val="0"/>
                <w:szCs w:val="18"/>
              </w:rPr>
              <w:t xml:space="preserve"> Centre</w:t>
            </w:r>
            <w:r>
              <w:rPr>
                <w:rFonts w:asciiTheme="minorHAnsi" w:hAnsiTheme="minorHAnsi" w:cstheme="minorHAnsi"/>
                <w:b w:val="0"/>
                <w:szCs w:val="18"/>
                <w:vertAlign w:val="superscript"/>
              </w:rPr>
              <w:t>2</w:t>
            </w:r>
          </w:p>
        </w:tc>
        <w:tc>
          <w:tcPr>
            <w:tcW w:w="1044" w:type="dxa"/>
            <w:tcBorders>
              <w:top w:val="nil"/>
              <w:left w:val="nil"/>
              <w:bottom w:val="nil"/>
              <w:right w:val="nil"/>
            </w:tcBorders>
            <w:shd w:val="clear" w:color="auto" w:fill="auto"/>
          </w:tcPr>
          <w:p w:rsidR="001B4E25" w:rsidRPr="00FD606C" w:rsidRDefault="001B4E25" w:rsidP="00EB5C27">
            <w:pPr>
              <w:jc w:val="right"/>
              <w:rPr>
                <w:rFonts w:asciiTheme="minorHAnsi" w:hAnsiTheme="minorHAnsi" w:cstheme="minorHAnsi"/>
                <w:color w:val="000000"/>
                <w:sz w:val="18"/>
                <w:szCs w:val="18"/>
              </w:rPr>
            </w:pPr>
            <w:r w:rsidRPr="00FD606C">
              <w:rPr>
                <w:rFonts w:asciiTheme="minorHAnsi" w:hAnsiTheme="minorHAnsi" w:cstheme="minorHAnsi"/>
                <w:color w:val="000000"/>
                <w:sz w:val="18"/>
                <w:szCs w:val="18"/>
              </w:rPr>
              <w:t>131,300</w:t>
            </w:r>
          </w:p>
        </w:tc>
        <w:tc>
          <w:tcPr>
            <w:tcW w:w="1044" w:type="dxa"/>
            <w:tcBorders>
              <w:top w:val="nil"/>
              <w:left w:val="nil"/>
              <w:bottom w:val="nil"/>
              <w:right w:val="nil"/>
            </w:tcBorders>
            <w:shd w:val="clear" w:color="auto" w:fill="auto"/>
            <w:tcMar>
              <w:left w:w="17" w:type="dxa"/>
              <w:right w:w="17" w:type="dxa"/>
            </w:tcMar>
          </w:tcPr>
          <w:p w:rsidR="001B4E25" w:rsidRPr="00FD606C" w:rsidRDefault="001B4E25" w:rsidP="00EB5C27">
            <w:pPr>
              <w:jc w:val="right"/>
              <w:rPr>
                <w:rFonts w:asciiTheme="minorHAnsi" w:hAnsiTheme="minorHAnsi" w:cstheme="minorHAnsi"/>
                <w:color w:val="000000"/>
                <w:sz w:val="18"/>
                <w:szCs w:val="18"/>
              </w:rPr>
            </w:pPr>
            <w:r w:rsidRPr="00FD606C">
              <w:rPr>
                <w:rFonts w:asciiTheme="minorHAnsi" w:hAnsiTheme="minorHAnsi" w:cstheme="minorHAnsi"/>
                <w:color w:val="000000"/>
                <w:sz w:val="18"/>
                <w:szCs w:val="18"/>
              </w:rPr>
              <w:t>128,719</w:t>
            </w:r>
          </w:p>
        </w:tc>
        <w:tc>
          <w:tcPr>
            <w:tcW w:w="1044" w:type="dxa"/>
            <w:tcBorders>
              <w:top w:val="nil"/>
              <w:left w:val="nil"/>
              <w:bottom w:val="nil"/>
              <w:right w:val="nil"/>
            </w:tcBorders>
            <w:shd w:val="clear" w:color="auto" w:fill="auto"/>
            <w:tcMar>
              <w:top w:w="17" w:type="dxa"/>
              <w:left w:w="17" w:type="dxa"/>
              <w:right w:w="17" w:type="dxa"/>
            </w:tcMar>
          </w:tcPr>
          <w:p w:rsidR="001B4E25" w:rsidRPr="00FD606C" w:rsidRDefault="001B4E25" w:rsidP="00EB5C27">
            <w:pPr>
              <w:jc w:val="right"/>
              <w:rPr>
                <w:rFonts w:asciiTheme="minorHAnsi" w:hAnsiTheme="minorHAnsi" w:cstheme="minorHAnsi"/>
                <w:color w:val="000000"/>
                <w:sz w:val="18"/>
                <w:szCs w:val="18"/>
              </w:rPr>
            </w:pPr>
            <w:r w:rsidRPr="00FD606C">
              <w:rPr>
                <w:rFonts w:asciiTheme="minorHAnsi" w:hAnsiTheme="minorHAnsi" w:cstheme="minorHAnsi"/>
                <w:color w:val="000000"/>
                <w:sz w:val="18"/>
                <w:szCs w:val="18"/>
              </w:rPr>
              <w:t>2,581</w:t>
            </w:r>
          </w:p>
        </w:tc>
        <w:tc>
          <w:tcPr>
            <w:tcW w:w="1044" w:type="dxa"/>
            <w:tcBorders>
              <w:top w:val="nil"/>
              <w:left w:val="nil"/>
              <w:bottom w:val="nil"/>
              <w:right w:val="nil"/>
            </w:tcBorders>
            <w:shd w:val="clear" w:color="auto" w:fill="auto"/>
            <w:tcMar>
              <w:left w:w="17" w:type="dxa"/>
              <w:right w:w="17" w:type="dxa"/>
            </w:tcMar>
          </w:tcPr>
          <w:p w:rsidR="001B4E25" w:rsidRPr="00FD606C" w:rsidRDefault="001B4E25" w:rsidP="00EB5C27">
            <w:pPr>
              <w:pStyle w:val="TableNumbersRight"/>
              <w:rPr>
                <w:rFonts w:asciiTheme="minorHAnsi" w:hAnsiTheme="minorHAnsi" w:cstheme="minorHAnsi"/>
                <w:bCs/>
                <w:sz w:val="18"/>
                <w:szCs w:val="18"/>
              </w:rPr>
            </w:pPr>
          </w:p>
        </w:tc>
        <w:tc>
          <w:tcPr>
            <w:tcW w:w="1044" w:type="dxa"/>
            <w:tcBorders>
              <w:top w:val="nil"/>
              <w:left w:val="nil"/>
              <w:bottom w:val="nil"/>
              <w:right w:val="nil"/>
            </w:tcBorders>
            <w:tcMar>
              <w:top w:w="17" w:type="dxa"/>
              <w:left w:w="17" w:type="dxa"/>
              <w:right w:w="17" w:type="dxa"/>
            </w:tcMar>
          </w:tcPr>
          <w:p w:rsidR="001B4E25" w:rsidRPr="00FD606C" w:rsidRDefault="001B4E25" w:rsidP="00EB5C27">
            <w:pPr>
              <w:pStyle w:val="TableNumbersRight"/>
              <w:rPr>
                <w:rFonts w:asciiTheme="minorHAnsi" w:hAnsiTheme="minorHAnsi" w:cstheme="minorHAnsi"/>
                <w:bCs/>
                <w:sz w:val="18"/>
                <w:szCs w:val="18"/>
              </w:rPr>
            </w:pPr>
          </w:p>
        </w:tc>
        <w:tc>
          <w:tcPr>
            <w:tcW w:w="1044" w:type="dxa"/>
            <w:tcBorders>
              <w:top w:val="nil"/>
              <w:left w:val="nil"/>
              <w:bottom w:val="nil"/>
              <w:right w:val="nil"/>
            </w:tcBorders>
            <w:tcMar>
              <w:left w:w="17" w:type="dxa"/>
              <w:right w:w="17" w:type="dxa"/>
            </w:tcMar>
          </w:tcPr>
          <w:p w:rsidR="001B4E25" w:rsidRPr="00FD606C" w:rsidRDefault="001B4E25" w:rsidP="00EB5C27">
            <w:pPr>
              <w:pStyle w:val="TableNumbersRight"/>
              <w:rPr>
                <w:rFonts w:asciiTheme="minorHAnsi" w:hAnsiTheme="minorHAnsi" w:cstheme="minorHAnsi"/>
                <w:bCs/>
                <w:sz w:val="18"/>
                <w:szCs w:val="18"/>
              </w:rPr>
            </w:pPr>
            <w:r w:rsidRPr="00FD606C">
              <w:rPr>
                <w:rFonts w:asciiTheme="minorHAnsi" w:hAnsiTheme="minorHAnsi" w:cstheme="minorHAnsi"/>
                <w:bCs/>
                <w:sz w:val="18"/>
                <w:szCs w:val="18"/>
              </w:rPr>
              <w:t>Jun 2009</w:t>
            </w:r>
          </w:p>
        </w:tc>
      </w:tr>
      <w:tr w:rsidR="001B4E25" w:rsidRPr="00075EB9" w:rsidTr="00EB5C27">
        <w:trPr>
          <w:trHeight w:val="240"/>
        </w:trPr>
        <w:tc>
          <w:tcPr>
            <w:tcW w:w="3092" w:type="dxa"/>
            <w:tcBorders>
              <w:top w:val="nil"/>
              <w:left w:val="nil"/>
              <w:bottom w:val="nil"/>
              <w:right w:val="nil"/>
            </w:tcBorders>
          </w:tcPr>
          <w:p w:rsidR="001B4E25" w:rsidRPr="00854F1A" w:rsidRDefault="001B4E25" w:rsidP="00EB5C27">
            <w:pPr>
              <w:pStyle w:val="TableTextLeft-BP4"/>
              <w:rPr>
                <w:rFonts w:asciiTheme="minorHAnsi" w:hAnsiTheme="minorHAnsi" w:cstheme="minorHAnsi"/>
              </w:rPr>
            </w:pPr>
            <w:r w:rsidRPr="00854F1A">
              <w:rPr>
                <w:rFonts w:asciiTheme="minorHAnsi" w:hAnsiTheme="minorHAnsi" w:cstheme="minorHAnsi"/>
              </w:rPr>
              <w:t>ESA Station Upgrade and Relocation – Charnwood Station</w:t>
            </w:r>
          </w:p>
        </w:tc>
        <w:tc>
          <w:tcPr>
            <w:tcW w:w="1044" w:type="dxa"/>
            <w:tcBorders>
              <w:top w:val="nil"/>
              <w:left w:val="nil"/>
              <w:bottom w:val="nil"/>
              <w:right w:val="nil"/>
            </w:tcBorders>
          </w:tcPr>
          <w:p w:rsidR="001B4E25" w:rsidRPr="00854F1A" w:rsidRDefault="001B4E25" w:rsidP="00EB5C27">
            <w:pPr>
              <w:pStyle w:val="TableNumbersRight"/>
              <w:rPr>
                <w:rFonts w:asciiTheme="minorHAnsi" w:hAnsiTheme="minorHAnsi" w:cstheme="minorHAnsi"/>
                <w:bCs/>
                <w:sz w:val="18"/>
                <w:szCs w:val="18"/>
              </w:rPr>
            </w:pPr>
            <w:r w:rsidRPr="00854F1A">
              <w:rPr>
                <w:rFonts w:asciiTheme="minorHAnsi" w:hAnsiTheme="minorHAnsi" w:cstheme="minorHAnsi"/>
                <w:bCs/>
                <w:sz w:val="18"/>
                <w:szCs w:val="18"/>
              </w:rPr>
              <w:t>21,318</w:t>
            </w:r>
          </w:p>
        </w:tc>
        <w:tc>
          <w:tcPr>
            <w:tcW w:w="1044" w:type="dxa"/>
            <w:tcBorders>
              <w:top w:val="nil"/>
              <w:left w:val="nil"/>
              <w:bottom w:val="nil"/>
              <w:right w:val="nil"/>
            </w:tcBorders>
          </w:tcPr>
          <w:p w:rsidR="001B4E25" w:rsidRPr="00854F1A" w:rsidRDefault="001B4E25" w:rsidP="00EB5C27">
            <w:pPr>
              <w:pStyle w:val="TableNumbersRight"/>
              <w:rPr>
                <w:rFonts w:asciiTheme="minorHAnsi" w:hAnsiTheme="minorHAnsi" w:cstheme="minorHAnsi"/>
                <w:sz w:val="18"/>
                <w:szCs w:val="18"/>
              </w:rPr>
            </w:pPr>
            <w:r w:rsidRPr="00854F1A">
              <w:rPr>
                <w:rFonts w:asciiTheme="minorHAnsi" w:hAnsiTheme="minorHAnsi" w:cstheme="minorHAnsi"/>
                <w:sz w:val="18"/>
                <w:szCs w:val="18"/>
              </w:rPr>
              <w:t>9,950</w:t>
            </w:r>
          </w:p>
        </w:tc>
        <w:tc>
          <w:tcPr>
            <w:tcW w:w="1044" w:type="dxa"/>
            <w:tcBorders>
              <w:top w:val="nil"/>
              <w:left w:val="nil"/>
              <w:bottom w:val="nil"/>
              <w:right w:val="nil"/>
            </w:tcBorders>
          </w:tcPr>
          <w:p w:rsidR="001B4E25" w:rsidRPr="00854F1A" w:rsidRDefault="001B4E25" w:rsidP="00EB5C27">
            <w:pPr>
              <w:pStyle w:val="TableNumbersRight"/>
              <w:rPr>
                <w:rFonts w:asciiTheme="minorHAnsi" w:hAnsiTheme="minorHAnsi" w:cstheme="minorHAnsi"/>
                <w:sz w:val="18"/>
                <w:szCs w:val="18"/>
              </w:rPr>
            </w:pPr>
            <w:r w:rsidRPr="00854F1A">
              <w:rPr>
                <w:rFonts w:asciiTheme="minorHAnsi" w:hAnsiTheme="minorHAnsi" w:cstheme="minorHAnsi"/>
                <w:sz w:val="18"/>
                <w:szCs w:val="18"/>
              </w:rPr>
              <w:t>11,269</w:t>
            </w:r>
          </w:p>
        </w:tc>
        <w:tc>
          <w:tcPr>
            <w:tcW w:w="1044" w:type="dxa"/>
            <w:tcBorders>
              <w:top w:val="nil"/>
              <w:left w:val="nil"/>
              <w:bottom w:val="nil"/>
              <w:right w:val="nil"/>
            </w:tcBorders>
          </w:tcPr>
          <w:p w:rsidR="001B4E25" w:rsidRPr="00854F1A" w:rsidRDefault="001B4E25" w:rsidP="00EB5C27">
            <w:pPr>
              <w:pStyle w:val="TableNumbersRight"/>
              <w:rPr>
                <w:rFonts w:asciiTheme="minorHAnsi" w:hAnsiTheme="minorHAnsi" w:cstheme="minorHAnsi"/>
                <w:sz w:val="18"/>
                <w:szCs w:val="18"/>
              </w:rPr>
            </w:pPr>
            <w:r w:rsidRPr="00854F1A">
              <w:rPr>
                <w:rFonts w:asciiTheme="minorHAnsi" w:hAnsiTheme="minorHAnsi" w:cstheme="minorHAnsi"/>
                <w:sz w:val="18"/>
                <w:szCs w:val="18"/>
              </w:rPr>
              <w:t>99</w:t>
            </w:r>
          </w:p>
        </w:tc>
        <w:tc>
          <w:tcPr>
            <w:tcW w:w="1044" w:type="dxa"/>
            <w:tcBorders>
              <w:top w:val="nil"/>
              <w:left w:val="nil"/>
              <w:bottom w:val="nil"/>
              <w:right w:val="nil"/>
            </w:tcBorders>
          </w:tcPr>
          <w:p w:rsidR="001B4E25" w:rsidRPr="00854F1A" w:rsidRDefault="001B4E25" w:rsidP="00EB5C27">
            <w:pPr>
              <w:pStyle w:val="TableNumbersRight"/>
              <w:rPr>
                <w:rFonts w:asciiTheme="minorHAnsi" w:hAnsiTheme="minorHAnsi" w:cstheme="minorHAnsi"/>
                <w:sz w:val="18"/>
                <w:szCs w:val="18"/>
              </w:rPr>
            </w:pPr>
            <w:r w:rsidRPr="00854F1A">
              <w:rPr>
                <w:rFonts w:asciiTheme="minorHAnsi" w:hAnsiTheme="minorHAnsi" w:cstheme="minorHAnsi"/>
                <w:sz w:val="18"/>
                <w:szCs w:val="18"/>
              </w:rPr>
              <w:t>- </w:t>
            </w:r>
          </w:p>
        </w:tc>
        <w:tc>
          <w:tcPr>
            <w:tcW w:w="1044" w:type="dxa"/>
            <w:tcBorders>
              <w:top w:val="nil"/>
              <w:left w:val="nil"/>
              <w:bottom w:val="nil"/>
              <w:right w:val="nil"/>
            </w:tcBorders>
          </w:tcPr>
          <w:p w:rsidR="001B4E25" w:rsidRPr="00854F1A" w:rsidRDefault="001B4E25" w:rsidP="00EB5C27">
            <w:pPr>
              <w:pStyle w:val="TableNumbersRight"/>
              <w:rPr>
                <w:rFonts w:asciiTheme="minorHAnsi" w:hAnsiTheme="minorHAnsi" w:cstheme="minorHAnsi"/>
                <w:sz w:val="18"/>
                <w:szCs w:val="18"/>
              </w:rPr>
            </w:pPr>
            <w:r w:rsidRPr="00854F1A">
              <w:rPr>
                <w:rFonts w:asciiTheme="minorHAnsi" w:hAnsiTheme="minorHAnsi" w:cstheme="minorHAnsi"/>
                <w:sz w:val="18"/>
                <w:szCs w:val="18"/>
              </w:rPr>
              <w:t>Dec 201</w:t>
            </w:r>
            <w:r>
              <w:rPr>
                <w:rFonts w:asciiTheme="minorHAnsi" w:hAnsiTheme="minorHAnsi" w:cstheme="minorHAnsi"/>
                <w:sz w:val="18"/>
                <w:szCs w:val="18"/>
              </w:rPr>
              <w:t>3</w:t>
            </w:r>
          </w:p>
        </w:tc>
      </w:tr>
      <w:tr w:rsidR="001B4E25" w:rsidRPr="00FD606C" w:rsidTr="00EB5C27">
        <w:trPr>
          <w:trHeight w:val="240"/>
        </w:trPr>
        <w:tc>
          <w:tcPr>
            <w:tcW w:w="3092" w:type="dxa"/>
            <w:tcBorders>
              <w:top w:val="nil"/>
              <w:left w:val="nil"/>
              <w:bottom w:val="nil"/>
              <w:right w:val="nil"/>
            </w:tcBorders>
          </w:tcPr>
          <w:p w:rsidR="001B4E25" w:rsidRPr="00FD606C" w:rsidRDefault="001B4E25" w:rsidP="00EB5C27">
            <w:pPr>
              <w:pStyle w:val="TableTextLeft-BP4"/>
              <w:rPr>
                <w:rFonts w:asciiTheme="minorHAnsi" w:hAnsiTheme="minorHAnsi" w:cstheme="minorHAnsi"/>
              </w:rPr>
            </w:pPr>
            <w:r w:rsidRPr="00FD606C">
              <w:rPr>
                <w:rFonts w:asciiTheme="minorHAnsi" w:hAnsiTheme="minorHAnsi" w:cstheme="minorHAnsi"/>
              </w:rPr>
              <w:t>AMC – Crisis Support Unit Upgrade</w:t>
            </w:r>
          </w:p>
        </w:tc>
        <w:tc>
          <w:tcPr>
            <w:tcW w:w="1044" w:type="dxa"/>
            <w:tcBorders>
              <w:top w:val="nil"/>
              <w:left w:val="nil"/>
              <w:bottom w:val="nil"/>
              <w:right w:val="nil"/>
            </w:tcBorders>
          </w:tcPr>
          <w:p w:rsidR="001B4E25" w:rsidRPr="00FD606C" w:rsidRDefault="001B4E25" w:rsidP="00EB5C27">
            <w:pPr>
              <w:pStyle w:val="TableNumbersRight"/>
              <w:rPr>
                <w:rFonts w:asciiTheme="minorHAnsi" w:hAnsiTheme="minorHAnsi" w:cstheme="minorHAnsi"/>
                <w:bCs/>
                <w:sz w:val="18"/>
                <w:szCs w:val="18"/>
              </w:rPr>
            </w:pPr>
            <w:r w:rsidRPr="00FD606C">
              <w:rPr>
                <w:rFonts w:asciiTheme="minorHAnsi" w:hAnsiTheme="minorHAnsi" w:cstheme="minorHAnsi"/>
                <w:bCs/>
                <w:sz w:val="18"/>
                <w:szCs w:val="18"/>
              </w:rPr>
              <w:t>588</w:t>
            </w:r>
          </w:p>
        </w:tc>
        <w:tc>
          <w:tcPr>
            <w:tcW w:w="1044" w:type="dxa"/>
            <w:tcBorders>
              <w:top w:val="nil"/>
              <w:left w:val="nil"/>
              <w:bottom w:val="nil"/>
              <w:right w:val="nil"/>
            </w:tcBorders>
          </w:tcPr>
          <w:p w:rsidR="001B4E25" w:rsidRPr="00FD606C" w:rsidRDefault="001B4E25" w:rsidP="00EB5C27">
            <w:pPr>
              <w:pStyle w:val="TableNumbersRight"/>
              <w:rPr>
                <w:rFonts w:asciiTheme="minorHAnsi" w:hAnsiTheme="minorHAnsi" w:cstheme="minorHAnsi"/>
                <w:sz w:val="18"/>
                <w:szCs w:val="18"/>
              </w:rPr>
            </w:pPr>
            <w:r w:rsidRPr="00FD606C">
              <w:rPr>
                <w:rFonts w:asciiTheme="minorHAnsi" w:hAnsiTheme="minorHAnsi" w:cstheme="minorHAnsi"/>
                <w:sz w:val="18"/>
                <w:szCs w:val="18"/>
              </w:rPr>
              <w:t>188</w:t>
            </w:r>
          </w:p>
        </w:tc>
        <w:tc>
          <w:tcPr>
            <w:tcW w:w="1044" w:type="dxa"/>
            <w:tcBorders>
              <w:top w:val="nil"/>
              <w:left w:val="nil"/>
              <w:bottom w:val="nil"/>
              <w:right w:val="nil"/>
            </w:tcBorders>
          </w:tcPr>
          <w:p w:rsidR="001B4E25" w:rsidRPr="00FD606C" w:rsidRDefault="001B4E25" w:rsidP="00EB5C27">
            <w:pPr>
              <w:pStyle w:val="TableNumbersRight"/>
              <w:rPr>
                <w:rFonts w:asciiTheme="minorHAnsi" w:hAnsiTheme="minorHAnsi" w:cstheme="minorHAnsi"/>
                <w:sz w:val="18"/>
                <w:szCs w:val="18"/>
              </w:rPr>
            </w:pPr>
            <w:r w:rsidRPr="00FD606C">
              <w:rPr>
                <w:rFonts w:asciiTheme="minorHAnsi" w:hAnsiTheme="minorHAnsi" w:cstheme="minorHAnsi"/>
                <w:sz w:val="18"/>
                <w:szCs w:val="18"/>
              </w:rPr>
              <w:t>400</w:t>
            </w:r>
          </w:p>
        </w:tc>
        <w:tc>
          <w:tcPr>
            <w:tcW w:w="1044" w:type="dxa"/>
            <w:tcBorders>
              <w:top w:val="nil"/>
              <w:left w:val="nil"/>
              <w:bottom w:val="nil"/>
              <w:right w:val="nil"/>
            </w:tcBorders>
          </w:tcPr>
          <w:p w:rsidR="001B4E25" w:rsidRPr="00FD606C" w:rsidRDefault="001B4E25" w:rsidP="00EB5C27">
            <w:pPr>
              <w:pStyle w:val="TableNumbersRight"/>
              <w:rPr>
                <w:rFonts w:asciiTheme="minorHAnsi" w:hAnsiTheme="minorHAnsi" w:cstheme="minorHAnsi"/>
                <w:sz w:val="18"/>
                <w:szCs w:val="18"/>
              </w:rPr>
            </w:pPr>
            <w:r w:rsidRPr="00FD606C">
              <w:rPr>
                <w:rFonts w:asciiTheme="minorHAnsi" w:hAnsiTheme="minorHAnsi" w:cstheme="minorHAnsi"/>
                <w:sz w:val="18"/>
                <w:szCs w:val="18"/>
              </w:rPr>
              <w:t>- </w:t>
            </w:r>
          </w:p>
        </w:tc>
        <w:tc>
          <w:tcPr>
            <w:tcW w:w="1044" w:type="dxa"/>
            <w:tcBorders>
              <w:top w:val="nil"/>
              <w:left w:val="nil"/>
              <w:bottom w:val="nil"/>
              <w:right w:val="nil"/>
            </w:tcBorders>
          </w:tcPr>
          <w:p w:rsidR="001B4E25" w:rsidRPr="00FD606C" w:rsidRDefault="001B4E25" w:rsidP="00EB5C27">
            <w:pPr>
              <w:pStyle w:val="TableNumbersRight"/>
              <w:rPr>
                <w:rFonts w:asciiTheme="minorHAnsi" w:hAnsiTheme="minorHAnsi" w:cstheme="minorHAnsi"/>
                <w:sz w:val="18"/>
                <w:szCs w:val="18"/>
              </w:rPr>
            </w:pPr>
            <w:r w:rsidRPr="00FD606C">
              <w:rPr>
                <w:rFonts w:asciiTheme="minorHAnsi" w:hAnsiTheme="minorHAnsi" w:cstheme="minorHAnsi"/>
                <w:sz w:val="18"/>
                <w:szCs w:val="18"/>
              </w:rPr>
              <w:t>- </w:t>
            </w:r>
          </w:p>
        </w:tc>
        <w:tc>
          <w:tcPr>
            <w:tcW w:w="1044" w:type="dxa"/>
            <w:tcBorders>
              <w:top w:val="nil"/>
              <w:left w:val="nil"/>
              <w:bottom w:val="nil"/>
              <w:right w:val="nil"/>
            </w:tcBorders>
          </w:tcPr>
          <w:p w:rsidR="001B4E25" w:rsidRPr="00FD606C" w:rsidRDefault="001B4E25" w:rsidP="00EB5C27">
            <w:pPr>
              <w:pStyle w:val="TableNumbersRight"/>
              <w:rPr>
                <w:rFonts w:asciiTheme="minorHAnsi" w:hAnsiTheme="minorHAnsi" w:cstheme="minorHAnsi"/>
                <w:color w:val="000000"/>
                <w:sz w:val="18"/>
                <w:szCs w:val="18"/>
              </w:rPr>
            </w:pPr>
            <w:r w:rsidRPr="00FD606C">
              <w:rPr>
                <w:rFonts w:asciiTheme="minorHAnsi" w:hAnsiTheme="minorHAnsi" w:cstheme="minorHAnsi"/>
                <w:color w:val="000000"/>
                <w:sz w:val="18"/>
                <w:szCs w:val="18"/>
              </w:rPr>
              <w:t>Dec 2013</w:t>
            </w:r>
          </w:p>
        </w:tc>
      </w:tr>
      <w:tr w:rsidR="001B4E25" w:rsidRPr="00FD606C" w:rsidTr="00EB5C27">
        <w:trPr>
          <w:trHeight w:val="240"/>
        </w:trPr>
        <w:tc>
          <w:tcPr>
            <w:tcW w:w="3092" w:type="dxa"/>
            <w:tcBorders>
              <w:top w:val="nil"/>
              <w:left w:val="nil"/>
              <w:bottom w:val="nil"/>
              <w:right w:val="nil"/>
            </w:tcBorders>
          </w:tcPr>
          <w:p w:rsidR="001B4E25" w:rsidRPr="00FD606C" w:rsidRDefault="001B4E25" w:rsidP="00EB5C27">
            <w:pPr>
              <w:pStyle w:val="TableTextLeft-BP4"/>
              <w:rPr>
                <w:rFonts w:asciiTheme="minorHAnsi" w:hAnsiTheme="minorHAnsi" w:cstheme="minorHAnsi"/>
              </w:rPr>
            </w:pPr>
            <w:r w:rsidRPr="00FD606C">
              <w:rPr>
                <w:rFonts w:asciiTheme="minorHAnsi" w:hAnsiTheme="minorHAnsi" w:cstheme="minorHAnsi"/>
              </w:rPr>
              <w:t xml:space="preserve">ESA – Station Relocation and Upgrade – Phase 2 Due Diligence </w:t>
            </w:r>
          </w:p>
        </w:tc>
        <w:tc>
          <w:tcPr>
            <w:tcW w:w="1044" w:type="dxa"/>
            <w:tcBorders>
              <w:top w:val="nil"/>
              <w:left w:val="nil"/>
              <w:bottom w:val="nil"/>
              <w:right w:val="nil"/>
            </w:tcBorders>
          </w:tcPr>
          <w:p w:rsidR="001B4E25" w:rsidRPr="00FD606C" w:rsidRDefault="001B4E25" w:rsidP="00EB5C27">
            <w:pPr>
              <w:pStyle w:val="TableNumbersRight"/>
              <w:rPr>
                <w:rFonts w:asciiTheme="minorHAnsi" w:hAnsiTheme="minorHAnsi" w:cstheme="minorHAnsi"/>
                <w:bCs/>
                <w:sz w:val="18"/>
                <w:szCs w:val="18"/>
              </w:rPr>
            </w:pPr>
            <w:r w:rsidRPr="00FD606C">
              <w:rPr>
                <w:rFonts w:asciiTheme="minorHAnsi" w:hAnsiTheme="minorHAnsi" w:cstheme="minorHAnsi"/>
                <w:bCs/>
                <w:sz w:val="18"/>
                <w:szCs w:val="18"/>
              </w:rPr>
              <w:t>1,650</w:t>
            </w:r>
          </w:p>
        </w:tc>
        <w:tc>
          <w:tcPr>
            <w:tcW w:w="1044" w:type="dxa"/>
            <w:tcBorders>
              <w:top w:val="nil"/>
              <w:left w:val="nil"/>
              <w:bottom w:val="nil"/>
              <w:right w:val="nil"/>
            </w:tcBorders>
          </w:tcPr>
          <w:p w:rsidR="001B4E25" w:rsidRPr="00FD606C" w:rsidRDefault="001B4E25" w:rsidP="00EB5C27">
            <w:pPr>
              <w:pStyle w:val="TableNumbersRight"/>
              <w:rPr>
                <w:rFonts w:asciiTheme="minorHAnsi" w:hAnsiTheme="minorHAnsi" w:cstheme="minorHAnsi"/>
                <w:sz w:val="18"/>
                <w:szCs w:val="18"/>
              </w:rPr>
            </w:pPr>
            <w:r w:rsidRPr="00FD606C">
              <w:rPr>
                <w:rFonts w:asciiTheme="minorHAnsi" w:hAnsiTheme="minorHAnsi" w:cstheme="minorHAnsi"/>
                <w:sz w:val="18"/>
                <w:szCs w:val="18"/>
              </w:rPr>
              <w:t>1,241</w:t>
            </w:r>
          </w:p>
        </w:tc>
        <w:tc>
          <w:tcPr>
            <w:tcW w:w="1044" w:type="dxa"/>
            <w:tcBorders>
              <w:top w:val="nil"/>
              <w:left w:val="nil"/>
              <w:bottom w:val="nil"/>
              <w:right w:val="nil"/>
            </w:tcBorders>
          </w:tcPr>
          <w:p w:rsidR="001B4E25" w:rsidRPr="00FD606C" w:rsidRDefault="001B4E25" w:rsidP="00EB5C27">
            <w:pPr>
              <w:pStyle w:val="TableNumbersRight"/>
              <w:rPr>
                <w:rFonts w:asciiTheme="minorHAnsi" w:hAnsiTheme="minorHAnsi" w:cstheme="minorHAnsi"/>
                <w:sz w:val="18"/>
                <w:szCs w:val="18"/>
              </w:rPr>
            </w:pPr>
            <w:r w:rsidRPr="00FD606C">
              <w:rPr>
                <w:rFonts w:asciiTheme="minorHAnsi" w:hAnsiTheme="minorHAnsi" w:cstheme="minorHAnsi"/>
                <w:sz w:val="18"/>
                <w:szCs w:val="18"/>
              </w:rPr>
              <w:t>409</w:t>
            </w:r>
          </w:p>
        </w:tc>
        <w:tc>
          <w:tcPr>
            <w:tcW w:w="1044" w:type="dxa"/>
            <w:tcBorders>
              <w:top w:val="nil"/>
              <w:left w:val="nil"/>
              <w:bottom w:val="nil"/>
              <w:right w:val="nil"/>
            </w:tcBorders>
          </w:tcPr>
          <w:p w:rsidR="001B4E25" w:rsidRPr="00FD606C" w:rsidRDefault="001B4E25" w:rsidP="00EB5C27">
            <w:pPr>
              <w:pStyle w:val="TableNumbersRight"/>
              <w:rPr>
                <w:rFonts w:asciiTheme="minorHAnsi" w:hAnsiTheme="minorHAnsi" w:cstheme="minorHAnsi"/>
                <w:sz w:val="18"/>
                <w:szCs w:val="18"/>
              </w:rPr>
            </w:pPr>
            <w:r w:rsidRPr="00FD606C">
              <w:rPr>
                <w:rFonts w:asciiTheme="minorHAnsi" w:hAnsiTheme="minorHAnsi" w:cstheme="minorHAnsi"/>
                <w:sz w:val="18"/>
                <w:szCs w:val="18"/>
              </w:rPr>
              <w:t>- </w:t>
            </w:r>
          </w:p>
        </w:tc>
        <w:tc>
          <w:tcPr>
            <w:tcW w:w="1044" w:type="dxa"/>
            <w:tcBorders>
              <w:top w:val="nil"/>
              <w:left w:val="nil"/>
              <w:bottom w:val="nil"/>
              <w:right w:val="nil"/>
            </w:tcBorders>
          </w:tcPr>
          <w:p w:rsidR="001B4E25" w:rsidRPr="00FD606C" w:rsidRDefault="001B4E25" w:rsidP="00EB5C27">
            <w:pPr>
              <w:pStyle w:val="TableNumbersRight"/>
              <w:rPr>
                <w:rFonts w:asciiTheme="minorHAnsi" w:hAnsiTheme="minorHAnsi" w:cstheme="minorHAnsi"/>
                <w:sz w:val="18"/>
                <w:szCs w:val="18"/>
              </w:rPr>
            </w:pPr>
            <w:r w:rsidRPr="00FD606C">
              <w:rPr>
                <w:rFonts w:asciiTheme="minorHAnsi" w:hAnsiTheme="minorHAnsi" w:cstheme="minorHAnsi"/>
                <w:sz w:val="18"/>
                <w:szCs w:val="18"/>
              </w:rPr>
              <w:t>- </w:t>
            </w:r>
          </w:p>
        </w:tc>
        <w:tc>
          <w:tcPr>
            <w:tcW w:w="1044" w:type="dxa"/>
            <w:tcBorders>
              <w:top w:val="nil"/>
              <w:left w:val="nil"/>
              <w:bottom w:val="nil"/>
              <w:right w:val="nil"/>
            </w:tcBorders>
          </w:tcPr>
          <w:p w:rsidR="001B4E25" w:rsidRPr="00FD606C" w:rsidRDefault="001B4E25" w:rsidP="00EB5C27">
            <w:pPr>
              <w:pStyle w:val="TableNumbersRight"/>
              <w:rPr>
                <w:rFonts w:asciiTheme="minorHAnsi" w:hAnsiTheme="minorHAnsi" w:cstheme="minorHAnsi"/>
                <w:color w:val="000000"/>
                <w:sz w:val="18"/>
                <w:szCs w:val="18"/>
              </w:rPr>
            </w:pPr>
            <w:r w:rsidRPr="00FD606C">
              <w:rPr>
                <w:rFonts w:asciiTheme="minorHAnsi" w:hAnsiTheme="minorHAnsi" w:cstheme="minorHAnsi"/>
                <w:color w:val="000000"/>
                <w:sz w:val="18"/>
                <w:szCs w:val="18"/>
              </w:rPr>
              <w:t>Oct 2013</w:t>
            </w:r>
          </w:p>
        </w:tc>
      </w:tr>
      <w:tr w:rsidR="001B4E25" w:rsidRPr="00156EB8" w:rsidTr="00EB5C27">
        <w:trPr>
          <w:trHeight w:val="240"/>
        </w:trPr>
        <w:tc>
          <w:tcPr>
            <w:tcW w:w="3092" w:type="dxa"/>
            <w:tcBorders>
              <w:top w:val="nil"/>
              <w:left w:val="nil"/>
              <w:bottom w:val="nil"/>
              <w:right w:val="nil"/>
            </w:tcBorders>
          </w:tcPr>
          <w:p w:rsidR="001B4E25" w:rsidRPr="00FD606C" w:rsidRDefault="001B4E25" w:rsidP="00EB5C27">
            <w:pPr>
              <w:pStyle w:val="TableTextLeft-BP4"/>
              <w:rPr>
                <w:rFonts w:asciiTheme="minorHAnsi" w:hAnsiTheme="minorHAnsi" w:cstheme="minorHAnsi"/>
              </w:rPr>
            </w:pPr>
            <w:r w:rsidRPr="00FD606C">
              <w:rPr>
                <w:rFonts w:asciiTheme="minorHAnsi" w:hAnsiTheme="minorHAnsi" w:cstheme="minorHAnsi"/>
              </w:rPr>
              <w:t>ESA Station Upgrade and Relocation – Phase 1 Due Diligence and Forward Design</w:t>
            </w:r>
          </w:p>
        </w:tc>
        <w:tc>
          <w:tcPr>
            <w:tcW w:w="1044" w:type="dxa"/>
            <w:tcBorders>
              <w:top w:val="nil"/>
              <w:left w:val="nil"/>
              <w:bottom w:val="nil"/>
              <w:right w:val="nil"/>
            </w:tcBorders>
          </w:tcPr>
          <w:p w:rsidR="001B4E25" w:rsidRPr="00FD606C" w:rsidRDefault="001B4E25" w:rsidP="00EB5C27">
            <w:pPr>
              <w:pStyle w:val="TableNumbersRight"/>
              <w:rPr>
                <w:rFonts w:asciiTheme="minorHAnsi" w:hAnsiTheme="minorHAnsi" w:cstheme="minorHAnsi"/>
                <w:bCs/>
                <w:sz w:val="18"/>
                <w:szCs w:val="18"/>
              </w:rPr>
            </w:pPr>
            <w:r w:rsidRPr="00FD606C">
              <w:rPr>
                <w:rFonts w:asciiTheme="minorHAnsi" w:hAnsiTheme="minorHAnsi" w:cstheme="minorHAnsi"/>
                <w:bCs/>
                <w:sz w:val="18"/>
                <w:szCs w:val="18"/>
              </w:rPr>
              <w:t>3,961</w:t>
            </w:r>
          </w:p>
        </w:tc>
        <w:tc>
          <w:tcPr>
            <w:tcW w:w="1044" w:type="dxa"/>
            <w:tcBorders>
              <w:top w:val="nil"/>
              <w:left w:val="nil"/>
              <w:bottom w:val="nil"/>
              <w:right w:val="nil"/>
            </w:tcBorders>
          </w:tcPr>
          <w:p w:rsidR="001B4E25" w:rsidRPr="00FD606C" w:rsidRDefault="001B4E25" w:rsidP="00EB5C27">
            <w:pPr>
              <w:pStyle w:val="TableNumbersRight"/>
              <w:rPr>
                <w:rFonts w:asciiTheme="minorHAnsi" w:hAnsiTheme="minorHAnsi" w:cstheme="minorHAnsi"/>
                <w:bCs/>
                <w:sz w:val="18"/>
                <w:szCs w:val="18"/>
              </w:rPr>
            </w:pPr>
            <w:r w:rsidRPr="00FD606C">
              <w:rPr>
                <w:rFonts w:asciiTheme="minorHAnsi" w:hAnsiTheme="minorHAnsi" w:cstheme="minorHAnsi"/>
                <w:bCs/>
                <w:sz w:val="18"/>
                <w:szCs w:val="18"/>
              </w:rPr>
              <w:t>2,511</w:t>
            </w:r>
          </w:p>
        </w:tc>
        <w:tc>
          <w:tcPr>
            <w:tcW w:w="1044" w:type="dxa"/>
            <w:tcBorders>
              <w:top w:val="nil"/>
              <w:left w:val="nil"/>
              <w:bottom w:val="nil"/>
              <w:right w:val="nil"/>
            </w:tcBorders>
          </w:tcPr>
          <w:p w:rsidR="001B4E25" w:rsidRPr="00FD606C" w:rsidRDefault="001B4E25" w:rsidP="00EB5C27">
            <w:pPr>
              <w:pStyle w:val="TableNumbersRight"/>
              <w:rPr>
                <w:rFonts w:asciiTheme="minorHAnsi" w:hAnsiTheme="minorHAnsi" w:cstheme="minorHAnsi"/>
                <w:sz w:val="18"/>
                <w:szCs w:val="18"/>
              </w:rPr>
            </w:pPr>
            <w:r w:rsidRPr="00FD606C">
              <w:rPr>
                <w:rFonts w:asciiTheme="minorHAnsi" w:hAnsiTheme="minorHAnsi" w:cstheme="minorHAnsi"/>
                <w:sz w:val="18"/>
                <w:szCs w:val="18"/>
              </w:rPr>
              <w:t>1,450</w:t>
            </w:r>
          </w:p>
        </w:tc>
        <w:tc>
          <w:tcPr>
            <w:tcW w:w="1044" w:type="dxa"/>
            <w:tcBorders>
              <w:top w:val="nil"/>
              <w:left w:val="nil"/>
              <w:bottom w:val="nil"/>
              <w:right w:val="nil"/>
            </w:tcBorders>
          </w:tcPr>
          <w:p w:rsidR="001B4E25" w:rsidRPr="00FD606C" w:rsidRDefault="001B4E25" w:rsidP="00EB5C27">
            <w:pPr>
              <w:pStyle w:val="TableNumbersRight"/>
              <w:rPr>
                <w:rFonts w:asciiTheme="minorHAnsi" w:hAnsiTheme="minorHAnsi" w:cstheme="minorHAnsi"/>
                <w:sz w:val="18"/>
                <w:szCs w:val="18"/>
              </w:rPr>
            </w:pPr>
            <w:r w:rsidRPr="00FD606C">
              <w:rPr>
                <w:rFonts w:asciiTheme="minorHAnsi" w:hAnsiTheme="minorHAnsi" w:cstheme="minorHAnsi"/>
                <w:sz w:val="18"/>
                <w:szCs w:val="18"/>
              </w:rPr>
              <w:t>- </w:t>
            </w:r>
          </w:p>
        </w:tc>
        <w:tc>
          <w:tcPr>
            <w:tcW w:w="1044" w:type="dxa"/>
            <w:tcBorders>
              <w:top w:val="nil"/>
              <w:left w:val="nil"/>
              <w:bottom w:val="nil"/>
              <w:right w:val="nil"/>
            </w:tcBorders>
          </w:tcPr>
          <w:p w:rsidR="001B4E25" w:rsidRPr="00FD606C" w:rsidRDefault="001B4E25" w:rsidP="00EB5C27">
            <w:pPr>
              <w:pStyle w:val="TableNumbersRight"/>
              <w:rPr>
                <w:rFonts w:asciiTheme="minorHAnsi" w:hAnsiTheme="minorHAnsi" w:cstheme="minorHAnsi"/>
                <w:sz w:val="18"/>
                <w:szCs w:val="18"/>
              </w:rPr>
            </w:pPr>
            <w:r w:rsidRPr="00FD606C">
              <w:rPr>
                <w:rFonts w:asciiTheme="minorHAnsi" w:hAnsiTheme="minorHAnsi" w:cstheme="minorHAnsi"/>
                <w:sz w:val="18"/>
                <w:szCs w:val="18"/>
              </w:rPr>
              <w:t>- </w:t>
            </w:r>
          </w:p>
        </w:tc>
        <w:tc>
          <w:tcPr>
            <w:tcW w:w="1044" w:type="dxa"/>
            <w:tcBorders>
              <w:top w:val="nil"/>
              <w:left w:val="nil"/>
              <w:bottom w:val="nil"/>
              <w:right w:val="nil"/>
            </w:tcBorders>
          </w:tcPr>
          <w:p w:rsidR="001B4E25" w:rsidRPr="00FD606C" w:rsidRDefault="001B4E25" w:rsidP="00EB5C27">
            <w:pPr>
              <w:pStyle w:val="TableNumbersRight"/>
              <w:rPr>
                <w:rFonts w:asciiTheme="minorHAnsi" w:hAnsiTheme="minorHAnsi" w:cstheme="minorHAnsi"/>
                <w:color w:val="000000"/>
                <w:sz w:val="18"/>
                <w:szCs w:val="18"/>
              </w:rPr>
            </w:pPr>
            <w:r w:rsidRPr="00FD606C">
              <w:rPr>
                <w:rFonts w:asciiTheme="minorHAnsi" w:hAnsiTheme="minorHAnsi" w:cstheme="minorHAnsi"/>
                <w:color w:val="000000"/>
                <w:sz w:val="18"/>
                <w:szCs w:val="18"/>
              </w:rPr>
              <w:t>Jun 2013</w:t>
            </w:r>
          </w:p>
        </w:tc>
      </w:tr>
      <w:tr w:rsidR="001B4E25" w:rsidRPr="00156EB8" w:rsidTr="00EB5C27">
        <w:tblPrEx>
          <w:tblCellMar>
            <w:left w:w="0" w:type="dxa"/>
            <w:right w:w="0" w:type="dxa"/>
          </w:tblCellMar>
        </w:tblPrEx>
        <w:trPr>
          <w:trHeight w:val="240"/>
        </w:trPr>
        <w:tc>
          <w:tcPr>
            <w:tcW w:w="3092" w:type="dxa"/>
            <w:tcBorders>
              <w:top w:val="nil"/>
              <w:left w:val="nil"/>
              <w:bottom w:val="nil"/>
              <w:right w:val="nil"/>
            </w:tcBorders>
          </w:tcPr>
          <w:p w:rsidR="001B4E25" w:rsidRPr="00B558F4" w:rsidRDefault="001B4E25" w:rsidP="00EB5C27">
            <w:pPr>
              <w:pStyle w:val="TableHeadingLeft-BP4"/>
              <w:rPr>
                <w:rFonts w:asciiTheme="minorHAnsi" w:hAnsiTheme="minorHAnsi" w:cstheme="minorHAnsi"/>
                <w:szCs w:val="18"/>
              </w:rPr>
            </w:pPr>
            <w:r w:rsidRPr="00B558F4">
              <w:rPr>
                <w:rFonts w:asciiTheme="minorHAnsi" w:hAnsiTheme="minorHAnsi" w:cstheme="minorHAnsi"/>
                <w:szCs w:val="18"/>
              </w:rPr>
              <w:t>Total Works in Progress</w:t>
            </w:r>
          </w:p>
        </w:tc>
        <w:tc>
          <w:tcPr>
            <w:tcW w:w="1044" w:type="dxa"/>
            <w:tcBorders>
              <w:top w:val="nil"/>
              <w:left w:val="nil"/>
              <w:bottom w:val="nil"/>
              <w:right w:val="nil"/>
            </w:tcBorders>
            <w:shd w:val="clear" w:color="auto" w:fill="auto"/>
          </w:tcPr>
          <w:p w:rsidR="001B4E25" w:rsidRPr="00B558F4" w:rsidRDefault="001B4E25" w:rsidP="00EB5C27">
            <w:pPr>
              <w:jc w:val="right"/>
              <w:rPr>
                <w:rFonts w:asciiTheme="minorHAnsi" w:hAnsiTheme="minorHAnsi" w:cstheme="minorHAnsi"/>
                <w:b/>
                <w:color w:val="000000"/>
                <w:sz w:val="18"/>
                <w:szCs w:val="18"/>
              </w:rPr>
            </w:pPr>
            <w:r>
              <w:rPr>
                <w:rFonts w:asciiTheme="minorHAnsi" w:hAnsiTheme="minorHAnsi" w:cstheme="minorHAnsi"/>
                <w:b/>
                <w:color w:val="000000"/>
                <w:sz w:val="18"/>
                <w:szCs w:val="18"/>
              </w:rPr>
              <w:t>162,067</w:t>
            </w:r>
          </w:p>
        </w:tc>
        <w:tc>
          <w:tcPr>
            <w:tcW w:w="1044" w:type="dxa"/>
            <w:tcBorders>
              <w:top w:val="nil"/>
              <w:left w:val="nil"/>
              <w:bottom w:val="nil"/>
              <w:right w:val="nil"/>
            </w:tcBorders>
            <w:shd w:val="clear" w:color="auto" w:fill="auto"/>
            <w:tcMar>
              <w:left w:w="17" w:type="dxa"/>
              <w:right w:w="17" w:type="dxa"/>
            </w:tcMar>
          </w:tcPr>
          <w:p w:rsidR="001B4E25" w:rsidRPr="00B558F4" w:rsidRDefault="001B4E25" w:rsidP="00EB5C27">
            <w:pPr>
              <w:jc w:val="right"/>
              <w:rPr>
                <w:rFonts w:asciiTheme="minorHAnsi" w:hAnsiTheme="minorHAnsi" w:cstheme="minorHAnsi"/>
                <w:b/>
                <w:color w:val="000000"/>
                <w:sz w:val="18"/>
                <w:szCs w:val="18"/>
              </w:rPr>
            </w:pPr>
            <w:r>
              <w:rPr>
                <w:rFonts w:asciiTheme="minorHAnsi" w:hAnsiTheme="minorHAnsi" w:cstheme="minorHAnsi"/>
                <w:b/>
                <w:color w:val="000000"/>
                <w:sz w:val="18"/>
                <w:szCs w:val="18"/>
              </w:rPr>
              <w:t>145,209</w:t>
            </w:r>
          </w:p>
        </w:tc>
        <w:tc>
          <w:tcPr>
            <w:tcW w:w="1044" w:type="dxa"/>
            <w:tcBorders>
              <w:top w:val="nil"/>
              <w:left w:val="nil"/>
              <w:bottom w:val="nil"/>
              <w:right w:val="nil"/>
            </w:tcBorders>
            <w:shd w:val="clear" w:color="auto" w:fill="auto"/>
            <w:tcMar>
              <w:top w:w="17" w:type="dxa"/>
              <w:left w:w="17" w:type="dxa"/>
              <w:right w:w="17" w:type="dxa"/>
            </w:tcMar>
          </w:tcPr>
          <w:p w:rsidR="001B4E25" w:rsidRPr="00B558F4" w:rsidRDefault="001B4E25" w:rsidP="00EB5C27">
            <w:pPr>
              <w:jc w:val="right"/>
              <w:rPr>
                <w:rFonts w:asciiTheme="minorHAnsi" w:hAnsiTheme="minorHAnsi" w:cstheme="minorHAnsi"/>
                <w:b/>
                <w:color w:val="000000"/>
                <w:sz w:val="18"/>
                <w:szCs w:val="18"/>
              </w:rPr>
            </w:pPr>
            <w:r>
              <w:rPr>
                <w:rFonts w:asciiTheme="minorHAnsi" w:hAnsiTheme="minorHAnsi" w:cstheme="minorHAnsi"/>
                <w:b/>
                <w:color w:val="000000"/>
                <w:sz w:val="18"/>
                <w:szCs w:val="18"/>
              </w:rPr>
              <w:t>16,759</w:t>
            </w:r>
          </w:p>
        </w:tc>
        <w:tc>
          <w:tcPr>
            <w:tcW w:w="1044" w:type="dxa"/>
            <w:tcBorders>
              <w:top w:val="nil"/>
              <w:left w:val="nil"/>
              <w:bottom w:val="nil"/>
              <w:right w:val="nil"/>
            </w:tcBorders>
            <w:shd w:val="clear" w:color="auto" w:fill="auto"/>
            <w:tcMar>
              <w:left w:w="17" w:type="dxa"/>
              <w:right w:w="17" w:type="dxa"/>
            </w:tcMar>
          </w:tcPr>
          <w:p w:rsidR="001B4E25" w:rsidRPr="00B558F4" w:rsidRDefault="001B4E25" w:rsidP="00EB5C27">
            <w:pPr>
              <w:pStyle w:val="TableNumbersRight"/>
              <w:rPr>
                <w:rFonts w:asciiTheme="minorHAnsi" w:hAnsiTheme="minorHAnsi" w:cstheme="minorHAnsi"/>
                <w:b/>
                <w:bCs/>
                <w:sz w:val="18"/>
                <w:szCs w:val="18"/>
              </w:rPr>
            </w:pPr>
            <w:r>
              <w:rPr>
                <w:rFonts w:asciiTheme="minorHAnsi" w:hAnsiTheme="minorHAnsi" w:cstheme="minorHAnsi"/>
                <w:b/>
                <w:bCs/>
                <w:sz w:val="18"/>
                <w:szCs w:val="18"/>
              </w:rPr>
              <w:t>99</w:t>
            </w:r>
            <w:r w:rsidRPr="00B558F4">
              <w:rPr>
                <w:rFonts w:asciiTheme="minorHAnsi" w:hAnsiTheme="minorHAnsi" w:cstheme="minorHAnsi"/>
                <w:b/>
                <w:bCs/>
                <w:sz w:val="18"/>
                <w:szCs w:val="18"/>
              </w:rPr>
              <w:t> </w:t>
            </w:r>
          </w:p>
        </w:tc>
        <w:tc>
          <w:tcPr>
            <w:tcW w:w="1044" w:type="dxa"/>
            <w:tcBorders>
              <w:top w:val="nil"/>
              <w:left w:val="nil"/>
              <w:bottom w:val="nil"/>
              <w:right w:val="nil"/>
            </w:tcBorders>
            <w:tcMar>
              <w:top w:w="17" w:type="dxa"/>
              <w:left w:w="17" w:type="dxa"/>
              <w:right w:w="17" w:type="dxa"/>
            </w:tcMar>
          </w:tcPr>
          <w:p w:rsidR="001B4E25" w:rsidRPr="00B558F4" w:rsidRDefault="001B4E25" w:rsidP="00EB5C27">
            <w:pPr>
              <w:pStyle w:val="TableNumbersRight"/>
              <w:rPr>
                <w:rFonts w:asciiTheme="minorHAnsi" w:hAnsiTheme="minorHAnsi" w:cstheme="minorHAnsi"/>
                <w:b/>
                <w:bCs/>
                <w:sz w:val="18"/>
                <w:szCs w:val="18"/>
              </w:rPr>
            </w:pPr>
            <w:r w:rsidRPr="00B558F4">
              <w:rPr>
                <w:rFonts w:asciiTheme="minorHAnsi" w:hAnsiTheme="minorHAnsi" w:cstheme="minorHAnsi"/>
                <w:b/>
                <w:bCs/>
                <w:sz w:val="18"/>
                <w:szCs w:val="18"/>
              </w:rPr>
              <w:t>- </w:t>
            </w:r>
          </w:p>
        </w:tc>
        <w:tc>
          <w:tcPr>
            <w:tcW w:w="1044" w:type="dxa"/>
            <w:tcBorders>
              <w:top w:val="nil"/>
              <w:left w:val="nil"/>
              <w:bottom w:val="nil"/>
              <w:right w:val="nil"/>
            </w:tcBorders>
            <w:tcMar>
              <w:left w:w="17" w:type="dxa"/>
              <w:right w:w="17" w:type="dxa"/>
            </w:tcMar>
          </w:tcPr>
          <w:p w:rsidR="001B4E25" w:rsidRPr="00156EB8" w:rsidRDefault="001B4E25" w:rsidP="00EB5C27">
            <w:pPr>
              <w:pStyle w:val="TableNumbersRight"/>
              <w:rPr>
                <w:rFonts w:asciiTheme="minorHAnsi" w:hAnsiTheme="minorHAnsi" w:cstheme="minorHAnsi"/>
                <w:b/>
                <w:bCs/>
                <w:sz w:val="18"/>
                <w:szCs w:val="18"/>
                <w:highlight w:val="yellow"/>
              </w:rPr>
            </w:pPr>
          </w:p>
        </w:tc>
      </w:tr>
      <w:tr w:rsidR="001B4E25" w:rsidRPr="00156EB8" w:rsidTr="00EB5C27">
        <w:tblPrEx>
          <w:tblCellMar>
            <w:left w:w="0" w:type="dxa"/>
            <w:right w:w="0" w:type="dxa"/>
          </w:tblCellMar>
        </w:tblPrEx>
        <w:trPr>
          <w:trHeight w:hRule="exact" w:val="198"/>
        </w:trPr>
        <w:tc>
          <w:tcPr>
            <w:tcW w:w="3092" w:type="dxa"/>
            <w:tcBorders>
              <w:top w:val="nil"/>
              <w:left w:val="nil"/>
              <w:bottom w:val="nil"/>
              <w:right w:val="nil"/>
            </w:tcBorders>
          </w:tcPr>
          <w:p w:rsidR="001B4E25" w:rsidRPr="00B558F4" w:rsidRDefault="001B4E25" w:rsidP="00EB5C27">
            <w:pPr>
              <w:pStyle w:val="TableHeadingLeft-BP4"/>
              <w:rPr>
                <w:rFonts w:asciiTheme="minorHAnsi" w:hAnsiTheme="minorHAnsi" w:cstheme="minorHAnsi"/>
                <w:szCs w:val="18"/>
              </w:rPr>
            </w:pPr>
          </w:p>
        </w:tc>
        <w:tc>
          <w:tcPr>
            <w:tcW w:w="1044" w:type="dxa"/>
            <w:tcBorders>
              <w:top w:val="nil"/>
              <w:left w:val="nil"/>
              <w:bottom w:val="nil"/>
              <w:right w:val="nil"/>
            </w:tcBorders>
            <w:shd w:val="clear" w:color="auto" w:fill="auto"/>
          </w:tcPr>
          <w:p w:rsidR="001B4E25" w:rsidRPr="00B558F4" w:rsidRDefault="001B4E25" w:rsidP="00EB5C27">
            <w:pPr>
              <w:pStyle w:val="TableNumbersRight"/>
              <w:rPr>
                <w:rFonts w:asciiTheme="minorHAnsi" w:hAnsiTheme="minorHAnsi" w:cstheme="minorHAnsi"/>
                <w:b/>
                <w:bCs/>
                <w:sz w:val="18"/>
                <w:szCs w:val="18"/>
              </w:rPr>
            </w:pPr>
          </w:p>
        </w:tc>
        <w:tc>
          <w:tcPr>
            <w:tcW w:w="1044" w:type="dxa"/>
            <w:tcBorders>
              <w:top w:val="nil"/>
              <w:left w:val="nil"/>
              <w:bottom w:val="nil"/>
              <w:right w:val="nil"/>
            </w:tcBorders>
            <w:shd w:val="clear" w:color="auto" w:fill="auto"/>
            <w:tcMar>
              <w:left w:w="17" w:type="dxa"/>
              <w:right w:w="17" w:type="dxa"/>
            </w:tcMar>
          </w:tcPr>
          <w:p w:rsidR="001B4E25" w:rsidRPr="00B558F4" w:rsidRDefault="001B4E25" w:rsidP="00EB5C27">
            <w:pPr>
              <w:pStyle w:val="TableNumbersRight"/>
              <w:rPr>
                <w:rFonts w:asciiTheme="minorHAnsi" w:hAnsiTheme="minorHAnsi" w:cstheme="minorHAnsi"/>
                <w:b/>
                <w:bCs/>
                <w:sz w:val="18"/>
                <w:szCs w:val="18"/>
              </w:rPr>
            </w:pPr>
          </w:p>
        </w:tc>
        <w:tc>
          <w:tcPr>
            <w:tcW w:w="1044" w:type="dxa"/>
            <w:tcBorders>
              <w:top w:val="nil"/>
              <w:left w:val="nil"/>
              <w:bottom w:val="nil"/>
              <w:right w:val="nil"/>
            </w:tcBorders>
            <w:shd w:val="clear" w:color="auto" w:fill="auto"/>
            <w:tcMar>
              <w:top w:w="17" w:type="dxa"/>
              <w:left w:w="17" w:type="dxa"/>
              <w:right w:w="17" w:type="dxa"/>
            </w:tcMar>
          </w:tcPr>
          <w:p w:rsidR="001B4E25" w:rsidRPr="00B558F4" w:rsidRDefault="001B4E25" w:rsidP="00EB5C27">
            <w:pPr>
              <w:pStyle w:val="TableNumbersRight"/>
              <w:rPr>
                <w:rFonts w:asciiTheme="minorHAnsi" w:hAnsiTheme="minorHAnsi" w:cstheme="minorHAnsi"/>
                <w:b/>
                <w:bCs/>
                <w:sz w:val="18"/>
                <w:szCs w:val="18"/>
              </w:rPr>
            </w:pPr>
          </w:p>
        </w:tc>
        <w:tc>
          <w:tcPr>
            <w:tcW w:w="1044" w:type="dxa"/>
            <w:tcBorders>
              <w:top w:val="nil"/>
              <w:left w:val="nil"/>
              <w:bottom w:val="nil"/>
              <w:right w:val="nil"/>
            </w:tcBorders>
            <w:shd w:val="clear" w:color="auto" w:fill="auto"/>
            <w:tcMar>
              <w:left w:w="17" w:type="dxa"/>
              <w:right w:w="17" w:type="dxa"/>
            </w:tcMar>
          </w:tcPr>
          <w:p w:rsidR="001B4E25" w:rsidRPr="00B558F4" w:rsidRDefault="001B4E25" w:rsidP="00EB5C27">
            <w:pPr>
              <w:pStyle w:val="TableNumbersRight"/>
              <w:rPr>
                <w:rFonts w:asciiTheme="minorHAnsi" w:hAnsiTheme="minorHAnsi" w:cstheme="minorHAnsi"/>
                <w:b/>
                <w:bCs/>
                <w:sz w:val="18"/>
                <w:szCs w:val="18"/>
              </w:rPr>
            </w:pPr>
          </w:p>
        </w:tc>
        <w:tc>
          <w:tcPr>
            <w:tcW w:w="1044" w:type="dxa"/>
            <w:tcBorders>
              <w:top w:val="nil"/>
              <w:left w:val="nil"/>
              <w:bottom w:val="nil"/>
              <w:right w:val="nil"/>
            </w:tcBorders>
            <w:tcMar>
              <w:top w:w="17" w:type="dxa"/>
              <w:left w:w="17" w:type="dxa"/>
              <w:right w:w="17" w:type="dxa"/>
            </w:tcMar>
          </w:tcPr>
          <w:p w:rsidR="001B4E25" w:rsidRPr="00B558F4" w:rsidRDefault="001B4E25" w:rsidP="00EB5C27">
            <w:pPr>
              <w:pStyle w:val="TableNumbersRight"/>
              <w:rPr>
                <w:rFonts w:asciiTheme="minorHAnsi" w:hAnsiTheme="minorHAnsi" w:cstheme="minorHAnsi"/>
                <w:b/>
                <w:bCs/>
                <w:sz w:val="18"/>
                <w:szCs w:val="18"/>
              </w:rPr>
            </w:pPr>
          </w:p>
        </w:tc>
        <w:tc>
          <w:tcPr>
            <w:tcW w:w="1044" w:type="dxa"/>
            <w:tcBorders>
              <w:top w:val="nil"/>
              <w:left w:val="nil"/>
              <w:bottom w:val="nil"/>
              <w:right w:val="nil"/>
            </w:tcBorders>
            <w:tcMar>
              <w:left w:w="17" w:type="dxa"/>
              <w:right w:w="17" w:type="dxa"/>
            </w:tcMar>
          </w:tcPr>
          <w:p w:rsidR="001B4E25" w:rsidRPr="00156EB8" w:rsidRDefault="001B4E25" w:rsidP="00EB5C27">
            <w:pPr>
              <w:pStyle w:val="TableNumbersRight"/>
              <w:rPr>
                <w:rFonts w:asciiTheme="minorHAnsi" w:hAnsiTheme="minorHAnsi" w:cstheme="minorHAnsi"/>
                <w:b/>
                <w:bCs/>
                <w:sz w:val="18"/>
                <w:szCs w:val="18"/>
                <w:highlight w:val="yellow"/>
              </w:rPr>
            </w:pPr>
          </w:p>
        </w:tc>
      </w:tr>
      <w:tr w:rsidR="001B4E25" w:rsidRPr="00156EB8" w:rsidTr="00EB5C27">
        <w:tblPrEx>
          <w:tblCellMar>
            <w:left w:w="0" w:type="dxa"/>
            <w:right w:w="0" w:type="dxa"/>
          </w:tblCellMar>
        </w:tblPrEx>
        <w:trPr>
          <w:trHeight w:val="240"/>
        </w:trPr>
        <w:tc>
          <w:tcPr>
            <w:tcW w:w="3092" w:type="dxa"/>
            <w:tcBorders>
              <w:top w:val="single" w:sz="4" w:space="0" w:color="auto"/>
              <w:left w:val="nil"/>
              <w:bottom w:val="single" w:sz="4" w:space="0" w:color="auto"/>
              <w:right w:val="nil"/>
            </w:tcBorders>
          </w:tcPr>
          <w:p w:rsidR="001B4E25" w:rsidRPr="00B558F4" w:rsidRDefault="001B4E25" w:rsidP="00EB5C27">
            <w:pPr>
              <w:pStyle w:val="TableHeadingLeft-BP4"/>
              <w:rPr>
                <w:rFonts w:asciiTheme="minorHAnsi" w:hAnsiTheme="minorHAnsi" w:cstheme="minorHAnsi"/>
                <w:szCs w:val="18"/>
              </w:rPr>
            </w:pPr>
            <w:r w:rsidRPr="00B558F4">
              <w:rPr>
                <w:rFonts w:asciiTheme="minorHAnsi" w:hAnsiTheme="minorHAnsi" w:cstheme="minorHAnsi"/>
                <w:szCs w:val="18"/>
              </w:rPr>
              <w:t>Total Controlled Capital Works</w:t>
            </w:r>
          </w:p>
        </w:tc>
        <w:tc>
          <w:tcPr>
            <w:tcW w:w="1044" w:type="dxa"/>
            <w:tcBorders>
              <w:top w:val="single" w:sz="4" w:space="0" w:color="auto"/>
              <w:left w:val="nil"/>
              <w:bottom w:val="single" w:sz="4" w:space="0" w:color="auto"/>
              <w:right w:val="nil"/>
            </w:tcBorders>
            <w:shd w:val="clear" w:color="auto" w:fill="auto"/>
          </w:tcPr>
          <w:p w:rsidR="001B4E25" w:rsidRPr="00B558F4" w:rsidRDefault="001B4E25" w:rsidP="00EB5C27">
            <w:pPr>
              <w:jc w:val="right"/>
              <w:rPr>
                <w:rFonts w:asciiTheme="minorHAnsi" w:hAnsiTheme="minorHAnsi" w:cstheme="minorHAnsi"/>
                <w:b/>
                <w:bCs/>
                <w:color w:val="000000"/>
                <w:sz w:val="18"/>
                <w:szCs w:val="18"/>
              </w:rPr>
            </w:pPr>
            <w:r>
              <w:rPr>
                <w:rFonts w:asciiTheme="minorHAnsi" w:hAnsiTheme="minorHAnsi" w:cstheme="minorHAnsi"/>
                <w:b/>
                <w:bCs/>
                <w:color w:val="000000"/>
                <w:sz w:val="18"/>
                <w:szCs w:val="18"/>
              </w:rPr>
              <w:t>183,503</w:t>
            </w:r>
          </w:p>
        </w:tc>
        <w:tc>
          <w:tcPr>
            <w:tcW w:w="1044" w:type="dxa"/>
            <w:tcBorders>
              <w:top w:val="single" w:sz="4" w:space="0" w:color="auto"/>
              <w:left w:val="nil"/>
              <w:bottom w:val="single" w:sz="4" w:space="0" w:color="auto"/>
              <w:right w:val="nil"/>
            </w:tcBorders>
            <w:shd w:val="clear" w:color="auto" w:fill="auto"/>
            <w:tcMar>
              <w:left w:w="17" w:type="dxa"/>
              <w:right w:w="17" w:type="dxa"/>
            </w:tcMar>
          </w:tcPr>
          <w:p w:rsidR="001B4E25" w:rsidRPr="00B558F4" w:rsidRDefault="001B4E25" w:rsidP="00EB5C27">
            <w:pPr>
              <w:jc w:val="right"/>
              <w:rPr>
                <w:rFonts w:asciiTheme="minorHAnsi" w:hAnsiTheme="minorHAnsi" w:cstheme="minorHAnsi"/>
                <w:b/>
                <w:bCs/>
                <w:color w:val="000000"/>
                <w:sz w:val="18"/>
                <w:szCs w:val="18"/>
              </w:rPr>
            </w:pPr>
            <w:r>
              <w:rPr>
                <w:rFonts w:asciiTheme="minorHAnsi" w:hAnsiTheme="minorHAnsi" w:cstheme="minorHAnsi"/>
                <w:b/>
                <w:bCs/>
                <w:color w:val="000000"/>
                <w:sz w:val="18"/>
                <w:szCs w:val="18"/>
              </w:rPr>
              <w:t>145,209</w:t>
            </w:r>
          </w:p>
        </w:tc>
        <w:tc>
          <w:tcPr>
            <w:tcW w:w="1044" w:type="dxa"/>
            <w:tcBorders>
              <w:top w:val="single" w:sz="4" w:space="0" w:color="auto"/>
              <w:left w:val="nil"/>
              <w:bottom w:val="single" w:sz="4" w:space="0" w:color="auto"/>
              <w:right w:val="nil"/>
            </w:tcBorders>
            <w:shd w:val="clear" w:color="auto" w:fill="auto"/>
            <w:tcMar>
              <w:top w:w="17" w:type="dxa"/>
              <w:left w:w="17" w:type="dxa"/>
              <w:right w:w="17" w:type="dxa"/>
            </w:tcMar>
          </w:tcPr>
          <w:p w:rsidR="001B4E25" w:rsidRPr="00B558F4" w:rsidRDefault="001B4E25" w:rsidP="00EB5C27">
            <w:pPr>
              <w:jc w:val="right"/>
              <w:rPr>
                <w:rFonts w:asciiTheme="minorHAnsi" w:hAnsiTheme="minorHAnsi" w:cstheme="minorHAnsi"/>
                <w:b/>
                <w:bCs/>
                <w:color w:val="000000"/>
                <w:sz w:val="18"/>
                <w:szCs w:val="18"/>
              </w:rPr>
            </w:pPr>
            <w:r>
              <w:rPr>
                <w:rFonts w:asciiTheme="minorHAnsi" w:hAnsiTheme="minorHAnsi" w:cstheme="minorHAnsi"/>
                <w:b/>
                <w:bCs/>
                <w:color w:val="000000"/>
                <w:sz w:val="18"/>
                <w:szCs w:val="18"/>
              </w:rPr>
              <w:t>28,682</w:t>
            </w:r>
          </w:p>
        </w:tc>
        <w:tc>
          <w:tcPr>
            <w:tcW w:w="1044" w:type="dxa"/>
            <w:tcBorders>
              <w:top w:val="single" w:sz="4" w:space="0" w:color="auto"/>
              <w:left w:val="nil"/>
              <w:bottom w:val="single" w:sz="4" w:space="0" w:color="auto"/>
              <w:right w:val="nil"/>
            </w:tcBorders>
            <w:shd w:val="clear" w:color="auto" w:fill="auto"/>
            <w:tcMar>
              <w:left w:w="17" w:type="dxa"/>
              <w:right w:w="17" w:type="dxa"/>
            </w:tcMar>
          </w:tcPr>
          <w:p w:rsidR="001B4E25" w:rsidRPr="00B558F4" w:rsidRDefault="001B4E25" w:rsidP="00EB5C27">
            <w:pPr>
              <w:jc w:val="right"/>
              <w:rPr>
                <w:rFonts w:asciiTheme="minorHAnsi" w:hAnsiTheme="minorHAnsi" w:cstheme="minorHAnsi"/>
                <w:b/>
                <w:bCs/>
                <w:color w:val="000000"/>
                <w:sz w:val="18"/>
                <w:szCs w:val="18"/>
              </w:rPr>
            </w:pPr>
            <w:r>
              <w:rPr>
                <w:rFonts w:asciiTheme="minorHAnsi" w:hAnsiTheme="minorHAnsi" w:cstheme="minorHAnsi"/>
                <w:b/>
                <w:bCs/>
                <w:color w:val="000000"/>
                <w:sz w:val="18"/>
                <w:szCs w:val="18"/>
              </w:rPr>
              <w:t>8,688</w:t>
            </w:r>
          </w:p>
        </w:tc>
        <w:tc>
          <w:tcPr>
            <w:tcW w:w="1044" w:type="dxa"/>
            <w:tcBorders>
              <w:top w:val="single" w:sz="4" w:space="0" w:color="auto"/>
              <w:left w:val="nil"/>
              <w:bottom w:val="single" w:sz="4" w:space="0" w:color="auto"/>
              <w:right w:val="nil"/>
            </w:tcBorders>
            <w:tcMar>
              <w:top w:w="17" w:type="dxa"/>
              <w:left w:w="17" w:type="dxa"/>
              <w:right w:w="17" w:type="dxa"/>
            </w:tcMar>
          </w:tcPr>
          <w:p w:rsidR="001B4E25" w:rsidRPr="00B558F4" w:rsidRDefault="001B4E25" w:rsidP="00EB5C27">
            <w:pPr>
              <w:jc w:val="right"/>
              <w:rPr>
                <w:rFonts w:asciiTheme="minorHAnsi" w:hAnsiTheme="minorHAnsi" w:cstheme="minorHAnsi"/>
                <w:b/>
                <w:bCs/>
                <w:color w:val="000000"/>
                <w:sz w:val="18"/>
                <w:szCs w:val="18"/>
              </w:rPr>
            </w:pPr>
            <w:r>
              <w:rPr>
                <w:rFonts w:asciiTheme="minorHAnsi" w:hAnsiTheme="minorHAnsi" w:cstheme="minorHAnsi"/>
                <w:b/>
                <w:bCs/>
                <w:color w:val="000000"/>
                <w:sz w:val="18"/>
                <w:szCs w:val="18"/>
              </w:rPr>
              <w:t>924</w:t>
            </w:r>
          </w:p>
        </w:tc>
        <w:tc>
          <w:tcPr>
            <w:tcW w:w="1044" w:type="dxa"/>
            <w:tcBorders>
              <w:top w:val="single" w:sz="4" w:space="0" w:color="auto"/>
              <w:left w:val="nil"/>
              <w:bottom w:val="single" w:sz="4" w:space="0" w:color="auto"/>
              <w:right w:val="nil"/>
            </w:tcBorders>
            <w:tcMar>
              <w:left w:w="17" w:type="dxa"/>
              <w:right w:w="17" w:type="dxa"/>
            </w:tcMar>
          </w:tcPr>
          <w:p w:rsidR="001B4E25" w:rsidRPr="00156EB8" w:rsidRDefault="001B4E25" w:rsidP="00EB5C27">
            <w:pPr>
              <w:pStyle w:val="TableNumbersRight"/>
              <w:rPr>
                <w:rFonts w:asciiTheme="minorHAnsi" w:hAnsiTheme="minorHAnsi" w:cstheme="minorHAnsi"/>
                <w:b/>
                <w:bCs/>
                <w:sz w:val="18"/>
                <w:szCs w:val="18"/>
                <w:highlight w:val="yellow"/>
              </w:rPr>
            </w:pPr>
          </w:p>
        </w:tc>
      </w:tr>
    </w:tbl>
    <w:p w:rsidR="001B4E25" w:rsidRPr="00A6709E" w:rsidRDefault="001B4E25" w:rsidP="001B4E25">
      <w:pPr>
        <w:pStyle w:val="TableHeadingRight-BP4"/>
        <w:spacing w:before="60"/>
        <w:jc w:val="left"/>
        <w:rPr>
          <w:bCs/>
          <w:sz w:val="16"/>
          <w:szCs w:val="16"/>
        </w:rPr>
      </w:pPr>
      <w:r w:rsidRPr="00A6709E">
        <w:rPr>
          <w:bCs/>
          <w:sz w:val="16"/>
          <w:szCs w:val="16"/>
        </w:rPr>
        <w:t>Note</w:t>
      </w:r>
      <w:r>
        <w:rPr>
          <w:bCs/>
          <w:sz w:val="16"/>
          <w:szCs w:val="16"/>
        </w:rPr>
        <w:t>s</w:t>
      </w:r>
      <w:r w:rsidRPr="00A6709E">
        <w:rPr>
          <w:bCs/>
          <w:sz w:val="16"/>
          <w:szCs w:val="16"/>
        </w:rPr>
        <w:t>:</w:t>
      </w:r>
    </w:p>
    <w:p w:rsidR="001B4E25" w:rsidRPr="00A6709E" w:rsidRDefault="001B4E25" w:rsidP="00A2331E">
      <w:pPr>
        <w:pStyle w:val="TableHeadingRight-BP4"/>
        <w:numPr>
          <w:ilvl w:val="0"/>
          <w:numId w:val="54"/>
        </w:numPr>
        <w:ind w:left="426" w:hanging="426"/>
        <w:jc w:val="left"/>
        <w:rPr>
          <w:b w:val="0"/>
          <w:bCs/>
          <w:sz w:val="16"/>
          <w:szCs w:val="16"/>
        </w:rPr>
      </w:pPr>
      <w:r w:rsidRPr="00A6709E">
        <w:rPr>
          <w:b w:val="0"/>
          <w:bCs/>
          <w:sz w:val="16"/>
          <w:szCs w:val="16"/>
        </w:rPr>
        <w:t>The New Supreme Court (Design) project has been renamed and $0.750m has been transferred to CMTD.</w:t>
      </w:r>
    </w:p>
    <w:p w:rsidR="001B4E25" w:rsidRDefault="001B4E25" w:rsidP="00A2331E">
      <w:pPr>
        <w:pStyle w:val="TableHeadingRight-BP4"/>
        <w:numPr>
          <w:ilvl w:val="0"/>
          <w:numId w:val="54"/>
        </w:numPr>
        <w:ind w:left="426" w:hanging="426"/>
        <w:jc w:val="left"/>
        <w:rPr>
          <w:b w:val="0"/>
          <w:bCs/>
          <w:sz w:val="16"/>
          <w:szCs w:val="16"/>
        </w:rPr>
      </w:pPr>
      <w:r w:rsidRPr="00A6709E">
        <w:rPr>
          <w:b w:val="0"/>
          <w:bCs/>
          <w:sz w:val="16"/>
          <w:szCs w:val="16"/>
        </w:rPr>
        <w:t xml:space="preserve">The Project was physically completed in </w:t>
      </w:r>
      <w:proofErr w:type="gramStart"/>
      <w:r w:rsidRPr="00A6709E">
        <w:rPr>
          <w:b w:val="0"/>
          <w:bCs/>
          <w:sz w:val="16"/>
          <w:szCs w:val="16"/>
        </w:rPr>
        <w:t>2009,</w:t>
      </w:r>
      <w:proofErr w:type="gramEnd"/>
      <w:r w:rsidRPr="00A6709E">
        <w:rPr>
          <w:b w:val="0"/>
          <w:bCs/>
          <w:sz w:val="16"/>
          <w:szCs w:val="16"/>
        </w:rPr>
        <w:t xml:space="preserve"> however some residual works are being delivered to improve functionality.</w:t>
      </w:r>
    </w:p>
    <w:p w:rsidR="009E60B8" w:rsidRDefault="009E60B8" w:rsidP="009E60B8">
      <w:pPr>
        <w:pStyle w:val="TableHeadingRight-BP4"/>
        <w:jc w:val="left"/>
        <w:rPr>
          <w:b w:val="0"/>
          <w:bCs/>
          <w:sz w:val="16"/>
          <w:szCs w:val="16"/>
        </w:rPr>
      </w:pPr>
    </w:p>
    <w:p w:rsidR="009E60B8" w:rsidRDefault="009E60B8" w:rsidP="009E60B8">
      <w:pPr>
        <w:pStyle w:val="TableHeadingRight-BP4"/>
        <w:jc w:val="left"/>
        <w:rPr>
          <w:b w:val="0"/>
          <w:bCs/>
          <w:sz w:val="16"/>
          <w:szCs w:val="16"/>
        </w:rPr>
      </w:pPr>
    </w:p>
    <w:p w:rsidR="006649EF" w:rsidRPr="00A6709E" w:rsidRDefault="006649EF" w:rsidP="009E60B8">
      <w:pPr>
        <w:pStyle w:val="TableHeadingRight-BP4"/>
        <w:jc w:val="left"/>
        <w:rPr>
          <w:b w:val="0"/>
          <w:bCs/>
          <w:sz w:val="16"/>
          <w:szCs w:val="16"/>
        </w:rPr>
      </w:pPr>
    </w:p>
    <w:tbl>
      <w:tblPr>
        <w:tblW w:w="9356" w:type="dxa"/>
        <w:tblLayout w:type="fixed"/>
        <w:tblCellMar>
          <w:left w:w="17" w:type="dxa"/>
          <w:right w:w="17" w:type="dxa"/>
        </w:tblCellMar>
        <w:tblLook w:val="0000"/>
      </w:tblPr>
      <w:tblGrid>
        <w:gridCol w:w="3091"/>
        <w:gridCol w:w="1043"/>
        <w:gridCol w:w="1043"/>
        <w:gridCol w:w="1043"/>
        <w:gridCol w:w="1043"/>
        <w:gridCol w:w="1043"/>
        <w:gridCol w:w="1050"/>
      </w:tblGrid>
      <w:tr w:rsidR="009E60B8" w:rsidRPr="00156EB8" w:rsidTr="00EB5C27">
        <w:trPr>
          <w:trHeight w:val="240"/>
        </w:trPr>
        <w:tc>
          <w:tcPr>
            <w:tcW w:w="3091" w:type="dxa"/>
            <w:tcBorders>
              <w:top w:val="single" w:sz="4" w:space="0" w:color="auto"/>
              <w:left w:val="nil"/>
              <w:bottom w:val="nil"/>
              <w:right w:val="nil"/>
            </w:tcBorders>
            <w:shd w:val="clear" w:color="auto" w:fill="auto"/>
            <w:vAlign w:val="bottom"/>
          </w:tcPr>
          <w:p w:rsidR="009E60B8" w:rsidRPr="00B558F4" w:rsidRDefault="009E60B8" w:rsidP="00EB5C27">
            <w:pPr>
              <w:pStyle w:val="TableHeadingRight-BP4"/>
              <w:jc w:val="left"/>
            </w:pPr>
            <w:r w:rsidRPr="00B558F4">
              <w:rPr>
                <w:bCs/>
              </w:rPr>
              <w:t>Territorial </w:t>
            </w:r>
            <w:r w:rsidRPr="00B558F4">
              <w:t> </w:t>
            </w:r>
          </w:p>
        </w:tc>
        <w:tc>
          <w:tcPr>
            <w:tcW w:w="1043" w:type="dxa"/>
            <w:tcBorders>
              <w:top w:val="single" w:sz="4" w:space="0" w:color="auto"/>
              <w:left w:val="nil"/>
              <w:bottom w:val="nil"/>
              <w:right w:val="nil"/>
            </w:tcBorders>
            <w:shd w:val="clear" w:color="auto" w:fill="auto"/>
          </w:tcPr>
          <w:p w:rsidR="009E60B8" w:rsidRPr="00B558F4" w:rsidRDefault="009E60B8" w:rsidP="00EB5C27">
            <w:pPr>
              <w:keepNext/>
              <w:jc w:val="right"/>
              <w:rPr>
                <w:b/>
                <w:sz w:val="18"/>
                <w:szCs w:val="24"/>
              </w:rPr>
            </w:pPr>
            <w:r w:rsidRPr="00B558F4">
              <w:rPr>
                <w:b/>
                <w:sz w:val="18"/>
                <w:szCs w:val="24"/>
              </w:rPr>
              <w:t>Estimated</w:t>
            </w:r>
          </w:p>
        </w:tc>
        <w:tc>
          <w:tcPr>
            <w:tcW w:w="1043" w:type="dxa"/>
            <w:tcBorders>
              <w:top w:val="single" w:sz="4" w:space="0" w:color="auto"/>
              <w:left w:val="nil"/>
              <w:bottom w:val="nil"/>
              <w:right w:val="nil"/>
            </w:tcBorders>
            <w:shd w:val="clear" w:color="auto" w:fill="auto"/>
          </w:tcPr>
          <w:p w:rsidR="009E60B8" w:rsidRPr="00B558F4" w:rsidRDefault="009E60B8" w:rsidP="00EB5C27">
            <w:pPr>
              <w:keepNext/>
              <w:jc w:val="right"/>
              <w:rPr>
                <w:b/>
                <w:sz w:val="18"/>
                <w:szCs w:val="24"/>
              </w:rPr>
            </w:pPr>
            <w:r w:rsidRPr="00B558F4">
              <w:rPr>
                <w:b/>
                <w:sz w:val="18"/>
                <w:szCs w:val="24"/>
              </w:rPr>
              <w:t>Estimated</w:t>
            </w:r>
          </w:p>
        </w:tc>
        <w:tc>
          <w:tcPr>
            <w:tcW w:w="1043" w:type="dxa"/>
            <w:tcBorders>
              <w:top w:val="single" w:sz="4" w:space="0" w:color="auto"/>
              <w:left w:val="nil"/>
              <w:bottom w:val="nil"/>
              <w:right w:val="nil"/>
            </w:tcBorders>
            <w:shd w:val="clear" w:color="auto" w:fill="auto"/>
          </w:tcPr>
          <w:p w:rsidR="009E60B8" w:rsidRPr="00B558F4" w:rsidRDefault="009E60B8" w:rsidP="00EB5C27">
            <w:pPr>
              <w:keepNext/>
              <w:jc w:val="right"/>
              <w:rPr>
                <w:b/>
                <w:sz w:val="18"/>
                <w:szCs w:val="24"/>
              </w:rPr>
            </w:pPr>
            <w:r w:rsidRPr="00B558F4">
              <w:rPr>
                <w:b/>
                <w:sz w:val="18"/>
                <w:szCs w:val="24"/>
              </w:rPr>
              <w:t>2013-14</w:t>
            </w:r>
          </w:p>
        </w:tc>
        <w:tc>
          <w:tcPr>
            <w:tcW w:w="1043" w:type="dxa"/>
            <w:tcBorders>
              <w:top w:val="single" w:sz="4" w:space="0" w:color="auto"/>
              <w:left w:val="nil"/>
              <w:bottom w:val="nil"/>
              <w:right w:val="nil"/>
            </w:tcBorders>
            <w:shd w:val="clear" w:color="auto" w:fill="auto"/>
          </w:tcPr>
          <w:p w:rsidR="009E60B8" w:rsidRPr="00B558F4" w:rsidRDefault="009E60B8" w:rsidP="00EB5C27">
            <w:pPr>
              <w:keepNext/>
              <w:jc w:val="right"/>
              <w:rPr>
                <w:b/>
                <w:sz w:val="18"/>
                <w:szCs w:val="24"/>
              </w:rPr>
            </w:pPr>
            <w:r w:rsidRPr="00B558F4">
              <w:rPr>
                <w:b/>
                <w:sz w:val="18"/>
                <w:szCs w:val="24"/>
              </w:rPr>
              <w:t>2014-15</w:t>
            </w:r>
          </w:p>
        </w:tc>
        <w:tc>
          <w:tcPr>
            <w:tcW w:w="1043" w:type="dxa"/>
            <w:tcBorders>
              <w:top w:val="single" w:sz="4" w:space="0" w:color="auto"/>
              <w:left w:val="nil"/>
              <w:bottom w:val="nil"/>
              <w:right w:val="nil"/>
            </w:tcBorders>
            <w:shd w:val="clear" w:color="auto" w:fill="auto"/>
          </w:tcPr>
          <w:p w:rsidR="009E60B8" w:rsidRPr="00B558F4" w:rsidRDefault="009E60B8" w:rsidP="00EB5C27">
            <w:pPr>
              <w:keepNext/>
              <w:jc w:val="right"/>
              <w:rPr>
                <w:b/>
                <w:sz w:val="18"/>
                <w:szCs w:val="24"/>
              </w:rPr>
            </w:pPr>
            <w:r w:rsidRPr="00B558F4">
              <w:rPr>
                <w:b/>
                <w:sz w:val="18"/>
                <w:szCs w:val="24"/>
              </w:rPr>
              <w:t>2015-16</w:t>
            </w:r>
          </w:p>
        </w:tc>
        <w:tc>
          <w:tcPr>
            <w:tcW w:w="1050" w:type="dxa"/>
            <w:tcBorders>
              <w:top w:val="single" w:sz="4" w:space="0" w:color="auto"/>
              <w:left w:val="nil"/>
              <w:bottom w:val="nil"/>
              <w:right w:val="nil"/>
            </w:tcBorders>
            <w:shd w:val="clear" w:color="auto" w:fill="auto"/>
          </w:tcPr>
          <w:p w:rsidR="009E60B8" w:rsidRPr="00B558F4" w:rsidRDefault="009E60B8" w:rsidP="00EB5C27">
            <w:pPr>
              <w:keepNext/>
              <w:jc w:val="right"/>
              <w:rPr>
                <w:b/>
                <w:sz w:val="18"/>
                <w:szCs w:val="24"/>
              </w:rPr>
            </w:pPr>
            <w:r w:rsidRPr="00B558F4">
              <w:rPr>
                <w:b/>
                <w:sz w:val="18"/>
                <w:szCs w:val="24"/>
              </w:rPr>
              <w:t>Physical</w:t>
            </w:r>
          </w:p>
        </w:tc>
      </w:tr>
      <w:tr w:rsidR="009E60B8" w:rsidRPr="00156EB8" w:rsidTr="00EB5C27">
        <w:tblPrEx>
          <w:tblCellMar>
            <w:top w:w="17" w:type="dxa"/>
          </w:tblCellMar>
        </w:tblPrEx>
        <w:trPr>
          <w:trHeight w:val="240"/>
        </w:trPr>
        <w:tc>
          <w:tcPr>
            <w:tcW w:w="3091" w:type="dxa"/>
            <w:tcBorders>
              <w:top w:val="nil"/>
              <w:left w:val="nil"/>
              <w:bottom w:val="nil"/>
              <w:right w:val="nil"/>
            </w:tcBorders>
            <w:shd w:val="clear" w:color="auto" w:fill="auto"/>
            <w:vAlign w:val="bottom"/>
          </w:tcPr>
          <w:p w:rsidR="009E60B8" w:rsidRPr="00B558F4" w:rsidRDefault="009E60B8" w:rsidP="00EB5C27">
            <w:pPr>
              <w:pStyle w:val="TableHeadingRight-BP4"/>
            </w:pPr>
          </w:p>
        </w:tc>
        <w:tc>
          <w:tcPr>
            <w:tcW w:w="1043" w:type="dxa"/>
            <w:tcBorders>
              <w:top w:val="nil"/>
              <w:left w:val="nil"/>
              <w:bottom w:val="nil"/>
              <w:right w:val="nil"/>
            </w:tcBorders>
            <w:shd w:val="clear" w:color="auto" w:fill="auto"/>
          </w:tcPr>
          <w:p w:rsidR="009E60B8" w:rsidRPr="00B558F4" w:rsidRDefault="009E60B8" w:rsidP="00EB5C27">
            <w:pPr>
              <w:keepNext/>
              <w:jc w:val="right"/>
              <w:rPr>
                <w:b/>
                <w:sz w:val="18"/>
                <w:szCs w:val="24"/>
              </w:rPr>
            </w:pPr>
            <w:r w:rsidRPr="00B558F4">
              <w:rPr>
                <w:b/>
                <w:sz w:val="18"/>
                <w:szCs w:val="24"/>
              </w:rPr>
              <w:t>Total</w:t>
            </w:r>
          </w:p>
        </w:tc>
        <w:tc>
          <w:tcPr>
            <w:tcW w:w="1043" w:type="dxa"/>
            <w:tcBorders>
              <w:top w:val="nil"/>
              <w:left w:val="nil"/>
              <w:bottom w:val="nil"/>
              <w:right w:val="nil"/>
            </w:tcBorders>
            <w:shd w:val="clear" w:color="auto" w:fill="auto"/>
          </w:tcPr>
          <w:p w:rsidR="009E60B8" w:rsidRPr="00B558F4" w:rsidRDefault="009E60B8" w:rsidP="00EB5C27">
            <w:pPr>
              <w:keepNext/>
              <w:jc w:val="right"/>
              <w:rPr>
                <w:b/>
                <w:sz w:val="18"/>
                <w:szCs w:val="24"/>
              </w:rPr>
            </w:pPr>
            <w:r w:rsidRPr="00B558F4">
              <w:rPr>
                <w:b/>
                <w:sz w:val="18"/>
                <w:szCs w:val="24"/>
              </w:rPr>
              <w:t>Expenditure</w:t>
            </w:r>
          </w:p>
        </w:tc>
        <w:tc>
          <w:tcPr>
            <w:tcW w:w="1043" w:type="dxa"/>
            <w:tcBorders>
              <w:top w:val="nil"/>
              <w:left w:val="nil"/>
              <w:bottom w:val="nil"/>
              <w:right w:val="nil"/>
            </w:tcBorders>
            <w:shd w:val="clear" w:color="auto" w:fill="auto"/>
          </w:tcPr>
          <w:p w:rsidR="009E60B8" w:rsidRPr="00B558F4" w:rsidRDefault="009E60B8" w:rsidP="00EB5C27">
            <w:pPr>
              <w:keepNext/>
              <w:jc w:val="right"/>
              <w:rPr>
                <w:b/>
                <w:sz w:val="18"/>
                <w:szCs w:val="24"/>
              </w:rPr>
            </w:pPr>
            <w:r w:rsidRPr="00B558F4">
              <w:rPr>
                <w:b/>
                <w:sz w:val="18"/>
                <w:szCs w:val="24"/>
              </w:rPr>
              <w:t>Financing</w:t>
            </w:r>
          </w:p>
        </w:tc>
        <w:tc>
          <w:tcPr>
            <w:tcW w:w="1043" w:type="dxa"/>
            <w:tcBorders>
              <w:top w:val="nil"/>
              <w:left w:val="nil"/>
              <w:bottom w:val="nil"/>
              <w:right w:val="nil"/>
            </w:tcBorders>
            <w:shd w:val="clear" w:color="auto" w:fill="auto"/>
          </w:tcPr>
          <w:p w:rsidR="009E60B8" w:rsidRPr="00B558F4" w:rsidRDefault="009E60B8" w:rsidP="00EB5C27">
            <w:pPr>
              <w:keepNext/>
              <w:jc w:val="right"/>
              <w:rPr>
                <w:b/>
                <w:sz w:val="18"/>
                <w:szCs w:val="24"/>
              </w:rPr>
            </w:pPr>
            <w:r w:rsidRPr="00B558F4">
              <w:rPr>
                <w:b/>
                <w:sz w:val="18"/>
                <w:szCs w:val="24"/>
              </w:rPr>
              <w:t>Financing</w:t>
            </w:r>
          </w:p>
        </w:tc>
        <w:tc>
          <w:tcPr>
            <w:tcW w:w="1043" w:type="dxa"/>
            <w:tcBorders>
              <w:top w:val="nil"/>
              <w:left w:val="nil"/>
              <w:bottom w:val="nil"/>
              <w:right w:val="nil"/>
            </w:tcBorders>
            <w:shd w:val="clear" w:color="auto" w:fill="auto"/>
          </w:tcPr>
          <w:p w:rsidR="009E60B8" w:rsidRPr="00B558F4" w:rsidRDefault="009E60B8" w:rsidP="00EB5C27">
            <w:pPr>
              <w:keepNext/>
              <w:jc w:val="right"/>
              <w:rPr>
                <w:b/>
                <w:sz w:val="18"/>
                <w:szCs w:val="24"/>
              </w:rPr>
            </w:pPr>
            <w:r w:rsidRPr="00B558F4">
              <w:rPr>
                <w:b/>
                <w:sz w:val="18"/>
                <w:szCs w:val="24"/>
              </w:rPr>
              <w:t>Financing</w:t>
            </w:r>
          </w:p>
        </w:tc>
        <w:tc>
          <w:tcPr>
            <w:tcW w:w="1050" w:type="dxa"/>
            <w:tcBorders>
              <w:top w:val="nil"/>
              <w:left w:val="nil"/>
              <w:bottom w:val="nil"/>
              <w:right w:val="nil"/>
            </w:tcBorders>
            <w:shd w:val="clear" w:color="auto" w:fill="auto"/>
          </w:tcPr>
          <w:p w:rsidR="009E60B8" w:rsidRPr="00B558F4" w:rsidRDefault="009E60B8" w:rsidP="00EB5C27">
            <w:pPr>
              <w:keepNext/>
              <w:jc w:val="right"/>
              <w:rPr>
                <w:b/>
                <w:sz w:val="18"/>
                <w:szCs w:val="24"/>
              </w:rPr>
            </w:pPr>
            <w:r w:rsidRPr="00B558F4">
              <w:rPr>
                <w:b/>
                <w:sz w:val="18"/>
                <w:szCs w:val="24"/>
              </w:rPr>
              <w:t>Completion</w:t>
            </w:r>
          </w:p>
        </w:tc>
      </w:tr>
      <w:tr w:rsidR="009E60B8" w:rsidRPr="00156EB8" w:rsidTr="00EB5C27">
        <w:tblPrEx>
          <w:tblCellMar>
            <w:top w:w="17" w:type="dxa"/>
          </w:tblCellMar>
        </w:tblPrEx>
        <w:trPr>
          <w:trHeight w:val="240"/>
        </w:trPr>
        <w:tc>
          <w:tcPr>
            <w:tcW w:w="3091" w:type="dxa"/>
            <w:tcBorders>
              <w:top w:val="nil"/>
              <w:left w:val="nil"/>
              <w:bottom w:val="nil"/>
              <w:right w:val="nil"/>
            </w:tcBorders>
            <w:shd w:val="clear" w:color="auto" w:fill="auto"/>
            <w:vAlign w:val="bottom"/>
          </w:tcPr>
          <w:p w:rsidR="009E60B8" w:rsidRPr="00B558F4" w:rsidRDefault="009E60B8" w:rsidP="00EB5C27">
            <w:pPr>
              <w:pStyle w:val="TableHeadingRight-BP4"/>
            </w:pPr>
          </w:p>
        </w:tc>
        <w:tc>
          <w:tcPr>
            <w:tcW w:w="1043" w:type="dxa"/>
            <w:tcBorders>
              <w:top w:val="nil"/>
              <w:left w:val="nil"/>
              <w:bottom w:val="nil"/>
              <w:right w:val="nil"/>
            </w:tcBorders>
            <w:shd w:val="clear" w:color="auto" w:fill="auto"/>
          </w:tcPr>
          <w:p w:rsidR="009E60B8" w:rsidRPr="00B558F4" w:rsidRDefault="009E60B8" w:rsidP="00EB5C27">
            <w:pPr>
              <w:keepNext/>
              <w:jc w:val="right"/>
              <w:rPr>
                <w:b/>
                <w:sz w:val="18"/>
                <w:szCs w:val="24"/>
              </w:rPr>
            </w:pPr>
            <w:r w:rsidRPr="00B558F4">
              <w:rPr>
                <w:b/>
                <w:sz w:val="18"/>
                <w:szCs w:val="24"/>
              </w:rPr>
              <w:t>Cost</w:t>
            </w:r>
          </w:p>
        </w:tc>
        <w:tc>
          <w:tcPr>
            <w:tcW w:w="1043" w:type="dxa"/>
            <w:tcBorders>
              <w:top w:val="nil"/>
              <w:left w:val="nil"/>
              <w:bottom w:val="nil"/>
              <w:right w:val="nil"/>
            </w:tcBorders>
            <w:shd w:val="clear" w:color="auto" w:fill="auto"/>
          </w:tcPr>
          <w:p w:rsidR="009E60B8" w:rsidRPr="00B558F4" w:rsidRDefault="009E60B8" w:rsidP="00EB5C27">
            <w:pPr>
              <w:keepNext/>
              <w:jc w:val="right"/>
              <w:rPr>
                <w:b/>
                <w:sz w:val="18"/>
                <w:szCs w:val="24"/>
              </w:rPr>
            </w:pPr>
            <w:r w:rsidRPr="00B558F4">
              <w:rPr>
                <w:b/>
                <w:sz w:val="18"/>
                <w:szCs w:val="24"/>
              </w:rPr>
              <w:t>Pre 2013-14</w:t>
            </w:r>
          </w:p>
        </w:tc>
        <w:tc>
          <w:tcPr>
            <w:tcW w:w="1043" w:type="dxa"/>
            <w:tcBorders>
              <w:top w:val="nil"/>
              <w:left w:val="nil"/>
              <w:bottom w:val="nil"/>
              <w:right w:val="nil"/>
            </w:tcBorders>
            <w:shd w:val="clear" w:color="auto" w:fill="auto"/>
          </w:tcPr>
          <w:p w:rsidR="009E60B8" w:rsidRPr="00B558F4" w:rsidRDefault="009E60B8" w:rsidP="00EB5C27">
            <w:pPr>
              <w:keepNext/>
              <w:jc w:val="right"/>
              <w:rPr>
                <w:b/>
                <w:sz w:val="18"/>
                <w:szCs w:val="24"/>
              </w:rPr>
            </w:pPr>
          </w:p>
        </w:tc>
        <w:tc>
          <w:tcPr>
            <w:tcW w:w="1043" w:type="dxa"/>
            <w:tcBorders>
              <w:top w:val="nil"/>
              <w:left w:val="nil"/>
              <w:bottom w:val="nil"/>
              <w:right w:val="nil"/>
            </w:tcBorders>
            <w:shd w:val="clear" w:color="auto" w:fill="auto"/>
          </w:tcPr>
          <w:p w:rsidR="009E60B8" w:rsidRPr="00B558F4" w:rsidRDefault="009E60B8" w:rsidP="00EB5C27">
            <w:pPr>
              <w:keepNext/>
              <w:jc w:val="right"/>
              <w:rPr>
                <w:b/>
                <w:sz w:val="18"/>
                <w:szCs w:val="24"/>
              </w:rPr>
            </w:pPr>
          </w:p>
        </w:tc>
        <w:tc>
          <w:tcPr>
            <w:tcW w:w="1043" w:type="dxa"/>
            <w:tcBorders>
              <w:top w:val="nil"/>
              <w:left w:val="nil"/>
              <w:bottom w:val="nil"/>
              <w:right w:val="nil"/>
            </w:tcBorders>
            <w:shd w:val="clear" w:color="auto" w:fill="auto"/>
          </w:tcPr>
          <w:p w:rsidR="009E60B8" w:rsidRPr="00B558F4" w:rsidRDefault="009E60B8" w:rsidP="00EB5C27">
            <w:pPr>
              <w:keepNext/>
              <w:jc w:val="right"/>
              <w:rPr>
                <w:b/>
                <w:sz w:val="18"/>
                <w:szCs w:val="24"/>
              </w:rPr>
            </w:pPr>
          </w:p>
        </w:tc>
        <w:tc>
          <w:tcPr>
            <w:tcW w:w="1050" w:type="dxa"/>
            <w:tcBorders>
              <w:top w:val="nil"/>
              <w:left w:val="nil"/>
              <w:bottom w:val="nil"/>
              <w:right w:val="nil"/>
            </w:tcBorders>
            <w:shd w:val="clear" w:color="auto" w:fill="auto"/>
          </w:tcPr>
          <w:p w:rsidR="009E60B8" w:rsidRPr="00B558F4" w:rsidRDefault="009E60B8" w:rsidP="00EB5C27">
            <w:pPr>
              <w:keepNext/>
              <w:jc w:val="right"/>
              <w:rPr>
                <w:b/>
                <w:sz w:val="18"/>
                <w:szCs w:val="24"/>
              </w:rPr>
            </w:pPr>
            <w:r w:rsidRPr="00B558F4">
              <w:rPr>
                <w:b/>
                <w:sz w:val="18"/>
                <w:szCs w:val="24"/>
              </w:rPr>
              <w:t>Date</w:t>
            </w:r>
          </w:p>
        </w:tc>
      </w:tr>
      <w:tr w:rsidR="009E60B8" w:rsidRPr="00156EB8" w:rsidTr="00EB5C27">
        <w:trPr>
          <w:trHeight w:val="240"/>
        </w:trPr>
        <w:tc>
          <w:tcPr>
            <w:tcW w:w="3091" w:type="dxa"/>
            <w:tcBorders>
              <w:top w:val="nil"/>
              <w:left w:val="nil"/>
              <w:bottom w:val="single" w:sz="4" w:space="0" w:color="auto"/>
              <w:right w:val="nil"/>
            </w:tcBorders>
            <w:shd w:val="clear" w:color="auto" w:fill="auto"/>
            <w:vAlign w:val="bottom"/>
          </w:tcPr>
          <w:p w:rsidR="009E60B8" w:rsidRPr="00B558F4" w:rsidRDefault="009E60B8" w:rsidP="00EB5C27">
            <w:pPr>
              <w:pStyle w:val="TableHeadingRight-BP4"/>
              <w:jc w:val="left"/>
            </w:pPr>
          </w:p>
        </w:tc>
        <w:tc>
          <w:tcPr>
            <w:tcW w:w="1043" w:type="dxa"/>
            <w:tcBorders>
              <w:top w:val="nil"/>
              <w:left w:val="nil"/>
              <w:bottom w:val="single" w:sz="4" w:space="0" w:color="auto"/>
              <w:right w:val="nil"/>
            </w:tcBorders>
            <w:shd w:val="clear" w:color="auto" w:fill="auto"/>
          </w:tcPr>
          <w:p w:rsidR="009E60B8" w:rsidRPr="00B558F4" w:rsidRDefault="009E60B8" w:rsidP="00EB5C27">
            <w:pPr>
              <w:keepNext/>
              <w:jc w:val="right"/>
              <w:rPr>
                <w:b/>
                <w:sz w:val="18"/>
                <w:szCs w:val="24"/>
              </w:rPr>
            </w:pPr>
            <w:r w:rsidRPr="00B558F4">
              <w:rPr>
                <w:b/>
                <w:sz w:val="18"/>
                <w:szCs w:val="24"/>
              </w:rPr>
              <w:t>$’000</w:t>
            </w:r>
          </w:p>
        </w:tc>
        <w:tc>
          <w:tcPr>
            <w:tcW w:w="1043" w:type="dxa"/>
            <w:tcBorders>
              <w:top w:val="nil"/>
              <w:left w:val="nil"/>
              <w:bottom w:val="single" w:sz="4" w:space="0" w:color="auto"/>
              <w:right w:val="nil"/>
            </w:tcBorders>
            <w:shd w:val="clear" w:color="auto" w:fill="auto"/>
          </w:tcPr>
          <w:p w:rsidR="009E60B8" w:rsidRPr="00B558F4" w:rsidRDefault="009E60B8" w:rsidP="00EB5C27">
            <w:pPr>
              <w:keepNext/>
              <w:jc w:val="right"/>
              <w:rPr>
                <w:b/>
                <w:sz w:val="18"/>
                <w:szCs w:val="24"/>
              </w:rPr>
            </w:pPr>
            <w:r w:rsidRPr="00B558F4">
              <w:rPr>
                <w:b/>
                <w:sz w:val="18"/>
                <w:szCs w:val="24"/>
              </w:rPr>
              <w:t>$’000</w:t>
            </w:r>
          </w:p>
        </w:tc>
        <w:tc>
          <w:tcPr>
            <w:tcW w:w="1043" w:type="dxa"/>
            <w:tcBorders>
              <w:top w:val="nil"/>
              <w:left w:val="nil"/>
              <w:bottom w:val="single" w:sz="4" w:space="0" w:color="auto"/>
              <w:right w:val="nil"/>
            </w:tcBorders>
            <w:shd w:val="clear" w:color="auto" w:fill="auto"/>
          </w:tcPr>
          <w:p w:rsidR="009E60B8" w:rsidRPr="00B558F4" w:rsidRDefault="009E60B8" w:rsidP="00EB5C27">
            <w:pPr>
              <w:keepNext/>
              <w:jc w:val="right"/>
              <w:rPr>
                <w:b/>
                <w:sz w:val="18"/>
                <w:szCs w:val="24"/>
              </w:rPr>
            </w:pPr>
            <w:r w:rsidRPr="00B558F4">
              <w:rPr>
                <w:b/>
                <w:sz w:val="18"/>
                <w:szCs w:val="24"/>
              </w:rPr>
              <w:t>$’000</w:t>
            </w:r>
          </w:p>
        </w:tc>
        <w:tc>
          <w:tcPr>
            <w:tcW w:w="1043" w:type="dxa"/>
            <w:tcBorders>
              <w:top w:val="nil"/>
              <w:left w:val="nil"/>
              <w:bottom w:val="single" w:sz="4" w:space="0" w:color="auto"/>
              <w:right w:val="nil"/>
            </w:tcBorders>
            <w:shd w:val="clear" w:color="auto" w:fill="auto"/>
          </w:tcPr>
          <w:p w:rsidR="009E60B8" w:rsidRPr="00B558F4" w:rsidRDefault="009E60B8" w:rsidP="00EB5C27">
            <w:pPr>
              <w:keepNext/>
              <w:jc w:val="right"/>
              <w:rPr>
                <w:b/>
                <w:sz w:val="18"/>
                <w:szCs w:val="24"/>
              </w:rPr>
            </w:pPr>
            <w:r w:rsidRPr="00B558F4">
              <w:rPr>
                <w:b/>
                <w:sz w:val="18"/>
                <w:szCs w:val="24"/>
              </w:rPr>
              <w:t>$’000</w:t>
            </w:r>
          </w:p>
        </w:tc>
        <w:tc>
          <w:tcPr>
            <w:tcW w:w="1043" w:type="dxa"/>
            <w:tcBorders>
              <w:top w:val="nil"/>
              <w:left w:val="nil"/>
              <w:bottom w:val="single" w:sz="4" w:space="0" w:color="auto"/>
              <w:right w:val="nil"/>
            </w:tcBorders>
            <w:shd w:val="clear" w:color="auto" w:fill="auto"/>
          </w:tcPr>
          <w:p w:rsidR="009E60B8" w:rsidRPr="00B558F4" w:rsidRDefault="009E60B8" w:rsidP="00EB5C27">
            <w:pPr>
              <w:keepNext/>
              <w:jc w:val="right"/>
              <w:rPr>
                <w:b/>
                <w:sz w:val="18"/>
                <w:szCs w:val="24"/>
              </w:rPr>
            </w:pPr>
            <w:r w:rsidRPr="00B558F4">
              <w:rPr>
                <w:b/>
                <w:sz w:val="18"/>
                <w:szCs w:val="24"/>
              </w:rPr>
              <w:t>$’000</w:t>
            </w:r>
          </w:p>
        </w:tc>
        <w:tc>
          <w:tcPr>
            <w:tcW w:w="1050" w:type="dxa"/>
            <w:tcBorders>
              <w:top w:val="nil"/>
              <w:left w:val="nil"/>
              <w:bottom w:val="single" w:sz="4" w:space="0" w:color="auto"/>
              <w:right w:val="nil"/>
            </w:tcBorders>
            <w:shd w:val="clear" w:color="auto" w:fill="auto"/>
          </w:tcPr>
          <w:p w:rsidR="009E60B8" w:rsidRPr="00B558F4" w:rsidRDefault="009E60B8" w:rsidP="00EB5C27">
            <w:pPr>
              <w:keepNext/>
              <w:jc w:val="right"/>
              <w:rPr>
                <w:b/>
                <w:sz w:val="18"/>
                <w:szCs w:val="24"/>
              </w:rPr>
            </w:pPr>
            <w:r w:rsidRPr="00B558F4">
              <w:rPr>
                <w:b/>
                <w:sz w:val="18"/>
                <w:szCs w:val="24"/>
              </w:rPr>
              <w:t> </w:t>
            </w:r>
          </w:p>
        </w:tc>
      </w:tr>
      <w:tr w:rsidR="009E60B8" w:rsidRPr="00156EB8" w:rsidTr="00EB5C27">
        <w:trPr>
          <w:trHeight w:val="240"/>
        </w:trPr>
        <w:tc>
          <w:tcPr>
            <w:tcW w:w="3091" w:type="dxa"/>
            <w:tcBorders>
              <w:top w:val="nil"/>
              <w:left w:val="nil"/>
              <w:bottom w:val="nil"/>
              <w:right w:val="nil"/>
            </w:tcBorders>
          </w:tcPr>
          <w:p w:rsidR="009E60B8" w:rsidRPr="00B558F4" w:rsidRDefault="009E60B8" w:rsidP="00EB5C27">
            <w:pPr>
              <w:pStyle w:val="TableHeadingLeft-BP4"/>
              <w:rPr>
                <w:rFonts w:asciiTheme="minorHAnsi" w:hAnsiTheme="minorHAnsi" w:cstheme="minorHAnsi"/>
                <w:szCs w:val="18"/>
              </w:rPr>
            </w:pPr>
          </w:p>
        </w:tc>
        <w:tc>
          <w:tcPr>
            <w:tcW w:w="1043" w:type="dxa"/>
            <w:tcBorders>
              <w:top w:val="nil"/>
              <w:left w:val="nil"/>
              <w:bottom w:val="nil"/>
              <w:right w:val="nil"/>
            </w:tcBorders>
          </w:tcPr>
          <w:p w:rsidR="009E60B8" w:rsidRPr="00B558F4" w:rsidRDefault="009E60B8" w:rsidP="00EB5C27">
            <w:pPr>
              <w:pStyle w:val="TableNumbersRight"/>
              <w:rPr>
                <w:rFonts w:asciiTheme="minorHAnsi" w:hAnsiTheme="minorHAnsi" w:cstheme="minorHAnsi"/>
                <w:sz w:val="18"/>
                <w:szCs w:val="18"/>
              </w:rPr>
            </w:pPr>
          </w:p>
        </w:tc>
        <w:tc>
          <w:tcPr>
            <w:tcW w:w="1043" w:type="dxa"/>
            <w:tcBorders>
              <w:top w:val="nil"/>
              <w:left w:val="nil"/>
              <w:bottom w:val="nil"/>
              <w:right w:val="nil"/>
            </w:tcBorders>
          </w:tcPr>
          <w:p w:rsidR="009E60B8" w:rsidRPr="00B558F4" w:rsidRDefault="009E60B8" w:rsidP="00EB5C27">
            <w:pPr>
              <w:pStyle w:val="TableNumbersRight"/>
              <w:rPr>
                <w:rFonts w:asciiTheme="minorHAnsi" w:hAnsiTheme="minorHAnsi" w:cstheme="minorHAnsi"/>
                <w:sz w:val="18"/>
                <w:szCs w:val="18"/>
              </w:rPr>
            </w:pPr>
          </w:p>
        </w:tc>
        <w:tc>
          <w:tcPr>
            <w:tcW w:w="1043" w:type="dxa"/>
            <w:tcBorders>
              <w:top w:val="nil"/>
              <w:left w:val="nil"/>
              <w:bottom w:val="nil"/>
              <w:right w:val="nil"/>
            </w:tcBorders>
          </w:tcPr>
          <w:p w:rsidR="009E60B8" w:rsidRPr="00B558F4" w:rsidRDefault="009E60B8" w:rsidP="00EB5C27">
            <w:pPr>
              <w:pStyle w:val="TableNumbersRight"/>
              <w:rPr>
                <w:rFonts w:asciiTheme="minorHAnsi" w:hAnsiTheme="minorHAnsi" w:cstheme="minorHAnsi"/>
                <w:sz w:val="18"/>
                <w:szCs w:val="18"/>
              </w:rPr>
            </w:pPr>
          </w:p>
        </w:tc>
        <w:tc>
          <w:tcPr>
            <w:tcW w:w="1043" w:type="dxa"/>
            <w:tcBorders>
              <w:top w:val="nil"/>
              <w:left w:val="nil"/>
              <w:bottom w:val="nil"/>
              <w:right w:val="nil"/>
            </w:tcBorders>
          </w:tcPr>
          <w:p w:rsidR="009E60B8" w:rsidRPr="00B558F4" w:rsidRDefault="009E60B8" w:rsidP="00EB5C27">
            <w:pPr>
              <w:pStyle w:val="TableNumbersRight"/>
              <w:rPr>
                <w:rFonts w:asciiTheme="minorHAnsi" w:hAnsiTheme="minorHAnsi" w:cstheme="minorHAnsi"/>
                <w:sz w:val="18"/>
                <w:szCs w:val="18"/>
              </w:rPr>
            </w:pPr>
          </w:p>
        </w:tc>
        <w:tc>
          <w:tcPr>
            <w:tcW w:w="1043" w:type="dxa"/>
            <w:tcBorders>
              <w:top w:val="nil"/>
              <w:left w:val="nil"/>
              <w:bottom w:val="nil"/>
              <w:right w:val="nil"/>
            </w:tcBorders>
          </w:tcPr>
          <w:p w:rsidR="009E60B8" w:rsidRPr="00B558F4" w:rsidRDefault="009E60B8" w:rsidP="00EB5C27">
            <w:pPr>
              <w:pStyle w:val="TableNumbersRight"/>
              <w:rPr>
                <w:rFonts w:asciiTheme="minorHAnsi" w:hAnsiTheme="minorHAnsi" w:cstheme="minorHAnsi"/>
                <w:sz w:val="18"/>
                <w:szCs w:val="18"/>
              </w:rPr>
            </w:pPr>
          </w:p>
        </w:tc>
        <w:tc>
          <w:tcPr>
            <w:tcW w:w="1050" w:type="dxa"/>
            <w:tcBorders>
              <w:top w:val="nil"/>
              <w:left w:val="nil"/>
              <w:bottom w:val="nil"/>
              <w:right w:val="nil"/>
            </w:tcBorders>
          </w:tcPr>
          <w:p w:rsidR="009E60B8" w:rsidRPr="00B558F4" w:rsidRDefault="009E60B8" w:rsidP="00EB5C27">
            <w:pPr>
              <w:pStyle w:val="TableNumbersRight"/>
              <w:rPr>
                <w:rFonts w:asciiTheme="minorHAnsi" w:hAnsiTheme="minorHAnsi" w:cstheme="minorHAnsi"/>
                <w:sz w:val="18"/>
                <w:szCs w:val="18"/>
              </w:rPr>
            </w:pPr>
          </w:p>
        </w:tc>
      </w:tr>
      <w:tr w:rsidR="009E60B8" w:rsidRPr="00156EB8" w:rsidTr="00EB5C27">
        <w:trPr>
          <w:trHeight w:val="240"/>
        </w:trPr>
        <w:tc>
          <w:tcPr>
            <w:tcW w:w="3091" w:type="dxa"/>
            <w:tcBorders>
              <w:top w:val="nil"/>
              <w:left w:val="nil"/>
              <w:bottom w:val="nil"/>
              <w:right w:val="nil"/>
            </w:tcBorders>
            <w:shd w:val="clear" w:color="auto" w:fill="auto"/>
          </w:tcPr>
          <w:p w:rsidR="009E60B8" w:rsidRPr="00B558F4" w:rsidRDefault="009E60B8" w:rsidP="00EB5C27">
            <w:pPr>
              <w:pStyle w:val="TableHeadingLeft-BP4"/>
            </w:pPr>
            <w:r w:rsidRPr="00B558F4">
              <w:t>Capital Upgrades</w:t>
            </w:r>
          </w:p>
        </w:tc>
        <w:tc>
          <w:tcPr>
            <w:tcW w:w="1043" w:type="dxa"/>
            <w:tcBorders>
              <w:top w:val="nil"/>
              <w:left w:val="nil"/>
              <w:bottom w:val="nil"/>
              <w:right w:val="nil"/>
            </w:tcBorders>
            <w:shd w:val="clear" w:color="auto" w:fill="auto"/>
          </w:tcPr>
          <w:p w:rsidR="009E60B8" w:rsidRPr="00B558F4" w:rsidRDefault="009E60B8" w:rsidP="00EB5C27">
            <w:pPr>
              <w:pStyle w:val="TableNumbersRight-BP4"/>
            </w:pPr>
          </w:p>
        </w:tc>
        <w:tc>
          <w:tcPr>
            <w:tcW w:w="1043" w:type="dxa"/>
            <w:tcBorders>
              <w:top w:val="nil"/>
              <w:left w:val="nil"/>
              <w:bottom w:val="nil"/>
              <w:right w:val="nil"/>
            </w:tcBorders>
            <w:shd w:val="clear" w:color="auto" w:fill="auto"/>
          </w:tcPr>
          <w:p w:rsidR="009E60B8" w:rsidRPr="00B558F4" w:rsidRDefault="009E60B8" w:rsidP="00EB5C27">
            <w:pPr>
              <w:pStyle w:val="TableNumbersRight-BP4"/>
            </w:pPr>
          </w:p>
        </w:tc>
        <w:tc>
          <w:tcPr>
            <w:tcW w:w="1043" w:type="dxa"/>
            <w:tcBorders>
              <w:top w:val="nil"/>
              <w:left w:val="nil"/>
              <w:bottom w:val="nil"/>
              <w:right w:val="nil"/>
            </w:tcBorders>
            <w:shd w:val="clear" w:color="auto" w:fill="auto"/>
          </w:tcPr>
          <w:p w:rsidR="009E60B8" w:rsidRPr="00B558F4" w:rsidRDefault="009E60B8" w:rsidP="00EB5C27">
            <w:pPr>
              <w:pStyle w:val="TableNumbersRight-BP4"/>
            </w:pPr>
          </w:p>
        </w:tc>
        <w:tc>
          <w:tcPr>
            <w:tcW w:w="1043" w:type="dxa"/>
            <w:tcBorders>
              <w:top w:val="nil"/>
              <w:left w:val="nil"/>
              <w:bottom w:val="nil"/>
              <w:right w:val="nil"/>
            </w:tcBorders>
            <w:shd w:val="clear" w:color="auto" w:fill="auto"/>
          </w:tcPr>
          <w:p w:rsidR="009E60B8" w:rsidRPr="00B558F4" w:rsidRDefault="009E60B8" w:rsidP="00EB5C27">
            <w:pPr>
              <w:pStyle w:val="TableNumbersRight-BP4"/>
            </w:pPr>
          </w:p>
        </w:tc>
        <w:tc>
          <w:tcPr>
            <w:tcW w:w="1043" w:type="dxa"/>
            <w:tcBorders>
              <w:top w:val="nil"/>
              <w:left w:val="nil"/>
              <w:bottom w:val="nil"/>
              <w:right w:val="nil"/>
            </w:tcBorders>
            <w:shd w:val="clear" w:color="auto" w:fill="auto"/>
          </w:tcPr>
          <w:p w:rsidR="009E60B8" w:rsidRPr="00B558F4" w:rsidRDefault="009E60B8" w:rsidP="00EB5C27">
            <w:pPr>
              <w:pStyle w:val="TableNumbersRight-BP4"/>
            </w:pPr>
          </w:p>
        </w:tc>
        <w:tc>
          <w:tcPr>
            <w:tcW w:w="1050" w:type="dxa"/>
            <w:tcBorders>
              <w:top w:val="nil"/>
              <w:left w:val="nil"/>
              <w:bottom w:val="nil"/>
              <w:right w:val="nil"/>
            </w:tcBorders>
            <w:shd w:val="clear" w:color="auto" w:fill="auto"/>
          </w:tcPr>
          <w:p w:rsidR="009E60B8" w:rsidRPr="00B558F4" w:rsidRDefault="009E60B8" w:rsidP="00EB5C27">
            <w:pPr>
              <w:pStyle w:val="TableNumbersRight-BP4"/>
            </w:pPr>
          </w:p>
        </w:tc>
      </w:tr>
      <w:tr w:rsidR="009E60B8" w:rsidRPr="00156EB8" w:rsidTr="00EB5C27">
        <w:trPr>
          <w:trHeight w:val="240"/>
        </w:trPr>
        <w:tc>
          <w:tcPr>
            <w:tcW w:w="3091" w:type="dxa"/>
            <w:tcBorders>
              <w:top w:val="nil"/>
              <w:left w:val="nil"/>
              <w:right w:val="nil"/>
            </w:tcBorders>
            <w:shd w:val="clear" w:color="auto" w:fill="auto"/>
          </w:tcPr>
          <w:p w:rsidR="009E60B8" w:rsidRPr="00B558F4" w:rsidRDefault="009E60B8" w:rsidP="00EB5C27">
            <w:pPr>
              <w:pStyle w:val="TableTextLeft-BP4"/>
            </w:pPr>
            <w:r w:rsidRPr="00B558F4">
              <w:t>ACT Policing Facilities and Security Upgrades</w:t>
            </w:r>
          </w:p>
        </w:tc>
        <w:tc>
          <w:tcPr>
            <w:tcW w:w="1043" w:type="dxa"/>
            <w:tcBorders>
              <w:top w:val="nil"/>
              <w:left w:val="nil"/>
              <w:right w:val="nil"/>
            </w:tcBorders>
            <w:shd w:val="clear" w:color="auto" w:fill="auto"/>
          </w:tcPr>
          <w:p w:rsidR="009E60B8" w:rsidRPr="00B558F4" w:rsidRDefault="009E60B8" w:rsidP="00EB5C27">
            <w:pPr>
              <w:pStyle w:val="TableNumbersRight-BP4"/>
            </w:pPr>
            <w:r w:rsidRPr="00B558F4">
              <w:t>240</w:t>
            </w:r>
          </w:p>
        </w:tc>
        <w:tc>
          <w:tcPr>
            <w:tcW w:w="1043" w:type="dxa"/>
            <w:tcBorders>
              <w:top w:val="nil"/>
              <w:left w:val="nil"/>
              <w:right w:val="nil"/>
            </w:tcBorders>
            <w:shd w:val="clear" w:color="auto" w:fill="auto"/>
          </w:tcPr>
          <w:p w:rsidR="009E60B8" w:rsidRPr="00B558F4" w:rsidRDefault="009E60B8" w:rsidP="00EB5C27">
            <w:pPr>
              <w:pStyle w:val="TableNumbersRight-BP4"/>
            </w:pPr>
            <w:r w:rsidRPr="00B558F4">
              <w:t>- </w:t>
            </w:r>
          </w:p>
        </w:tc>
        <w:tc>
          <w:tcPr>
            <w:tcW w:w="1043" w:type="dxa"/>
            <w:tcBorders>
              <w:top w:val="nil"/>
              <w:left w:val="nil"/>
              <w:right w:val="nil"/>
            </w:tcBorders>
            <w:shd w:val="clear" w:color="auto" w:fill="auto"/>
          </w:tcPr>
          <w:p w:rsidR="009E60B8" w:rsidRPr="00B558F4" w:rsidRDefault="009E60B8" w:rsidP="00EB5C27">
            <w:pPr>
              <w:pStyle w:val="TableNumbersRight-BP4"/>
            </w:pPr>
            <w:r w:rsidRPr="00B558F4">
              <w:t>240</w:t>
            </w:r>
          </w:p>
        </w:tc>
        <w:tc>
          <w:tcPr>
            <w:tcW w:w="1043" w:type="dxa"/>
            <w:tcBorders>
              <w:top w:val="nil"/>
              <w:left w:val="nil"/>
              <w:right w:val="nil"/>
            </w:tcBorders>
            <w:shd w:val="clear" w:color="auto" w:fill="auto"/>
          </w:tcPr>
          <w:p w:rsidR="009E60B8" w:rsidRPr="00B558F4" w:rsidRDefault="009E60B8" w:rsidP="00EB5C27">
            <w:pPr>
              <w:pStyle w:val="TableNumbersRight-BP4"/>
              <w:rPr>
                <w:b/>
                <w:bCs/>
              </w:rPr>
            </w:pPr>
            <w:r w:rsidRPr="00B558F4">
              <w:rPr>
                <w:b/>
                <w:bCs/>
              </w:rPr>
              <w:t>- </w:t>
            </w:r>
          </w:p>
        </w:tc>
        <w:tc>
          <w:tcPr>
            <w:tcW w:w="1043" w:type="dxa"/>
            <w:tcBorders>
              <w:top w:val="nil"/>
              <w:left w:val="nil"/>
              <w:right w:val="nil"/>
            </w:tcBorders>
            <w:shd w:val="clear" w:color="auto" w:fill="auto"/>
          </w:tcPr>
          <w:p w:rsidR="009E60B8" w:rsidRPr="00B558F4" w:rsidRDefault="009E60B8" w:rsidP="00EB5C27">
            <w:pPr>
              <w:pStyle w:val="TableNumbersRight-BP4"/>
              <w:rPr>
                <w:b/>
                <w:bCs/>
              </w:rPr>
            </w:pPr>
            <w:r w:rsidRPr="00B558F4">
              <w:rPr>
                <w:b/>
                <w:bCs/>
              </w:rPr>
              <w:t>- </w:t>
            </w:r>
          </w:p>
        </w:tc>
        <w:tc>
          <w:tcPr>
            <w:tcW w:w="1050" w:type="dxa"/>
            <w:tcBorders>
              <w:top w:val="nil"/>
              <w:left w:val="nil"/>
              <w:right w:val="nil"/>
            </w:tcBorders>
            <w:shd w:val="clear" w:color="auto" w:fill="auto"/>
          </w:tcPr>
          <w:p w:rsidR="009E60B8" w:rsidRPr="00B558F4" w:rsidRDefault="009E60B8" w:rsidP="00EB5C27">
            <w:pPr>
              <w:pStyle w:val="TableNumbersRight-BP4"/>
            </w:pPr>
          </w:p>
        </w:tc>
      </w:tr>
      <w:tr w:rsidR="009E60B8" w:rsidRPr="00156EB8" w:rsidTr="00EB5C27">
        <w:tblPrEx>
          <w:tblCellMar>
            <w:left w:w="0" w:type="dxa"/>
            <w:right w:w="0" w:type="dxa"/>
          </w:tblCellMar>
        </w:tblPrEx>
        <w:trPr>
          <w:trHeight w:val="240"/>
        </w:trPr>
        <w:tc>
          <w:tcPr>
            <w:tcW w:w="3091" w:type="dxa"/>
            <w:tcBorders>
              <w:top w:val="nil"/>
              <w:left w:val="nil"/>
              <w:bottom w:val="nil"/>
              <w:right w:val="nil"/>
            </w:tcBorders>
            <w:shd w:val="clear" w:color="auto" w:fill="auto"/>
          </w:tcPr>
          <w:p w:rsidR="009E60B8" w:rsidRPr="00B558F4" w:rsidRDefault="009E60B8" w:rsidP="00EB5C27">
            <w:pPr>
              <w:pStyle w:val="TableHeadingLeft-BP4"/>
            </w:pPr>
            <w:r w:rsidRPr="00B558F4">
              <w:t>Total Capital Upgrades</w:t>
            </w:r>
          </w:p>
        </w:tc>
        <w:tc>
          <w:tcPr>
            <w:tcW w:w="1043" w:type="dxa"/>
            <w:tcBorders>
              <w:top w:val="nil"/>
              <w:left w:val="nil"/>
              <w:bottom w:val="nil"/>
              <w:right w:val="nil"/>
            </w:tcBorders>
            <w:shd w:val="clear" w:color="auto" w:fill="auto"/>
          </w:tcPr>
          <w:p w:rsidR="009E60B8" w:rsidRPr="00B558F4" w:rsidRDefault="009E60B8" w:rsidP="00EB5C27">
            <w:pPr>
              <w:pStyle w:val="TableNumbersRight-BP4"/>
              <w:rPr>
                <w:b/>
                <w:bCs/>
              </w:rPr>
            </w:pPr>
            <w:r w:rsidRPr="00B558F4">
              <w:rPr>
                <w:b/>
                <w:bCs/>
              </w:rPr>
              <w:t>240</w:t>
            </w:r>
          </w:p>
        </w:tc>
        <w:tc>
          <w:tcPr>
            <w:tcW w:w="1043" w:type="dxa"/>
            <w:tcBorders>
              <w:top w:val="nil"/>
              <w:left w:val="nil"/>
              <w:bottom w:val="nil"/>
              <w:right w:val="nil"/>
            </w:tcBorders>
            <w:shd w:val="clear" w:color="auto" w:fill="auto"/>
          </w:tcPr>
          <w:p w:rsidR="009E60B8" w:rsidRPr="00B558F4" w:rsidRDefault="009E60B8" w:rsidP="00EB5C27">
            <w:pPr>
              <w:pStyle w:val="TableNumbersRight-BP4"/>
              <w:rPr>
                <w:b/>
                <w:bCs/>
              </w:rPr>
            </w:pPr>
            <w:r w:rsidRPr="00B558F4">
              <w:rPr>
                <w:b/>
                <w:bCs/>
              </w:rPr>
              <w:t>- </w:t>
            </w:r>
          </w:p>
        </w:tc>
        <w:tc>
          <w:tcPr>
            <w:tcW w:w="1043" w:type="dxa"/>
            <w:tcBorders>
              <w:top w:val="nil"/>
              <w:left w:val="nil"/>
              <w:bottom w:val="nil"/>
              <w:right w:val="nil"/>
            </w:tcBorders>
            <w:shd w:val="clear" w:color="auto" w:fill="auto"/>
          </w:tcPr>
          <w:p w:rsidR="009E60B8" w:rsidRPr="00B558F4" w:rsidRDefault="009E60B8" w:rsidP="00EB5C27">
            <w:pPr>
              <w:pStyle w:val="TableNumbersRight-BP4"/>
              <w:rPr>
                <w:b/>
                <w:bCs/>
              </w:rPr>
            </w:pPr>
            <w:r w:rsidRPr="00B558F4">
              <w:rPr>
                <w:b/>
                <w:bCs/>
              </w:rPr>
              <w:t>240</w:t>
            </w:r>
          </w:p>
        </w:tc>
        <w:tc>
          <w:tcPr>
            <w:tcW w:w="1043" w:type="dxa"/>
            <w:tcBorders>
              <w:top w:val="nil"/>
              <w:left w:val="nil"/>
              <w:bottom w:val="nil"/>
              <w:right w:val="nil"/>
            </w:tcBorders>
            <w:shd w:val="clear" w:color="auto" w:fill="auto"/>
          </w:tcPr>
          <w:p w:rsidR="009E60B8" w:rsidRPr="00B558F4" w:rsidRDefault="009E60B8" w:rsidP="00EB5C27">
            <w:pPr>
              <w:pStyle w:val="TableNumbersRight-BP4"/>
              <w:rPr>
                <w:b/>
                <w:bCs/>
              </w:rPr>
            </w:pPr>
            <w:r w:rsidRPr="00B558F4">
              <w:rPr>
                <w:b/>
                <w:bCs/>
              </w:rPr>
              <w:t>- </w:t>
            </w:r>
          </w:p>
        </w:tc>
        <w:tc>
          <w:tcPr>
            <w:tcW w:w="1043" w:type="dxa"/>
            <w:tcBorders>
              <w:top w:val="nil"/>
              <w:left w:val="nil"/>
              <w:bottom w:val="nil"/>
              <w:right w:val="nil"/>
            </w:tcBorders>
            <w:shd w:val="clear" w:color="auto" w:fill="auto"/>
            <w:tcMar>
              <w:top w:w="17" w:type="dxa"/>
              <w:left w:w="17" w:type="dxa"/>
              <w:right w:w="17" w:type="dxa"/>
            </w:tcMar>
          </w:tcPr>
          <w:p w:rsidR="009E60B8" w:rsidRPr="00B558F4" w:rsidRDefault="009E60B8" w:rsidP="00EB5C27">
            <w:pPr>
              <w:pStyle w:val="TableNumbersRight-BP4"/>
              <w:rPr>
                <w:b/>
                <w:bCs/>
              </w:rPr>
            </w:pPr>
            <w:r w:rsidRPr="00B558F4">
              <w:rPr>
                <w:b/>
                <w:bCs/>
              </w:rPr>
              <w:t>- </w:t>
            </w:r>
          </w:p>
        </w:tc>
        <w:tc>
          <w:tcPr>
            <w:tcW w:w="1050" w:type="dxa"/>
            <w:tcBorders>
              <w:top w:val="nil"/>
              <w:left w:val="nil"/>
              <w:bottom w:val="nil"/>
              <w:right w:val="nil"/>
            </w:tcBorders>
            <w:shd w:val="clear" w:color="auto" w:fill="auto"/>
            <w:tcMar>
              <w:left w:w="17" w:type="dxa"/>
              <w:right w:w="17" w:type="dxa"/>
            </w:tcMar>
          </w:tcPr>
          <w:p w:rsidR="009E60B8" w:rsidRPr="00B558F4" w:rsidRDefault="009E60B8" w:rsidP="00EB5C27">
            <w:pPr>
              <w:pStyle w:val="TableNumbersRight-BP4"/>
              <w:rPr>
                <w:b/>
                <w:bCs/>
              </w:rPr>
            </w:pPr>
          </w:p>
        </w:tc>
      </w:tr>
      <w:tr w:rsidR="009E60B8" w:rsidRPr="00156EB8" w:rsidTr="00EB5C27">
        <w:trPr>
          <w:trHeight w:hRule="exact" w:val="198"/>
        </w:trPr>
        <w:tc>
          <w:tcPr>
            <w:tcW w:w="3091" w:type="dxa"/>
            <w:tcBorders>
              <w:left w:val="nil"/>
              <w:bottom w:val="nil"/>
              <w:right w:val="nil"/>
            </w:tcBorders>
            <w:shd w:val="clear" w:color="auto" w:fill="auto"/>
          </w:tcPr>
          <w:p w:rsidR="009E60B8" w:rsidRPr="00B558F4" w:rsidRDefault="009E60B8" w:rsidP="00EB5C27">
            <w:pPr>
              <w:pStyle w:val="TableHeadingLeft-BP4"/>
            </w:pPr>
          </w:p>
        </w:tc>
        <w:tc>
          <w:tcPr>
            <w:tcW w:w="1043" w:type="dxa"/>
            <w:tcBorders>
              <w:left w:val="nil"/>
              <w:bottom w:val="nil"/>
              <w:right w:val="nil"/>
            </w:tcBorders>
            <w:shd w:val="clear" w:color="auto" w:fill="auto"/>
          </w:tcPr>
          <w:p w:rsidR="009E60B8" w:rsidRPr="00B558F4" w:rsidRDefault="009E60B8" w:rsidP="00EB5C27">
            <w:pPr>
              <w:pStyle w:val="TableNumbersRight-BP4"/>
              <w:rPr>
                <w:b/>
                <w:bCs/>
              </w:rPr>
            </w:pPr>
          </w:p>
        </w:tc>
        <w:tc>
          <w:tcPr>
            <w:tcW w:w="1043" w:type="dxa"/>
            <w:tcBorders>
              <w:left w:val="nil"/>
              <w:bottom w:val="nil"/>
              <w:right w:val="nil"/>
            </w:tcBorders>
            <w:shd w:val="clear" w:color="auto" w:fill="auto"/>
          </w:tcPr>
          <w:p w:rsidR="009E60B8" w:rsidRPr="00B558F4" w:rsidRDefault="009E60B8" w:rsidP="00EB5C27">
            <w:pPr>
              <w:pStyle w:val="TableNumbersRight-BP4"/>
              <w:rPr>
                <w:b/>
                <w:bCs/>
              </w:rPr>
            </w:pPr>
          </w:p>
        </w:tc>
        <w:tc>
          <w:tcPr>
            <w:tcW w:w="1043" w:type="dxa"/>
            <w:tcBorders>
              <w:left w:val="nil"/>
              <w:bottom w:val="nil"/>
              <w:right w:val="nil"/>
            </w:tcBorders>
            <w:shd w:val="clear" w:color="auto" w:fill="auto"/>
          </w:tcPr>
          <w:p w:rsidR="009E60B8" w:rsidRPr="00B558F4" w:rsidRDefault="009E60B8" w:rsidP="00EB5C27">
            <w:pPr>
              <w:pStyle w:val="TableNumbersRight-BP4"/>
              <w:rPr>
                <w:b/>
                <w:bCs/>
              </w:rPr>
            </w:pPr>
          </w:p>
        </w:tc>
        <w:tc>
          <w:tcPr>
            <w:tcW w:w="1043" w:type="dxa"/>
            <w:tcBorders>
              <w:left w:val="nil"/>
              <w:bottom w:val="nil"/>
              <w:right w:val="nil"/>
            </w:tcBorders>
            <w:shd w:val="clear" w:color="auto" w:fill="auto"/>
          </w:tcPr>
          <w:p w:rsidR="009E60B8" w:rsidRPr="00B558F4" w:rsidRDefault="009E60B8" w:rsidP="00EB5C27">
            <w:pPr>
              <w:pStyle w:val="TableNumbersRight-BP4"/>
              <w:rPr>
                <w:b/>
                <w:bCs/>
              </w:rPr>
            </w:pPr>
          </w:p>
        </w:tc>
        <w:tc>
          <w:tcPr>
            <w:tcW w:w="1043" w:type="dxa"/>
            <w:tcBorders>
              <w:left w:val="nil"/>
              <w:bottom w:val="nil"/>
              <w:right w:val="nil"/>
            </w:tcBorders>
            <w:shd w:val="clear" w:color="auto" w:fill="auto"/>
          </w:tcPr>
          <w:p w:rsidR="009E60B8" w:rsidRPr="00B558F4" w:rsidRDefault="009E60B8" w:rsidP="00EB5C27">
            <w:pPr>
              <w:pStyle w:val="TableNumbersRight-BP4"/>
              <w:rPr>
                <w:b/>
                <w:bCs/>
              </w:rPr>
            </w:pPr>
          </w:p>
        </w:tc>
        <w:tc>
          <w:tcPr>
            <w:tcW w:w="1050" w:type="dxa"/>
            <w:tcBorders>
              <w:left w:val="nil"/>
              <w:bottom w:val="nil"/>
              <w:right w:val="nil"/>
            </w:tcBorders>
            <w:shd w:val="clear" w:color="auto" w:fill="auto"/>
          </w:tcPr>
          <w:p w:rsidR="009E60B8" w:rsidRPr="00B558F4" w:rsidRDefault="009E60B8" w:rsidP="00EB5C27">
            <w:pPr>
              <w:pStyle w:val="TableNumbersRight-BP4"/>
              <w:rPr>
                <w:b/>
                <w:bCs/>
              </w:rPr>
            </w:pPr>
          </w:p>
        </w:tc>
      </w:tr>
      <w:tr w:rsidR="009E60B8" w:rsidTr="00EB5C27">
        <w:tblPrEx>
          <w:tblCellMar>
            <w:left w:w="0" w:type="dxa"/>
            <w:right w:w="0" w:type="dxa"/>
          </w:tblCellMar>
        </w:tblPrEx>
        <w:trPr>
          <w:trHeight w:val="240"/>
        </w:trPr>
        <w:tc>
          <w:tcPr>
            <w:tcW w:w="3091" w:type="dxa"/>
            <w:tcBorders>
              <w:top w:val="single" w:sz="4" w:space="0" w:color="auto"/>
              <w:left w:val="nil"/>
              <w:bottom w:val="single" w:sz="4" w:space="0" w:color="auto"/>
              <w:right w:val="nil"/>
            </w:tcBorders>
            <w:shd w:val="clear" w:color="auto" w:fill="auto"/>
          </w:tcPr>
          <w:p w:rsidR="009E60B8" w:rsidRPr="00B558F4" w:rsidRDefault="009E60B8" w:rsidP="00EB5C27">
            <w:pPr>
              <w:pStyle w:val="TableHeadingLeft-BP4"/>
            </w:pPr>
            <w:r w:rsidRPr="00B558F4">
              <w:t>Total Territorial Capital Works</w:t>
            </w:r>
          </w:p>
        </w:tc>
        <w:tc>
          <w:tcPr>
            <w:tcW w:w="1043" w:type="dxa"/>
            <w:tcBorders>
              <w:top w:val="single" w:sz="4" w:space="0" w:color="auto"/>
              <w:left w:val="nil"/>
              <w:bottom w:val="single" w:sz="4" w:space="0" w:color="auto"/>
              <w:right w:val="nil"/>
            </w:tcBorders>
            <w:shd w:val="clear" w:color="auto" w:fill="auto"/>
          </w:tcPr>
          <w:p w:rsidR="009E60B8" w:rsidRPr="00B558F4" w:rsidRDefault="009E60B8" w:rsidP="00EB5C27">
            <w:pPr>
              <w:pStyle w:val="TableNumbersRight-BP4"/>
              <w:rPr>
                <w:b/>
                <w:bCs/>
              </w:rPr>
            </w:pPr>
            <w:r w:rsidRPr="00B558F4">
              <w:rPr>
                <w:b/>
                <w:bCs/>
              </w:rPr>
              <w:t>240</w:t>
            </w:r>
          </w:p>
        </w:tc>
        <w:tc>
          <w:tcPr>
            <w:tcW w:w="1043" w:type="dxa"/>
            <w:tcBorders>
              <w:top w:val="single" w:sz="4" w:space="0" w:color="auto"/>
              <w:left w:val="nil"/>
              <w:bottom w:val="single" w:sz="4" w:space="0" w:color="auto"/>
              <w:right w:val="nil"/>
            </w:tcBorders>
            <w:shd w:val="clear" w:color="auto" w:fill="auto"/>
            <w:tcMar>
              <w:left w:w="17" w:type="dxa"/>
              <w:right w:w="17" w:type="dxa"/>
            </w:tcMar>
          </w:tcPr>
          <w:p w:rsidR="009E60B8" w:rsidRPr="00B558F4" w:rsidRDefault="009E60B8" w:rsidP="00EB5C27">
            <w:pPr>
              <w:pStyle w:val="TableNumbersRight-BP4"/>
              <w:rPr>
                <w:b/>
                <w:bCs/>
              </w:rPr>
            </w:pPr>
            <w:r w:rsidRPr="00B558F4">
              <w:rPr>
                <w:b/>
                <w:bCs/>
              </w:rPr>
              <w:t>- </w:t>
            </w:r>
          </w:p>
        </w:tc>
        <w:tc>
          <w:tcPr>
            <w:tcW w:w="1043" w:type="dxa"/>
            <w:tcBorders>
              <w:top w:val="single" w:sz="4" w:space="0" w:color="auto"/>
              <w:left w:val="nil"/>
              <w:bottom w:val="single" w:sz="4" w:space="0" w:color="auto"/>
              <w:right w:val="nil"/>
            </w:tcBorders>
            <w:shd w:val="clear" w:color="auto" w:fill="auto"/>
            <w:tcMar>
              <w:top w:w="17" w:type="dxa"/>
              <w:left w:w="17" w:type="dxa"/>
              <w:right w:w="17" w:type="dxa"/>
            </w:tcMar>
          </w:tcPr>
          <w:p w:rsidR="009E60B8" w:rsidRPr="00B558F4" w:rsidRDefault="009E60B8" w:rsidP="00EB5C27">
            <w:pPr>
              <w:pStyle w:val="TableNumbersRight-BP4"/>
              <w:rPr>
                <w:b/>
                <w:bCs/>
              </w:rPr>
            </w:pPr>
            <w:r w:rsidRPr="00B558F4">
              <w:rPr>
                <w:b/>
                <w:bCs/>
              </w:rPr>
              <w:t>240</w:t>
            </w:r>
          </w:p>
        </w:tc>
        <w:tc>
          <w:tcPr>
            <w:tcW w:w="1043" w:type="dxa"/>
            <w:tcBorders>
              <w:top w:val="single" w:sz="4" w:space="0" w:color="auto"/>
              <w:left w:val="nil"/>
              <w:bottom w:val="single" w:sz="4" w:space="0" w:color="auto"/>
              <w:right w:val="nil"/>
            </w:tcBorders>
            <w:shd w:val="clear" w:color="auto" w:fill="auto"/>
            <w:tcMar>
              <w:left w:w="17" w:type="dxa"/>
              <w:right w:w="17" w:type="dxa"/>
            </w:tcMar>
          </w:tcPr>
          <w:p w:rsidR="009E60B8" w:rsidRPr="00B558F4" w:rsidRDefault="009E60B8" w:rsidP="00EB5C27">
            <w:pPr>
              <w:pStyle w:val="TableNumbersRight-BP4"/>
              <w:rPr>
                <w:b/>
                <w:bCs/>
              </w:rPr>
            </w:pPr>
            <w:r w:rsidRPr="00B558F4">
              <w:rPr>
                <w:b/>
                <w:bCs/>
              </w:rPr>
              <w:t>- </w:t>
            </w:r>
          </w:p>
        </w:tc>
        <w:tc>
          <w:tcPr>
            <w:tcW w:w="1043" w:type="dxa"/>
            <w:tcBorders>
              <w:top w:val="single" w:sz="4" w:space="0" w:color="auto"/>
              <w:left w:val="nil"/>
              <w:bottom w:val="single" w:sz="4" w:space="0" w:color="auto"/>
              <w:right w:val="nil"/>
            </w:tcBorders>
            <w:shd w:val="clear" w:color="auto" w:fill="auto"/>
            <w:tcMar>
              <w:top w:w="17" w:type="dxa"/>
              <w:left w:w="17" w:type="dxa"/>
              <w:right w:w="17" w:type="dxa"/>
            </w:tcMar>
          </w:tcPr>
          <w:p w:rsidR="009E60B8" w:rsidRPr="00B558F4" w:rsidRDefault="009E60B8" w:rsidP="00EB5C27">
            <w:pPr>
              <w:pStyle w:val="TableNumbersRight-BP4"/>
              <w:rPr>
                <w:b/>
                <w:bCs/>
              </w:rPr>
            </w:pPr>
            <w:r w:rsidRPr="00B558F4">
              <w:rPr>
                <w:b/>
                <w:bCs/>
              </w:rPr>
              <w:t>- </w:t>
            </w:r>
          </w:p>
        </w:tc>
        <w:tc>
          <w:tcPr>
            <w:tcW w:w="1050" w:type="dxa"/>
            <w:tcBorders>
              <w:top w:val="single" w:sz="4" w:space="0" w:color="auto"/>
              <w:left w:val="nil"/>
              <w:bottom w:val="single" w:sz="4" w:space="0" w:color="auto"/>
              <w:right w:val="nil"/>
            </w:tcBorders>
            <w:shd w:val="clear" w:color="auto" w:fill="auto"/>
            <w:tcMar>
              <w:left w:w="17" w:type="dxa"/>
              <w:right w:w="17" w:type="dxa"/>
            </w:tcMar>
          </w:tcPr>
          <w:p w:rsidR="009E60B8" w:rsidRPr="00B558F4" w:rsidRDefault="009E60B8" w:rsidP="00EB5C27">
            <w:pPr>
              <w:pStyle w:val="TableNumbersRight-BP4"/>
              <w:rPr>
                <w:b/>
                <w:bCs/>
              </w:rPr>
            </w:pPr>
          </w:p>
        </w:tc>
      </w:tr>
    </w:tbl>
    <w:p w:rsidR="00482405" w:rsidRDefault="00783AC6">
      <w:pPr>
        <w:rPr>
          <w:b/>
          <w:bCs/>
        </w:rPr>
      </w:pPr>
      <w:r>
        <w:rPr>
          <w:b/>
          <w:bCs/>
        </w:rPr>
        <w:br w:type="page"/>
      </w:r>
    </w:p>
    <w:tbl>
      <w:tblPr>
        <w:tblW w:w="9356" w:type="dxa"/>
        <w:tblLook w:val="04A0"/>
      </w:tblPr>
      <w:tblGrid>
        <w:gridCol w:w="1049"/>
        <w:gridCol w:w="2384"/>
        <w:gridCol w:w="1102"/>
        <w:gridCol w:w="1050"/>
        <w:gridCol w:w="621"/>
        <w:gridCol w:w="1050"/>
        <w:gridCol w:w="1050"/>
        <w:gridCol w:w="1050"/>
      </w:tblGrid>
      <w:tr w:rsidR="00781766" w:rsidRPr="008D04AA" w:rsidTr="00EB5C27">
        <w:trPr>
          <w:tblHeader/>
        </w:trPr>
        <w:tc>
          <w:tcPr>
            <w:tcW w:w="9392" w:type="dxa"/>
            <w:gridSpan w:val="8"/>
            <w:tcBorders>
              <w:top w:val="nil"/>
              <w:left w:val="nil"/>
              <w:bottom w:val="nil"/>
              <w:right w:val="nil"/>
            </w:tcBorders>
            <w:shd w:val="clear" w:color="000000" w:fill="FFFFFF"/>
            <w:hideMark/>
          </w:tcPr>
          <w:p w:rsidR="00781766" w:rsidRPr="008D04AA" w:rsidRDefault="00781766" w:rsidP="00EB5C27">
            <w:pPr>
              <w:jc w:val="center"/>
              <w:rPr>
                <w:rFonts w:ascii="Arial" w:hAnsi="Arial" w:cs="Arial"/>
                <w:b/>
                <w:bCs/>
                <w:szCs w:val="24"/>
                <w:lang w:eastAsia="en-AU"/>
              </w:rPr>
            </w:pPr>
            <w:bookmarkStart w:id="12" w:name="RANGE!A1:H41"/>
            <w:r w:rsidRPr="008D04AA">
              <w:rPr>
                <w:rFonts w:ascii="Arial" w:hAnsi="Arial" w:cs="Arial"/>
                <w:b/>
                <w:bCs/>
                <w:szCs w:val="24"/>
                <w:lang w:eastAsia="en-AU"/>
              </w:rPr>
              <w:lastRenderedPageBreak/>
              <w:t>Justice and Community Safety Directorate</w:t>
            </w:r>
            <w:bookmarkEnd w:id="12"/>
          </w:p>
        </w:tc>
      </w:tr>
      <w:tr w:rsidR="00781766" w:rsidRPr="008D04AA" w:rsidTr="00EB5C27">
        <w:trPr>
          <w:tblHeader/>
        </w:trPr>
        <w:tc>
          <w:tcPr>
            <w:tcW w:w="9392" w:type="dxa"/>
            <w:gridSpan w:val="8"/>
            <w:tcBorders>
              <w:top w:val="nil"/>
              <w:left w:val="nil"/>
              <w:bottom w:val="nil"/>
              <w:right w:val="nil"/>
            </w:tcBorders>
            <w:shd w:val="clear" w:color="000000" w:fill="FFFFFF"/>
            <w:hideMark/>
          </w:tcPr>
          <w:p w:rsidR="00781766" w:rsidRPr="008D04AA" w:rsidRDefault="00781766" w:rsidP="00EB5C27">
            <w:pPr>
              <w:jc w:val="center"/>
              <w:rPr>
                <w:rFonts w:ascii="Arial" w:hAnsi="Arial" w:cs="Arial"/>
                <w:b/>
                <w:bCs/>
                <w:szCs w:val="24"/>
                <w:lang w:eastAsia="en-AU"/>
              </w:rPr>
            </w:pPr>
            <w:r w:rsidRPr="008D04AA">
              <w:rPr>
                <w:rFonts w:ascii="Arial" w:hAnsi="Arial" w:cs="Arial"/>
                <w:b/>
                <w:bCs/>
                <w:szCs w:val="24"/>
                <w:lang w:eastAsia="en-AU"/>
              </w:rPr>
              <w:t>Operating Statement</w:t>
            </w:r>
          </w:p>
        </w:tc>
      </w:tr>
      <w:tr w:rsidR="00781766" w:rsidRPr="008D04AA" w:rsidTr="00EB5C27">
        <w:trPr>
          <w:tblHeader/>
        </w:trPr>
        <w:tc>
          <w:tcPr>
            <w:tcW w:w="1054" w:type="dxa"/>
            <w:tcBorders>
              <w:top w:val="single" w:sz="4" w:space="0" w:color="auto"/>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2012-13</w:t>
            </w:r>
          </w:p>
        </w:tc>
        <w:tc>
          <w:tcPr>
            <w:tcW w:w="2392" w:type="dxa"/>
            <w:tcBorders>
              <w:top w:val="single" w:sz="4" w:space="0" w:color="auto"/>
              <w:left w:val="nil"/>
              <w:bottom w:val="nil"/>
              <w:right w:val="nil"/>
            </w:tcBorders>
            <w:shd w:val="clear" w:color="000000" w:fill="FFFFFF"/>
            <w:hideMark/>
          </w:tcPr>
          <w:p w:rsidR="00781766" w:rsidRPr="008D04AA" w:rsidRDefault="00781766" w:rsidP="00EB5C27">
            <w:pPr>
              <w:rPr>
                <w:b/>
                <w:bCs/>
                <w:sz w:val="18"/>
                <w:szCs w:val="18"/>
                <w:lang w:eastAsia="en-AU"/>
              </w:rPr>
            </w:pPr>
            <w:r w:rsidRPr="008D04AA">
              <w:rPr>
                <w:b/>
                <w:bCs/>
                <w:sz w:val="18"/>
                <w:szCs w:val="18"/>
                <w:lang w:eastAsia="en-AU"/>
              </w:rPr>
              <w:t> </w:t>
            </w:r>
          </w:p>
        </w:tc>
        <w:tc>
          <w:tcPr>
            <w:tcW w:w="1106" w:type="dxa"/>
            <w:tcBorders>
              <w:top w:val="single" w:sz="4" w:space="0" w:color="auto"/>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2012-13</w:t>
            </w:r>
          </w:p>
        </w:tc>
        <w:tc>
          <w:tcPr>
            <w:tcW w:w="1054" w:type="dxa"/>
            <w:tcBorders>
              <w:top w:val="single" w:sz="4" w:space="0" w:color="auto"/>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2013-14</w:t>
            </w:r>
          </w:p>
        </w:tc>
        <w:tc>
          <w:tcPr>
            <w:tcW w:w="624" w:type="dxa"/>
            <w:tcBorders>
              <w:top w:val="single" w:sz="4" w:space="0" w:color="auto"/>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 </w:t>
            </w:r>
          </w:p>
        </w:tc>
        <w:tc>
          <w:tcPr>
            <w:tcW w:w="1054" w:type="dxa"/>
            <w:tcBorders>
              <w:top w:val="single" w:sz="4" w:space="0" w:color="auto"/>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2014-15</w:t>
            </w:r>
          </w:p>
        </w:tc>
        <w:tc>
          <w:tcPr>
            <w:tcW w:w="1054" w:type="dxa"/>
            <w:tcBorders>
              <w:top w:val="single" w:sz="4" w:space="0" w:color="auto"/>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2015-16</w:t>
            </w:r>
          </w:p>
        </w:tc>
        <w:tc>
          <w:tcPr>
            <w:tcW w:w="1054" w:type="dxa"/>
            <w:tcBorders>
              <w:top w:val="single" w:sz="4" w:space="0" w:color="auto"/>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2016-17</w:t>
            </w:r>
          </w:p>
        </w:tc>
      </w:tr>
      <w:tr w:rsidR="00781766" w:rsidRPr="008D04AA" w:rsidTr="00EB5C27">
        <w:trPr>
          <w:tblHeader/>
        </w:trPr>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Budget</w:t>
            </w:r>
          </w:p>
        </w:tc>
        <w:tc>
          <w:tcPr>
            <w:tcW w:w="2392" w:type="dxa"/>
            <w:tcBorders>
              <w:top w:val="nil"/>
              <w:left w:val="nil"/>
              <w:bottom w:val="nil"/>
              <w:right w:val="nil"/>
            </w:tcBorders>
            <w:shd w:val="clear" w:color="000000" w:fill="FFFFFF"/>
            <w:hideMark/>
          </w:tcPr>
          <w:p w:rsidR="00781766" w:rsidRPr="008D04AA" w:rsidRDefault="00781766" w:rsidP="00EB5C27">
            <w:pPr>
              <w:rPr>
                <w:b/>
                <w:bCs/>
                <w:sz w:val="18"/>
                <w:szCs w:val="18"/>
                <w:lang w:eastAsia="en-AU"/>
              </w:rPr>
            </w:pPr>
            <w:r w:rsidRPr="008D04AA">
              <w:rPr>
                <w:b/>
                <w:bCs/>
                <w:sz w:val="18"/>
                <w:szCs w:val="18"/>
                <w:lang w:eastAsia="en-AU"/>
              </w:rPr>
              <w:t> </w:t>
            </w:r>
          </w:p>
        </w:tc>
        <w:tc>
          <w:tcPr>
            <w:tcW w:w="1106"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Est. Outcome</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Budget</w:t>
            </w:r>
          </w:p>
        </w:tc>
        <w:tc>
          <w:tcPr>
            <w:tcW w:w="62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proofErr w:type="spellStart"/>
            <w:r w:rsidRPr="008D04AA">
              <w:rPr>
                <w:b/>
                <w:bCs/>
                <w:sz w:val="18"/>
                <w:szCs w:val="18"/>
                <w:lang w:eastAsia="en-AU"/>
              </w:rPr>
              <w:t>Var</w:t>
            </w:r>
            <w:proofErr w:type="spellEnd"/>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Estimate</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Estimate</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Estimate</w:t>
            </w:r>
          </w:p>
        </w:tc>
      </w:tr>
      <w:tr w:rsidR="00781766" w:rsidRPr="008D04AA" w:rsidTr="00EB5C27">
        <w:trPr>
          <w:tblHeader/>
        </w:trPr>
        <w:tc>
          <w:tcPr>
            <w:tcW w:w="1054" w:type="dxa"/>
            <w:tcBorders>
              <w:top w:val="nil"/>
              <w:left w:val="nil"/>
              <w:bottom w:val="single" w:sz="4" w:space="0" w:color="auto"/>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$'000</w:t>
            </w:r>
          </w:p>
        </w:tc>
        <w:tc>
          <w:tcPr>
            <w:tcW w:w="2392" w:type="dxa"/>
            <w:tcBorders>
              <w:top w:val="nil"/>
              <w:left w:val="nil"/>
              <w:bottom w:val="single" w:sz="4" w:space="0" w:color="auto"/>
              <w:right w:val="nil"/>
            </w:tcBorders>
            <w:shd w:val="clear" w:color="000000" w:fill="FFFFFF"/>
            <w:hideMark/>
          </w:tcPr>
          <w:p w:rsidR="00781766" w:rsidRPr="008D04AA" w:rsidRDefault="00781766" w:rsidP="00EB5C27">
            <w:pPr>
              <w:rPr>
                <w:b/>
                <w:bCs/>
                <w:sz w:val="18"/>
                <w:szCs w:val="18"/>
                <w:lang w:eastAsia="en-AU"/>
              </w:rPr>
            </w:pPr>
            <w:r w:rsidRPr="008D04AA">
              <w:rPr>
                <w:b/>
                <w:bCs/>
                <w:sz w:val="18"/>
                <w:szCs w:val="18"/>
                <w:lang w:eastAsia="en-AU"/>
              </w:rPr>
              <w:t> </w:t>
            </w:r>
          </w:p>
        </w:tc>
        <w:tc>
          <w:tcPr>
            <w:tcW w:w="1106" w:type="dxa"/>
            <w:tcBorders>
              <w:top w:val="nil"/>
              <w:left w:val="nil"/>
              <w:bottom w:val="single" w:sz="4" w:space="0" w:color="auto"/>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$'000</w:t>
            </w:r>
          </w:p>
        </w:tc>
        <w:tc>
          <w:tcPr>
            <w:tcW w:w="1054" w:type="dxa"/>
            <w:tcBorders>
              <w:top w:val="nil"/>
              <w:left w:val="nil"/>
              <w:bottom w:val="single" w:sz="4" w:space="0" w:color="auto"/>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$'000</w:t>
            </w:r>
          </w:p>
        </w:tc>
        <w:tc>
          <w:tcPr>
            <w:tcW w:w="624" w:type="dxa"/>
            <w:tcBorders>
              <w:top w:val="nil"/>
              <w:left w:val="nil"/>
              <w:bottom w:val="single" w:sz="4" w:space="0" w:color="auto"/>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w:t>
            </w:r>
          </w:p>
        </w:tc>
        <w:tc>
          <w:tcPr>
            <w:tcW w:w="1054" w:type="dxa"/>
            <w:tcBorders>
              <w:top w:val="nil"/>
              <w:left w:val="nil"/>
              <w:bottom w:val="single" w:sz="4" w:space="0" w:color="auto"/>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$'000</w:t>
            </w:r>
          </w:p>
        </w:tc>
        <w:tc>
          <w:tcPr>
            <w:tcW w:w="1054" w:type="dxa"/>
            <w:tcBorders>
              <w:top w:val="nil"/>
              <w:left w:val="nil"/>
              <w:bottom w:val="single" w:sz="4" w:space="0" w:color="auto"/>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$'000</w:t>
            </w:r>
          </w:p>
        </w:tc>
        <w:tc>
          <w:tcPr>
            <w:tcW w:w="1054" w:type="dxa"/>
            <w:tcBorders>
              <w:top w:val="nil"/>
              <w:left w:val="nil"/>
              <w:bottom w:val="single" w:sz="4" w:space="0" w:color="auto"/>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$'000</w:t>
            </w:r>
          </w:p>
        </w:tc>
      </w:tr>
      <w:tr w:rsidR="00781766" w:rsidRPr="008D04AA" w:rsidTr="00EB5C27">
        <w:trPr>
          <w:tblHeader/>
        </w:trPr>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i/>
                <w:iCs/>
                <w:sz w:val="18"/>
                <w:szCs w:val="18"/>
                <w:lang w:eastAsia="en-AU"/>
              </w:rPr>
            </w:pPr>
            <w:r w:rsidRPr="008D04AA">
              <w:rPr>
                <w:b/>
                <w:bCs/>
                <w:i/>
                <w:iCs/>
                <w:sz w:val="18"/>
                <w:szCs w:val="18"/>
                <w:lang w:eastAsia="en-AU"/>
              </w:rPr>
              <w:t> </w:t>
            </w:r>
          </w:p>
        </w:tc>
        <w:tc>
          <w:tcPr>
            <w:tcW w:w="2392" w:type="dxa"/>
            <w:tcBorders>
              <w:top w:val="nil"/>
              <w:left w:val="nil"/>
              <w:bottom w:val="nil"/>
              <w:right w:val="nil"/>
            </w:tcBorders>
            <w:shd w:val="clear" w:color="000000" w:fill="FFFFFF"/>
            <w:hideMark/>
          </w:tcPr>
          <w:p w:rsidR="00781766" w:rsidRPr="008D04AA" w:rsidRDefault="00781766" w:rsidP="00EB5C27">
            <w:pPr>
              <w:rPr>
                <w:b/>
                <w:bCs/>
                <w:sz w:val="18"/>
                <w:szCs w:val="18"/>
                <w:lang w:eastAsia="en-AU"/>
              </w:rPr>
            </w:pPr>
            <w:r w:rsidRPr="008D04AA">
              <w:rPr>
                <w:b/>
                <w:bCs/>
                <w:sz w:val="18"/>
                <w:szCs w:val="18"/>
                <w:lang w:eastAsia="en-AU"/>
              </w:rPr>
              <w:t> </w:t>
            </w:r>
          </w:p>
        </w:tc>
        <w:tc>
          <w:tcPr>
            <w:tcW w:w="1106" w:type="dxa"/>
            <w:tcBorders>
              <w:top w:val="nil"/>
              <w:left w:val="nil"/>
              <w:bottom w:val="nil"/>
              <w:right w:val="nil"/>
            </w:tcBorders>
            <w:shd w:val="clear" w:color="000000" w:fill="FFFFFF"/>
            <w:hideMark/>
          </w:tcPr>
          <w:p w:rsidR="00781766" w:rsidRPr="008D04AA" w:rsidRDefault="00781766" w:rsidP="00EB5C27">
            <w:pPr>
              <w:ind w:left="-283"/>
              <w:jc w:val="right"/>
              <w:rPr>
                <w:b/>
                <w:bCs/>
                <w:i/>
                <w:iCs/>
                <w:sz w:val="18"/>
                <w:szCs w:val="18"/>
                <w:lang w:eastAsia="en-AU"/>
              </w:rPr>
            </w:pPr>
            <w:r w:rsidRPr="008D04AA">
              <w:rPr>
                <w:b/>
                <w:bCs/>
                <w:i/>
                <w:iCs/>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i/>
                <w:iCs/>
                <w:sz w:val="18"/>
                <w:szCs w:val="18"/>
                <w:lang w:eastAsia="en-AU"/>
              </w:rPr>
            </w:pPr>
            <w:r w:rsidRPr="008D04AA">
              <w:rPr>
                <w:b/>
                <w:bCs/>
                <w:i/>
                <w:iCs/>
                <w:sz w:val="18"/>
                <w:szCs w:val="18"/>
                <w:lang w:eastAsia="en-AU"/>
              </w:rPr>
              <w:t> </w:t>
            </w:r>
          </w:p>
        </w:tc>
        <w:tc>
          <w:tcPr>
            <w:tcW w:w="624" w:type="dxa"/>
            <w:tcBorders>
              <w:top w:val="nil"/>
              <w:left w:val="nil"/>
              <w:bottom w:val="nil"/>
              <w:right w:val="nil"/>
            </w:tcBorders>
            <w:shd w:val="clear" w:color="000000" w:fill="FFFFFF"/>
            <w:hideMark/>
          </w:tcPr>
          <w:p w:rsidR="00781766" w:rsidRPr="008D04AA" w:rsidRDefault="00781766" w:rsidP="00EB5C27">
            <w:pPr>
              <w:ind w:left="-283"/>
              <w:jc w:val="right"/>
              <w:rPr>
                <w:b/>
                <w:bCs/>
                <w:i/>
                <w:iCs/>
                <w:sz w:val="18"/>
                <w:szCs w:val="18"/>
                <w:lang w:eastAsia="en-AU"/>
              </w:rPr>
            </w:pPr>
            <w:r w:rsidRPr="008D04AA">
              <w:rPr>
                <w:b/>
                <w:bCs/>
                <w:i/>
                <w:iCs/>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i/>
                <w:iCs/>
                <w:sz w:val="18"/>
                <w:szCs w:val="18"/>
                <w:lang w:eastAsia="en-AU"/>
              </w:rPr>
            </w:pPr>
            <w:r w:rsidRPr="008D04AA">
              <w:rPr>
                <w:b/>
                <w:bCs/>
                <w:i/>
                <w:iCs/>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i/>
                <w:iCs/>
                <w:sz w:val="18"/>
                <w:szCs w:val="18"/>
                <w:lang w:eastAsia="en-AU"/>
              </w:rPr>
            </w:pPr>
            <w:r w:rsidRPr="008D04AA">
              <w:rPr>
                <w:b/>
                <w:bCs/>
                <w:i/>
                <w:iCs/>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i/>
                <w:iCs/>
                <w:sz w:val="18"/>
                <w:szCs w:val="18"/>
                <w:lang w:eastAsia="en-AU"/>
              </w:rPr>
            </w:pPr>
            <w:r w:rsidRPr="008D04AA">
              <w:rPr>
                <w:b/>
                <w:bCs/>
                <w:i/>
                <w:iCs/>
                <w:sz w:val="18"/>
                <w:szCs w:val="18"/>
                <w:lang w:eastAsia="en-AU"/>
              </w:rPr>
              <w:t> </w:t>
            </w:r>
          </w:p>
        </w:tc>
      </w:tr>
      <w:tr w:rsidR="00781766" w:rsidRPr="008D04AA" w:rsidTr="00EB5C27">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2392" w:type="dxa"/>
            <w:tcBorders>
              <w:top w:val="nil"/>
              <w:left w:val="nil"/>
              <w:bottom w:val="nil"/>
              <w:right w:val="nil"/>
            </w:tcBorders>
            <w:shd w:val="clear" w:color="000000" w:fill="FFFFFF"/>
            <w:hideMark/>
          </w:tcPr>
          <w:p w:rsidR="00781766" w:rsidRPr="008D04AA" w:rsidRDefault="00781766" w:rsidP="00EB5C27">
            <w:pPr>
              <w:rPr>
                <w:b/>
                <w:bCs/>
                <w:sz w:val="18"/>
                <w:szCs w:val="18"/>
                <w:lang w:eastAsia="en-AU"/>
              </w:rPr>
            </w:pPr>
            <w:r w:rsidRPr="008D04AA">
              <w:rPr>
                <w:b/>
                <w:bCs/>
                <w:sz w:val="18"/>
                <w:szCs w:val="18"/>
                <w:lang w:eastAsia="en-AU"/>
              </w:rPr>
              <w:t>Income</w:t>
            </w:r>
          </w:p>
        </w:tc>
        <w:tc>
          <w:tcPr>
            <w:tcW w:w="1106"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62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r>
      <w:tr w:rsidR="00781766" w:rsidRPr="008D04AA" w:rsidTr="00EB5C27">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2392" w:type="dxa"/>
            <w:tcBorders>
              <w:top w:val="nil"/>
              <w:left w:val="nil"/>
              <w:bottom w:val="nil"/>
              <w:right w:val="nil"/>
            </w:tcBorders>
            <w:shd w:val="clear" w:color="000000" w:fill="FFFFFF"/>
            <w:hideMark/>
          </w:tcPr>
          <w:p w:rsidR="00781766" w:rsidRPr="008D04AA" w:rsidRDefault="00781766" w:rsidP="00EB5C27">
            <w:pPr>
              <w:rPr>
                <w:b/>
                <w:bCs/>
                <w:sz w:val="18"/>
                <w:szCs w:val="18"/>
                <w:lang w:eastAsia="en-AU"/>
              </w:rPr>
            </w:pPr>
            <w:r w:rsidRPr="008D04AA">
              <w:rPr>
                <w:b/>
                <w:bCs/>
                <w:sz w:val="18"/>
                <w:szCs w:val="18"/>
                <w:lang w:eastAsia="en-AU"/>
              </w:rPr>
              <w:t> </w:t>
            </w:r>
          </w:p>
        </w:tc>
        <w:tc>
          <w:tcPr>
            <w:tcW w:w="1106"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62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r>
      <w:tr w:rsidR="00781766" w:rsidRPr="008D04AA" w:rsidTr="00EB5C27">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2392" w:type="dxa"/>
            <w:tcBorders>
              <w:top w:val="nil"/>
              <w:left w:val="nil"/>
              <w:bottom w:val="nil"/>
              <w:right w:val="nil"/>
            </w:tcBorders>
            <w:shd w:val="clear" w:color="000000" w:fill="FFFFFF"/>
            <w:hideMark/>
          </w:tcPr>
          <w:p w:rsidR="00781766" w:rsidRPr="008D04AA" w:rsidRDefault="00781766" w:rsidP="00EB5C27">
            <w:pPr>
              <w:rPr>
                <w:b/>
                <w:bCs/>
                <w:sz w:val="18"/>
                <w:szCs w:val="18"/>
                <w:lang w:eastAsia="en-AU"/>
              </w:rPr>
            </w:pPr>
            <w:r w:rsidRPr="008D04AA">
              <w:rPr>
                <w:b/>
                <w:bCs/>
                <w:sz w:val="18"/>
                <w:szCs w:val="18"/>
                <w:lang w:eastAsia="en-AU"/>
              </w:rPr>
              <w:t>Revenue</w:t>
            </w:r>
          </w:p>
        </w:tc>
        <w:tc>
          <w:tcPr>
            <w:tcW w:w="1106"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62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r>
      <w:tr w:rsidR="00781766" w:rsidRPr="008D04AA" w:rsidTr="00EB5C27">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246,938</w:t>
            </w:r>
          </w:p>
        </w:tc>
        <w:tc>
          <w:tcPr>
            <w:tcW w:w="2392" w:type="dxa"/>
            <w:tcBorders>
              <w:top w:val="nil"/>
              <w:left w:val="nil"/>
              <w:bottom w:val="nil"/>
              <w:right w:val="nil"/>
            </w:tcBorders>
            <w:shd w:val="clear" w:color="000000" w:fill="FFFFFF"/>
            <w:hideMark/>
          </w:tcPr>
          <w:p w:rsidR="00781766" w:rsidRPr="008D04AA" w:rsidRDefault="00781766" w:rsidP="00EB5C27">
            <w:pPr>
              <w:rPr>
                <w:sz w:val="18"/>
                <w:szCs w:val="18"/>
                <w:lang w:eastAsia="en-AU"/>
              </w:rPr>
            </w:pPr>
            <w:r w:rsidRPr="008D04AA">
              <w:rPr>
                <w:sz w:val="18"/>
                <w:szCs w:val="18"/>
                <w:lang w:eastAsia="en-AU"/>
              </w:rPr>
              <w:t xml:space="preserve">Government Payment for </w:t>
            </w:r>
            <w:r w:rsidRPr="008D04AA">
              <w:rPr>
                <w:sz w:val="18"/>
                <w:szCs w:val="18"/>
                <w:lang w:eastAsia="en-AU"/>
              </w:rPr>
              <w:br/>
              <w:t xml:space="preserve">   Outputs</w:t>
            </w:r>
          </w:p>
        </w:tc>
        <w:tc>
          <w:tcPr>
            <w:tcW w:w="1106"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258,438</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264,902</w:t>
            </w:r>
          </w:p>
        </w:tc>
        <w:tc>
          <w:tcPr>
            <w:tcW w:w="62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xml:space="preserve">3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250,291</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250,494</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254,978</w:t>
            </w:r>
          </w:p>
        </w:tc>
      </w:tr>
      <w:tr w:rsidR="00781766" w:rsidRPr="008D04AA" w:rsidTr="00EB5C27">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18,489</w:t>
            </w:r>
          </w:p>
        </w:tc>
        <w:tc>
          <w:tcPr>
            <w:tcW w:w="2392" w:type="dxa"/>
            <w:tcBorders>
              <w:top w:val="nil"/>
              <w:left w:val="nil"/>
              <w:bottom w:val="nil"/>
              <w:right w:val="nil"/>
            </w:tcBorders>
            <w:shd w:val="clear" w:color="000000" w:fill="FFFFFF"/>
            <w:hideMark/>
          </w:tcPr>
          <w:p w:rsidR="00781766" w:rsidRPr="008D04AA" w:rsidRDefault="00781766" w:rsidP="00EB5C27">
            <w:pPr>
              <w:rPr>
                <w:sz w:val="18"/>
                <w:szCs w:val="18"/>
                <w:lang w:eastAsia="en-AU"/>
              </w:rPr>
            </w:pPr>
            <w:r w:rsidRPr="008D04AA">
              <w:rPr>
                <w:sz w:val="18"/>
                <w:szCs w:val="18"/>
                <w:lang w:eastAsia="en-AU"/>
              </w:rPr>
              <w:t xml:space="preserve">User Charges - Non ACT </w:t>
            </w:r>
            <w:r w:rsidRPr="008D04AA">
              <w:rPr>
                <w:sz w:val="18"/>
                <w:szCs w:val="18"/>
                <w:lang w:eastAsia="en-AU"/>
              </w:rPr>
              <w:br/>
              <w:t xml:space="preserve">   Government</w:t>
            </w:r>
          </w:p>
        </w:tc>
        <w:tc>
          <w:tcPr>
            <w:tcW w:w="1106"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9,446</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9,294</w:t>
            </w:r>
          </w:p>
        </w:tc>
        <w:tc>
          <w:tcPr>
            <w:tcW w:w="62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xml:space="preserve">-2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19,077</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19,815</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20,607</w:t>
            </w:r>
          </w:p>
        </w:tc>
      </w:tr>
      <w:tr w:rsidR="00781766" w:rsidRPr="008D04AA" w:rsidTr="00EB5C27">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2,968</w:t>
            </w:r>
          </w:p>
        </w:tc>
        <w:tc>
          <w:tcPr>
            <w:tcW w:w="2392" w:type="dxa"/>
            <w:tcBorders>
              <w:top w:val="nil"/>
              <w:left w:val="nil"/>
              <w:bottom w:val="nil"/>
              <w:right w:val="nil"/>
            </w:tcBorders>
            <w:shd w:val="clear" w:color="000000" w:fill="FFFFFF"/>
            <w:hideMark/>
          </w:tcPr>
          <w:p w:rsidR="00781766" w:rsidRPr="008D04AA" w:rsidRDefault="00781766" w:rsidP="00EB5C27">
            <w:pPr>
              <w:rPr>
                <w:sz w:val="18"/>
                <w:szCs w:val="18"/>
                <w:lang w:eastAsia="en-AU"/>
              </w:rPr>
            </w:pPr>
            <w:r w:rsidRPr="008D04AA">
              <w:rPr>
                <w:sz w:val="18"/>
                <w:szCs w:val="18"/>
                <w:lang w:eastAsia="en-AU"/>
              </w:rPr>
              <w:t xml:space="preserve">User Charges - ACT </w:t>
            </w:r>
            <w:r w:rsidRPr="008D04AA">
              <w:rPr>
                <w:sz w:val="18"/>
                <w:szCs w:val="18"/>
                <w:lang w:eastAsia="en-AU"/>
              </w:rPr>
              <w:br/>
              <w:t xml:space="preserve">   Government</w:t>
            </w:r>
          </w:p>
        </w:tc>
        <w:tc>
          <w:tcPr>
            <w:tcW w:w="1106"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3,621</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3,386</w:t>
            </w:r>
          </w:p>
        </w:tc>
        <w:tc>
          <w:tcPr>
            <w:tcW w:w="62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xml:space="preserve">-6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3,424</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3,517</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3,644</w:t>
            </w:r>
          </w:p>
        </w:tc>
      </w:tr>
      <w:tr w:rsidR="00781766" w:rsidRPr="008D04AA" w:rsidTr="00EB5C27">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5,881</w:t>
            </w:r>
          </w:p>
        </w:tc>
        <w:tc>
          <w:tcPr>
            <w:tcW w:w="2392" w:type="dxa"/>
            <w:tcBorders>
              <w:top w:val="nil"/>
              <w:left w:val="nil"/>
              <w:bottom w:val="nil"/>
              <w:right w:val="nil"/>
            </w:tcBorders>
            <w:shd w:val="clear" w:color="000000" w:fill="FFFFFF"/>
            <w:hideMark/>
          </w:tcPr>
          <w:p w:rsidR="00781766" w:rsidRPr="008D04AA" w:rsidRDefault="00781766" w:rsidP="00EB5C27">
            <w:pPr>
              <w:rPr>
                <w:sz w:val="18"/>
                <w:szCs w:val="18"/>
                <w:lang w:eastAsia="en-AU"/>
              </w:rPr>
            </w:pPr>
            <w:r w:rsidRPr="008D04AA">
              <w:rPr>
                <w:sz w:val="18"/>
                <w:szCs w:val="18"/>
                <w:lang w:eastAsia="en-AU"/>
              </w:rPr>
              <w:t>Other Revenue</w:t>
            </w:r>
          </w:p>
        </w:tc>
        <w:tc>
          <w:tcPr>
            <w:tcW w:w="1106"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6,700</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9,762</w:t>
            </w:r>
          </w:p>
        </w:tc>
        <w:tc>
          <w:tcPr>
            <w:tcW w:w="62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xml:space="preserve">46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9,630</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9,885</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10,494</w:t>
            </w:r>
          </w:p>
        </w:tc>
      </w:tr>
      <w:tr w:rsidR="00781766" w:rsidRPr="008D04AA" w:rsidTr="00EB5C27">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259</w:t>
            </w:r>
          </w:p>
        </w:tc>
        <w:tc>
          <w:tcPr>
            <w:tcW w:w="2392" w:type="dxa"/>
            <w:tcBorders>
              <w:top w:val="nil"/>
              <w:left w:val="nil"/>
              <w:bottom w:val="nil"/>
              <w:right w:val="nil"/>
            </w:tcBorders>
            <w:shd w:val="clear" w:color="000000" w:fill="FFFFFF"/>
            <w:hideMark/>
          </w:tcPr>
          <w:p w:rsidR="00781766" w:rsidRPr="008D04AA" w:rsidRDefault="00781766" w:rsidP="00EB5C27">
            <w:pPr>
              <w:rPr>
                <w:sz w:val="18"/>
                <w:szCs w:val="18"/>
                <w:lang w:eastAsia="en-AU"/>
              </w:rPr>
            </w:pPr>
            <w:r w:rsidRPr="008D04AA">
              <w:rPr>
                <w:sz w:val="18"/>
                <w:szCs w:val="18"/>
                <w:lang w:eastAsia="en-AU"/>
              </w:rPr>
              <w:t>Resources Received</w:t>
            </w:r>
            <w:r w:rsidRPr="008D04AA">
              <w:rPr>
                <w:sz w:val="18"/>
                <w:szCs w:val="18"/>
                <w:lang w:eastAsia="en-AU"/>
              </w:rPr>
              <w:br/>
              <w:t xml:space="preserve">   Free of Charge</w:t>
            </w:r>
          </w:p>
        </w:tc>
        <w:tc>
          <w:tcPr>
            <w:tcW w:w="1106"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259</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257</w:t>
            </w:r>
          </w:p>
        </w:tc>
        <w:tc>
          <w:tcPr>
            <w:tcW w:w="62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xml:space="preserve">-1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256</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265</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276</w:t>
            </w:r>
          </w:p>
        </w:tc>
      </w:tr>
      <w:tr w:rsidR="00781766" w:rsidRPr="008D04AA" w:rsidTr="00EB5C27">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2392" w:type="dxa"/>
            <w:tcBorders>
              <w:top w:val="nil"/>
              <w:left w:val="nil"/>
              <w:bottom w:val="nil"/>
              <w:right w:val="nil"/>
            </w:tcBorders>
            <w:shd w:val="clear" w:color="000000" w:fill="FFFFFF"/>
            <w:hideMark/>
          </w:tcPr>
          <w:p w:rsidR="00781766" w:rsidRPr="008D04AA" w:rsidRDefault="00781766" w:rsidP="00EB5C27">
            <w:pPr>
              <w:rPr>
                <w:b/>
                <w:bCs/>
                <w:sz w:val="18"/>
                <w:szCs w:val="18"/>
                <w:lang w:eastAsia="en-AU"/>
              </w:rPr>
            </w:pPr>
            <w:r w:rsidRPr="008D04AA">
              <w:rPr>
                <w:b/>
                <w:bCs/>
                <w:sz w:val="18"/>
                <w:szCs w:val="18"/>
                <w:lang w:eastAsia="en-AU"/>
              </w:rPr>
              <w:t> </w:t>
            </w:r>
          </w:p>
        </w:tc>
        <w:tc>
          <w:tcPr>
            <w:tcW w:w="1106"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62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r>
      <w:tr w:rsidR="00781766" w:rsidRPr="008D04AA" w:rsidTr="00EB5C27">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274,535</w:t>
            </w:r>
          </w:p>
        </w:tc>
        <w:tc>
          <w:tcPr>
            <w:tcW w:w="2392" w:type="dxa"/>
            <w:tcBorders>
              <w:top w:val="nil"/>
              <w:left w:val="nil"/>
              <w:bottom w:val="nil"/>
              <w:right w:val="nil"/>
            </w:tcBorders>
            <w:shd w:val="clear" w:color="000000" w:fill="FFFFFF"/>
            <w:hideMark/>
          </w:tcPr>
          <w:p w:rsidR="00781766" w:rsidRPr="008D04AA" w:rsidRDefault="00781766" w:rsidP="00EB5C27">
            <w:pPr>
              <w:rPr>
                <w:b/>
                <w:bCs/>
                <w:sz w:val="18"/>
                <w:szCs w:val="18"/>
                <w:lang w:eastAsia="en-AU"/>
              </w:rPr>
            </w:pPr>
            <w:r w:rsidRPr="008D04AA">
              <w:rPr>
                <w:b/>
                <w:bCs/>
                <w:sz w:val="18"/>
                <w:szCs w:val="18"/>
                <w:lang w:eastAsia="en-AU"/>
              </w:rPr>
              <w:t>Total Revenue</w:t>
            </w:r>
          </w:p>
        </w:tc>
        <w:tc>
          <w:tcPr>
            <w:tcW w:w="1106"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278,464</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287,601</w:t>
            </w:r>
          </w:p>
        </w:tc>
        <w:tc>
          <w:tcPr>
            <w:tcW w:w="62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 xml:space="preserve">3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282,678</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283,976</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289,999</w:t>
            </w:r>
          </w:p>
        </w:tc>
      </w:tr>
      <w:tr w:rsidR="00781766" w:rsidRPr="008D04AA" w:rsidTr="00EB5C27">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2392" w:type="dxa"/>
            <w:tcBorders>
              <w:top w:val="nil"/>
              <w:left w:val="nil"/>
              <w:bottom w:val="nil"/>
              <w:right w:val="nil"/>
            </w:tcBorders>
            <w:shd w:val="clear" w:color="000000" w:fill="FFFFFF"/>
            <w:hideMark/>
          </w:tcPr>
          <w:p w:rsidR="00781766" w:rsidRPr="008D04AA" w:rsidRDefault="00781766" w:rsidP="00EB5C27">
            <w:pPr>
              <w:rPr>
                <w:b/>
                <w:bCs/>
                <w:sz w:val="18"/>
                <w:szCs w:val="18"/>
                <w:lang w:eastAsia="en-AU"/>
              </w:rPr>
            </w:pPr>
            <w:r w:rsidRPr="008D04AA">
              <w:rPr>
                <w:b/>
                <w:bCs/>
                <w:sz w:val="18"/>
                <w:szCs w:val="18"/>
                <w:lang w:eastAsia="en-AU"/>
              </w:rPr>
              <w:t> </w:t>
            </w:r>
          </w:p>
        </w:tc>
        <w:tc>
          <w:tcPr>
            <w:tcW w:w="1106"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62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r>
      <w:tr w:rsidR="00781766" w:rsidRPr="008D04AA" w:rsidTr="00EB5C27">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2392" w:type="dxa"/>
            <w:tcBorders>
              <w:top w:val="nil"/>
              <w:left w:val="nil"/>
              <w:bottom w:val="nil"/>
              <w:right w:val="nil"/>
            </w:tcBorders>
            <w:shd w:val="clear" w:color="000000" w:fill="FFFFFF"/>
            <w:hideMark/>
          </w:tcPr>
          <w:p w:rsidR="00781766" w:rsidRPr="008D04AA" w:rsidRDefault="00781766" w:rsidP="00EB5C27">
            <w:pPr>
              <w:rPr>
                <w:b/>
                <w:bCs/>
                <w:sz w:val="18"/>
                <w:szCs w:val="18"/>
                <w:lang w:eastAsia="en-AU"/>
              </w:rPr>
            </w:pPr>
            <w:r w:rsidRPr="008D04AA">
              <w:rPr>
                <w:b/>
                <w:bCs/>
                <w:sz w:val="18"/>
                <w:szCs w:val="18"/>
                <w:lang w:eastAsia="en-AU"/>
              </w:rPr>
              <w:t>Gains</w:t>
            </w:r>
          </w:p>
        </w:tc>
        <w:tc>
          <w:tcPr>
            <w:tcW w:w="1106"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62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r>
      <w:tr w:rsidR="00781766" w:rsidRPr="008D04AA" w:rsidTr="00EB5C27">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2392" w:type="dxa"/>
            <w:tcBorders>
              <w:top w:val="nil"/>
              <w:left w:val="nil"/>
              <w:bottom w:val="nil"/>
              <w:right w:val="nil"/>
            </w:tcBorders>
            <w:shd w:val="clear" w:color="000000" w:fill="FFFFFF"/>
            <w:hideMark/>
          </w:tcPr>
          <w:p w:rsidR="00781766" w:rsidRPr="008D04AA" w:rsidRDefault="00781766" w:rsidP="00EB5C27">
            <w:pPr>
              <w:rPr>
                <w:b/>
                <w:bCs/>
                <w:sz w:val="18"/>
                <w:szCs w:val="18"/>
                <w:lang w:eastAsia="en-AU"/>
              </w:rPr>
            </w:pPr>
            <w:r w:rsidRPr="008D04AA">
              <w:rPr>
                <w:b/>
                <w:bCs/>
                <w:sz w:val="18"/>
                <w:szCs w:val="18"/>
                <w:lang w:eastAsia="en-AU"/>
              </w:rPr>
              <w:t> </w:t>
            </w:r>
          </w:p>
        </w:tc>
        <w:tc>
          <w:tcPr>
            <w:tcW w:w="1106"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62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r>
      <w:tr w:rsidR="00781766" w:rsidRPr="008D04AA" w:rsidTr="00EB5C27">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0</w:t>
            </w:r>
          </w:p>
        </w:tc>
        <w:tc>
          <w:tcPr>
            <w:tcW w:w="2392" w:type="dxa"/>
            <w:tcBorders>
              <w:top w:val="nil"/>
              <w:left w:val="nil"/>
              <w:bottom w:val="nil"/>
              <w:right w:val="nil"/>
            </w:tcBorders>
            <w:shd w:val="clear" w:color="000000" w:fill="FFFFFF"/>
            <w:hideMark/>
          </w:tcPr>
          <w:p w:rsidR="00781766" w:rsidRPr="008D04AA" w:rsidRDefault="00781766" w:rsidP="00EB5C27">
            <w:pPr>
              <w:rPr>
                <w:sz w:val="18"/>
                <w:szCs w:val="18"/>
                <w:lang w:eastAsia="en-AU"/>
              </w:rPr>
            </w:pPr>
            <w:r w:rsidRPr="008D04AA">
              <w:rPr>
                <w:sz w:val="18"/>
                <w:szCs w:val="18"/>
                <w:lang w:eastAsia="en-AU"/>
              </w:rPr>
              <w:t>Other Gains</w:t>
            </w:r>
          </w:p>
        </w:tc>
        <w:tc>
          <w:tcPr>
            <w:tcW w:w="1106"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75</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0</w:t>
            </w:r>
          </w:p>
        </w:tc>
        <w:tc>
          <w:tcPr>
            <w:tcW w:w="62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xml:space="preserve">-100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0</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0</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0</w:t>
            </w:r>
          </w:p>
        </w:tc>
      </w:tr>
      <w:tr w:rsidR="00781766" w:rsidRPr="008D04AA" w:rsidTr="00EB5C27">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2392" w:type="dxa"/>
            <w:tcBorders>
              <w:top w:val="nil"/>
              <w:left w:val="nil"/>
              <w:bottom w:val="nil"/>
              <w:right w:val="nil"/>
            </w:tcBorders>
            <w:shd w:val="clear" w:color="000000" w:fill="FFFFFF"/>
            <w:hideMark/>
          </w:tcPr>
          <w:p w:rsidR="00781766" w:rsidRPr="008D04AA" w:rsidRDefault="00781766" w:rsidP="00EB5C27">
            <w:pPr>
              <w:rPr>
                <w:b/>
                <w:bCs/>
                <w:sz w:val="18"/>
                <w:szCs w:val="18"/>
                <w:lang w:eastAsia="en-AU"/>
              </w:rPr>
            </w:pPr>
            <w:r w:rsidRPr="008D04AA">
              <w:rPr>
                <w:b/>
                <w:bCs/>
                <w:sz w:val="18"/>
                <w:szCs w:val="18"/>
                <w:lang w:eastAsia="en-AU"/>
              </w:rPr>
              <w:t> </w:t>
            </w:r>
          </w:p>
        </w:tc>
        <w:tc>
          <w:tcPr>
            <w:tcW w:w="1106"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62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r>
      <w:tr w:rsidR="00781766" w:rsidRPr="008D04AA" w:rsidTr="00EB5C27">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0</w:t>
            </w:r>
          </w:p>
        </w:tc>
        <w:tc>
          <w:tcPr>
            <w:tcW w:w="2392" w:type="dxa"/>
            <w:tcBorders>
              <w:top w:val="nil"/>
              <w:left w:val="nil"/>
              <w:bottom w:val="nil"/>
              <w:right w:val="nil"/>
            </w:tcBorders>
            <w:shd w:val="clear" w:color="000000" w:fill="FFFFFF"/>
            <w:hideMark/>
          </w:tcPr>
          <w:p w:rsidR="00781766" w:rsidRPr="008D04AA" w:rsidRDefault="00781766" w:rsidP="00EB5C27">
            <w:pPr>
              <w:rPr>
                <w:b/>
                <w:bCs/>
                <w:sz w:val="18"/>
                <w:szCs w:val="18"/>
                <w:lang w:eastAsia="en-AU"/>
              </w:rPr>
            </w:pPr>
            <w:r w:rsidRPr="008D04AA">
              <w:rPr>
                <w:b/>
                <w:bCs/>
                <w:sz w:val="18"/>
                <w:szCs w:val="18"/>
                <w:lang w:eastAsia="en-AU"/>
              </w:rPr>
              <w:t>Total Gains</w:t>
            </w:r>
          </w:p>
        </w:tc>
        <w:tc>
          <w:tcPr>
            <w:tcW w:w="1106"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75</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0</w:t>
            </w:r>
          </w:p>
        </w:tc>
        <w:tc>
          <w:tcPr>
            <w:tcW w:w="62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 xml:space="preserve">-100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0</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0</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0</w:t>
            </w:r>
          </w:p>
        </w:tc>
      </w:tr>
      <w:tr w:rsidR="00781766" w:rsidRPr="008D04AA" w:rsidTr="00EB5C27">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2392" w:type="dxa"/>
            <w:tcBorders>
              <w:top w:val="nil"/>
              <w:left w:val="nil"/>
              <w:bottom w:val="nil"/>
              <w:right w:val="nil"/>
            </w:tcBorders>
            <w:shd w:val="clear" w:color="000000" w:fill="FFFFFF"/>
            <w:hideMark/>
          </w:tcPr>
          <w:p w:rsidR="00781766" w:rsidRPr="008D04AA" w:rsidRDefault="00781766" w:rsidP="00EB5C27">
            <w:pPr>
              <w:rPr>
                <w:b/>
                <w:bCs/>
                <w:sz w:val="18"/>
                <w:szCs w:val="18"/>
                <w:lang w:eastAsia="en-AU"/>
              </w:rPr>
            </w:pPr>
            <w:r w:rsidRPr="008D04AA">
              <w:rPr>
                <w:b/>
                <w:bCs/>
                <w:sz w:val="18"/>
                <w:szCs w:val="18"/>
                <w:lang w:eastAsia="en-AU"/>
              </w:rPr>
              <w:t> </w:t>
            </w:r>
          </w:p>
        </w:tc>
        <w:tc>
          <w:tcPr>
            <w:tcW w:w="1106"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62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r>
      <w:tr w:rsidR="00781766" w:rsidRPr="008D04AA" w:rsidTr="00EB5C27">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274,535</w:t>
            </w:r>
          </w:p>
        </w:tc>
        <w:tc>
          <w:tcPr>
            <w:tcW w:w="2392" w:type="dxa"/>
            <w:tcBorders>
              <w:top w:val="nil"/>
              <w:left w:val="nil"/>
              <w:bottom w:val="nil"/>
              <w:right w:val="nil"/>
            </w:tcBorders>
            <w:shd w:val="clear" w:color="000000" w:fill="FFFFFF"/>
            <w:hideMark/>
          </w:tcPr>
          <w:p w:rsidR="00781766" w:rsidRPr="008D04AA" w:rsidRDefault="00781766" w:rsidP="00EB5C27">
            <w:pPr>
              <w:rPr>
                <w:b/>
                <w:bCs/>
                <w:sz w:val="18"/>
                <w:szCs w:val="18"/>
                <w:lang w:eastAsia="en-AU"/>
              </w:rPr>
            </w:pPr>
            <w:r w:rsidRPr="008D04AA">
              <w:rPr>
                <w:b/>
                <w:bCs/>
                <w:sz w:val="18"/>
                <w:szCs w:val="18"/>
                <w:lang w:eastAsia="en-AU"/>
              </w:rPr>
              <w:t>Total Income</w:t>
            </w:r>
          </w:p>
        </w:tc>
        <w:tc>
          <w:tcPr>
            <w:tcW w:w="1106"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278,539</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287,601</w:t>
            </w:r>
          </w:p>
        </w:tc>
        <w:tc>
          <w:tcPr>
            <w:tcW w:w="62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 xml:space="preserve">3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282,678</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283,976</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289,999</w:t>
            </w:r>
          </w:p>
        </w:tc>
      </w:tr>
      <w:tr w:rsidR="00781766" w:rsidRPr="008D04AA" w:rsidTr="00EB5C27">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2392" w:type="dxa"/>
            <w:tcBorders>
              <w:top w:val="nil"/>
              <w:left w:val="nil"/>
              <w:bottom w:val="nil"/>
              <w:right w:val="nil"/>
            </w:tcBorders>
            <w:shd w:val="clear" w:color="000000" w:fill="FFFFFF"/>
            <w:hideMark/>
          </w:tcPr>
          <w:p w:rsidR="00781766" w:rsidRPr="008D04AA" w:rsidRDefault="00781766" w:rsidP="00EB5C27">
            <w:pPr>
              <w:rPr>
                <w:b/>
                <w:bCs/>
                <w:sz w:val="18"/>
                <w:szCs w:val="18"/>
                <w:lang w:eastAsia="en-AU"/>
              </w:rPr>
            </w:pPr>
            <w:r w:rsidRPr="008D04AA">
              <w:rPr>
                <w:b/>
                <w:bCs/>
                <w:sz w:val="18"/>
                <w:szCs w:val="18"/>
                <w:lang w:eastAsia="en-AU"/>
              </w:rPr>
              <w:t> </w:t>
            </w:r>
          </w:p>
        </w:tc>
        <w:tc>
          <w:tcPr>
            <w:tcW w:w="1106"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62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r>
      <w:tr w:rsidR="00781766" w:rsidRPr="008D04AA" w:rsidTr="00EB5C27">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2392" w:type="dxa"/>
            <w:tcBorders>
              <w:top w:val="nil"/>
              <w:left w:val="nil"/>
              <w:bottom w:val="nil"/>
              <w:right w:val="nil"/>
            </w:tcBorders>
            <w:shd w:val="clear" w:color="000000" w:fill="FFFFFF"/>
            <w:hideMark/>
          </w:tcPr>
          <w:p w:rsidR="00781766" w:rsidRPr="008D04AA" w:rsidRDefault="00781766" w:rsidP="00EB5C27">
            <w:pPr>
              <w:rPr>
                <w:b/>
                <w:bCs/>
                <w:sz w:val="18"/>
                <w:szCs w:val="18"/>
                <w:lang w:eastAsia="en-AU"/>
              </w:rPr>
            </w:pPr>
            <w:r w:rsidRPr="008D04AA">
              <w:rPr>
                <w:b/>
                <w:bCs/>
                <w:sz w:val="18"/>
                <w:szCs w:val="18"/>
                <w:lang w:eastAsia="en-AU"/>
              </w:rPr>
              <w:t xml:space="preserve">Expenses  </w:t>
            </w:r>
          </w:p>
        </w:tc>
        <w:tc>
          <w:tcPr>
            <w:tcW w:w="1106"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62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r>
      <w:tr w:rsidR="00781766" w:rsidRPr="008D04AA" w:rsidTr="00EB5C27">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166,287</w:t>
            </w:r>
          </w:p>
        </w:tc>
        <w:tc>
          <w:tcPr>
            <w:tcW w:w="2392" w:type="dxa"/>
            <w:tcBorders>
              <w:top w:val="nil"/>
              <w:left w:val="nil"/>
              <w:bottom w:val="nil"/>
              <w:right w:val="nil"/>
            </w:tcBorders>
            <w:shd w:val="clear" w:color="000000" w:fill="FFFFFF"/>
            <w:hideMark/>
          </w:tcPr>
          <w:p w:rsidR="00781766" w:rsidRPr="008D04AA" w:rsidRDefault="00781766" w:rsidP="00EB5C27">
            <w:pPr>
              <w:rPr>
                <w:sz w:val="18"/>
                <w:szCs w:val="18"/>
                <w:lang w:eastAsia="en-AU"/>
              </w:rPr>
            </w:pPr>
            <w:r w:rsidRPr="008D04AA">
              <w:rPr>
                <w:sz w:val="18"/>
                <w:szCs w:val="18"/>
                <w:lang w:eastAsia="en-AU"/>
              </w:rPr>
              <w:t>Employee Expenses</w:t>
            </w:r>
          </w:p>
        </w:tc>
        <w:tc>
          <w:tcPr>
            <w:tcW w:w="1106"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173,282</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176,176</w:t>
            </w:r>
          </w:p>
        </w:tc>
        <w:tc>
          <w:tcPr>
            <w:tcW w:w="62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xml:space="preserve">2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172,791</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172,272</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176,142</w:t>
            </w:r>
          </w:p>
        </w:tc>
      </w:tr>
      <w:tr w:rsidR="00781766" w:rsidRPr="008D04AA" w:rsidTr="00EB5C27">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24,400</w:t>
            </w:r>
          </w:p>
        </w:tc>
        <w:tc>
          <w:tcPr>
            <w:tcW w:w="2392" w:type="dxa"/>
            <w:tcBorders>
              <w:top w:val="nil"/>
              <w:left w:val="nil"/>
              <w:bottom w:val="nil"/>
              <w:right w:val="nil"/>
            </w:tcBorders>
            <w:shd w:val="clear" w:color="000000" w:fill="FFFFFF"/>
            <w:hideMark/>
          </w:tcPr>
          <w:p w:rsidR="00781766" w:rsidRPr="008D04AA" w:rsidRDefault="00781766" w:rsidP="00EB5C27">
            <w:pPr>
              <w:rPr>
                <w:sz w:val="18"/>
                <w:szCs w:val="18"/>
                <w:lang w:eastAsia="en-AU"/>
              </w:rPr>
            </w:pPr>
            <w:r w:rsidRPr="008D04AA">
              <w:rPr>
                <w:sz w:val="18"/>
                <w:szCs w:val="18"/>
                <w:lang w:eastAsia="en-AU"/>
              </w:rPr>
              <w:t>Superannuation Expenses</w:t>
            </w:r>
          </w:p>
        </w:tc>
        <w:tc>
          <w:tcPr>
            <w:tcW w:w="1106"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24,808</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25,006</w:t>
            </w:r>
          </w:p>
        </w:tc>
        <w:tc>
          <w:tcPr>
            <w:tcW w:w="62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xml:space="preserve">1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25,430</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26,103</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26,927</w:t>
            </w:r>
          </w:p>
        </w:tc>
      </w:tr>
      <w:tr w:rsidR="00781766" w:rsidRPr="008D04AA" w:rsidTr="00EB5C27">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80,012</w:t>
            </w:r>
          </w:p>
        </w:tc>
        <w:tc>
          <w:tcPr>
            <w:tcW w:w="2392" w:type="dxa"/>
            <w:tcBorders>
              <w:top w:val="nil"/>
              <w:left w:val="nil"/>
              <w:bottom w:val="nil"/>
              <w:right w:val="nil"/>
            </w:tcBorders>
            <w:shd w:val="clear" w:color="000000" w:fill="FFFFFF"/>
            <w:hideMark/>
          </w:tcPr>
          <w:p w:rsidR="00781766" w:rsidRPr="008D04AA" w:rsidRDefault="00781766" w:rsidP="00EB5C27">
            <w:pPr>
              <w:rPr>
                <w:sz w:val="18"/>
                <w:szCs w:val="18"/>
                <w:lang w:eastAsia="en-AU"/>
              </w:rPr>
            </w:pPr>
            <w:r w:rsidRPr="008D04AA">
              <w:rPr>
                <w:sz w:val="18"/>
                <w:szCs w:val="18"/>
                <w:lang w:eastAsia="en-AU"/>
              </w:rPr>
              <w:t>Supplies and Services</w:t>
            </w:r>
          </w:p>
        </w:tc>
        <w:tc>
          <w:tcPr>
            <w:tcW w:w="1106"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76,648</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79,615</w:t>
            </w:r>
          </w:p>
        </w:tc>
        <w:tc>
          <w:tcPr>
            <w:tcW w:w="62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xml:space="preserve">4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78,978</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80,988</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83,498</w:t>
            </w:r>
          </w:p>
        </w:tc>
      </w:tr>
      <w:tr w:rsidR="00781766" w:rsidRPr="008D04AA" w:rsidTr="00EB5C27">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24,293</w:t>
            </w:r>
          </w:p>
        </w:tc>
        <w:tc>
          <w:tcPr>
            <w:tcW w:w="2392" w:type="dxa"/>
            <w:tcBorders>
              <w:top w:val="nil"/>
              <w:left w:val="nil"/>
              <w:bottom w:val="nil"/>
              <w:right w:val="nil"/>
            </w:tcBorders>
            <w:shd w:val="clear" w:color="000000" w:fill="FFFFFF"/>
            <w:hideMark/>
          </w:tcPr>
          <w:p w:rsidR="00781766" w:rsidRPr="008D04AA" w:rsidRDefault="00781766" w:rsidP="00EB5C27">
            <w:pPr>
              <w:rPr>
                <w:sz w:val="18"/>
                <w:szCs w:val="18"/>
                <w:lang w:eastAsia="en-AU"/>
              </w:rPr>
            </w:pPr>
            <w:r w:rsidRPr="008D04AA">
              <w:rPr>
                <w:sz w:val="18"/>
                <w:szCs w:val="18"/>
                <w:lang w:eastAsia="en-AU"/>
              </w:rPr>
              <w:t xml:space="preserve">Depreciation and </w:t>
            </w:r>
            <w:r w:rsidRPr="008D04AA">
              <w:rPr>
                <w:sz w:val="18"/>
                <w:szCs w:val="18"/>
                <w:lang w:eastAsia="en-AU"/>
              </w:rPr>
              <w:br/>
              <w:t xml:space="preserve">   Amortisation</w:t>
            </w:r>
          </w:p>
        </w:tc>
        <w:tc>
          <w:tcPr>
            <w:tcW w:w="1106"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20,475</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25,115</w:t>
            </w:r>
          </w:p>
        </w:tc>
        <w:tc>
          <w:tcPr>
            <w:tcW w:w="62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xml:space="preserve">23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26,338</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27,166</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27,320</w:t>
            </w:r>
          </w:p>
        </w:tc>
      </w:tr>
      <w:tr w:rsidR="00781766" w:rsidRPr="008D04AA" w:rsidTr="00EB5C27">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307</w:t>
            </w:r>
          </w:p>
        </w:tc>
        <w:tc>
          <w:tcPr>
            <w:tcW w:w="2392" w:type="dxa"/>
            <w:tcBorders>
              <w:top w:val="nil"/>
              <w:left w:val="nil"/>
              <w:bottom w:val="nil"/>
              <w:right w:val="nil"/>
            </w:tcBorders>
            <w:shd w:val="clear" w:color="000000" w:fill="FFFFFF"/>
            <w:hideMark/>
          </w:tcPr>
          <w:p w:rsidR="00781766" w:rsidRPr="008D04AA" w:rsidRDefault="00781766" w:rsidP="00EB5C27">
            <w:pPr>
              <w:rPr>
                <w:sz w:val="18"/>
                <w:szCs w:val="18"/>
                <w:lang w:eastAsia="en-AU"/>
              </w:rPr>
            </w:pPr>
            <w:r w:rsidRPr="008D04AA">
              <w:rPr>
                <w:sz w:val="18"/>
                <w:szCs w:val="18"/>
                <w:lang w:eastAsia="en-AU"/>
              </w:rPr>
              <w:t>Borrowing Costs</w:t>
            </w:r>
          </w:p>
        </w:tc>
        <w:tc>
          <w:tcPr>
            <w:tcW w:w="1106"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354</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324</w:t>
            </w:r>
          </w:p>
        </w:tc>
        <w:tc>
          <w:tcPr>
            <w:tcW w:w="62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xml:space="preserve">-8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336</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343</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351</w:t>
            </w:r>
          </w:p>
        </w:tc>
      </w:tr>
      <w:tr w:rsidR="00781766" w:rsidRPr="008D04AA" w:rsidTr="00EB5C27">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1,226</w:t>
            </w:r>
          </w:p>
        </w:tc>
        <w:tc>
          <w:tcPr>
            <w:tcW w:w="2392" w:type="dxa"/>
            <w:tcBorders>
              <w:top w:val="nil"/>
              <w:left w:val="nil"/>
              <w:bottom w:val="nil"/>
              <w:right w:val="nil"/>
            </w:tcBorders>
            <w:shd w:val="clear" w:color="000000" w:fill="FFFFFF"/>
            <w:hideMark/>
          </w:tcPr>
          <w:p w:rsidR="00781766" w:rsidRPr="008D04AA" w:rsidRDefault="00781766" w:rsidP="00EB5C27">
            <w:pPr>
              <w:rPr>
                <w:sz w:val="18"/>
                <w:szCs w:val="18"/>
                <w:lang w:eastAsia="en-AU"/>
              </w:rPr>
            </w:pPr>
            <w:r w:rsidRPr="008D04AA">
              <w:rPr>
                <w:sz w:val="18"/>
                <w:szCs w:val="18"/>
                <w:lang w:eastAsia="en-AU"/>
              </w:rPr>
              <w:t xml:space="preserve">Grants and Purchased </w:t>
            </w:r>
            <w:r w:rsidRPr="008D04AA">
              <w:rPr>
                <w:sz w:val="18"/>
                <w:szCs w:val="18"/>
                <w:lang w:eastAsia="en-AU"/>
              </w:rPr>
              <w:br/>
              <w:t xml:space="preserve">   Services</w:t>
            </w:r>
          </w:p>
        </w:tc>
        <w:tc>
          <w:tcPr>
            <w:tcW w:w="1106"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2,995</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3,667</w:t>
            </w:r>
          </w:p>
        </w:tc>
        <w:tc>
          <w:tcPr>
            <w:tcW w:w="62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xml:space="preserve">22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2,880</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1,984</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746</w:t>
            </w:r>
          </w:p>
        </w:tc>
      </w:tr>
      <w:tr w:rsidR="00781766" w:rsidRPr="008D04AA" w:rsidTr="00EB5C27">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1,340</w:t>
            </w:r>
          </w:p>
        </w:tc>
        <w:tc>
          <w:tcPr>
            <w:tcW w:w="2392" w:type="dxa"/>
            <w:tcBorders>
              <w:top w:val="nil"/>
              <w:left w:val="nil"/>
              <w:bottom w:val="nil"/>
              <w:right w:val="nil"/>
            </w:tcBorders>
            <w:shd w:val="clear" w:color="000000" w:fill="FFFFFF"/>
            <w:hideMark/>
          </w:tcPr>
          <w:p w:rsidR="00781766" w:rsidRPr="008D04AA" w:rsidRDefault="00781766" w:rsidP="00EB5C27">
            <w:pPr>
              <w:rPr>
                <w:sz w:val="18"/>
                <w:szCs w:val="18"/>
                <w:lang w:eastAsia="en-AU"/>
              </w:rPr>
            </w:pPr>
            <w:r w:rsidRPr="008D04AA">
              <w:rPr>
                <w:sz w:val="18"/>
                <w:szCs w:val="18"/>
                <w:lang w:eastAsia="en-AU"/>
              </w:rPr>
              <w:t>Other Expenses</w:t>
            </w:r>
          </w:p>
        </w:tc>
        <w:tc>
          <w:tcPr>
            <w:tcW w:w="1106"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1,678</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1,337</w:t>
            </w:r>
          </w:p>
        </w:tc>
        <w:tc>
          <w:tcPr>
            <w:tcW w:w="62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xml:space="preserve">-20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1,352</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1,378</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1,432</w:t>
            </w:r>
          </w:p>
        </w:tc>
      </w:tr>
      <w:tr w:rsidR="00781766" w:rsidRPr="008D04AA" w:rsidTr="00EB5C27">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2392" w:type="dxa"/>
            <w:tcBorders>
              <w:top w:val="nil"/>
              <w:left w:val="nil"/>
              <w:bottom w:val="nil"/>
              <w:right w:val="nil"/>
            </w:tcBorders>
            <w:shd w:val="clear" w:color="000000" w:fill="FFFFFF"/>
            <w:hideMark/>
          </w:tcPr>
          <w:p w:rsidR="00781766" w:rsidRPr="008D04AA" w:rsidRDefault="00781766" w:rsidP="00EB5C27">
            <w:pPr>
              <w:rPr>
                <w:b/>
                <w:bCs/>
                <w:sz w:val="18"/>
                <w:szCs w:val="18"/>
                <w:lang w:eastAsia="en-AU"/>
              </w:rPr>
            </w:pPr>
            <w:r w:rsidRPr="008D04AA">
              <w:rPr>
                <w:b/>
                <w:bCs/>
                <w:sz w:val="18"/>
                <w:szCs w:val="18"/>
                <w:lang w:eastAsia="en-AU"/>
              </w:rPr>
              <w:t> </w:t>
            </w:r>
          </w:p>
        </w:tc>
        <w:tc>
          <w:tcPr>
            <w:tcW w:w="1106"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62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r>
      <w:tr w:rsidR="00781766" w:rsidRPr="008D04AA" w:rsidTr="00EB5C27">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297,865</w:t>
            </w:r>
          </w:p>
        </w:tc>
        <w:tc>
          <w:tcPr>
            <w:tcW w:w="2392" w:type="dxa"/>
            <w:tcBorders>
              <w:top w:val="nil"/>
              <w:left w:val="nil"/>
              <w:bottom w:val="nil"/>
              <w:right w:val="nil"/>
            </w:tcBorders>
            <w:shd w:val="clear" w:color="000000" w:fill="FFFFFF"/>
            <w:hideMark/>
          </w:tcPr>
          <w:p w:rsidR="00781766" w:rsidRPr="008D04AA" w:rsidRDefault="00781766" w:rsidP="00EB5C27">
            <w:pPr>
              <w:rPr>
                <w:b/>
                <w:bCs/>
                <w:sz w:val="18"/>
                <w:szCs w:val="18"/>
                <w:lang w:eastAsia="en-AU"/>
              </w:rPr>
            </w:pPr>
            <w:r w:rsidRPr="008D04AA">
              <w:rPr>
                <w:b/>
                <w:bCs/>
                <w:sz w:val="18"/>
                <w:szCs w:val="18"/>
                <w:lang w:eastAsia="en-AU"/>
              </w:rPr>
              <w:t xml:space="preserve">Total </w:t>
            </w:r>
            <w:r>
              <w:rPr>
                <w:b/>
                <w:bCs/>
                <w:sz w:val="18"/>
                <w:szCs w:val="18"/>
                <w:lang w:eastAsia="en-AU"/>
              </w:rPr>
              <w:t xml:space="preserve">Ordinary </w:t>
            </w:r>
            <w:r w:rsidRPr="008D04AA">
              <w:rPr>
                <w:b/>
                <w:bCs/>
                <w:sz w:val="18"/>
                <w:szCs w:val="18"/>
                <w:lang w:eastAsia="en-AU"/>
              </w:rPr>
              <w:t>Expenses</w:t>
            </w:r>
          </w:p>
        </w:tc>
        <w:tc>
          <w:tcPr>
            <w:tcW w:w="1106"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300,240</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311,240</w:t>
            </w:r>
          </w:p>
        </w:tc>
        <w:tc>
          <w:tcPr>
            <w:tcW w:w="62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 xml:space="preserve">4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308,105</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310,234</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316,416</w:t>
            </w:r>
          </w:p>
        </w:tc>
      </w:tr>
      <w:tr w:rsidR="00781766" w:rsidRPr="008D04AA" w:rsidTr="00EB5C27">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2392" w:type="dxa"/>
            <w:tcBorders>
              <w:top w:val="nil"/>
              <w:left w:val="nil"/>
              <w:bottom w:val="nil"/>
              <w:right w:val="nil"/>
            </w:tcBorders>
            <w:shd w:val="clear" w:color="000000" w:fill="FFFFFF"/>
            <w:hideMark/>
          </w:tcPr>
          <w:p w:rsidR="00781766" w:rsidRPr="008D04AA" w:rsidRDefault="00781766" w:rsidP="00EB5C27">
            <w:pPr>
              <w:rPr>
                <w:sz w:val="18"/>
                <w:szCs w:val="18"/>
                <w:lang w:eastAsia="en-AU"/>
              </w:rPr>
            </w:pPr>
            <w:r w:rsidRPr="008D04AA">
              <w:rPr>
                <w:sz w:val="18"/>
                <w:szCs w:val="18"/>
                <w:lang w:eastAsia="en-AU"/>
              </w:rPr>
              <w:t> </w:t>
            </w:r>
          </w:p>
        </w:tc>
        <w:tc>
          <w:tcPr>
            <w:tcW w:w="1106"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62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r>
      <w:tr w:rsidR="00781766" w:rsidRPr="008D04AA" w:rsidTr="00EB5C27">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-23,330</w:t>
            </w:r>
          </w:p>
        </w:tc>
        <w:tc>
          <w:tcPr>
            <w:tcW w:w="2392" w:type="dxa"/>
            <w:tcBorders>
              <w:top w:val="nil"/>
              <w:left w:val="nil"/>
              <w:bottom w:val="nil"/>
              <w:right w:val="nil"/>
            </w:tcBorders>
            <w:shd w:val="clear" w:color="000000" w:fill="FFFFFF"/>
            <w:hideMark/>
          </w:tcPr>
          <w:p w:rsidR="00781766" w:rsidRPr="008D04AA" w:rsidRDefault="00781766" w:rsidP="00EB5C27">
            <w:pPr>
              <w:rPr>
                <w:b/>
                <w:bCs/>
                <w:sz w:val="18"/>
                <w:szCs w:val="18"/>
                <w:lang w:eastAsia="en-AU"/>
              </w:rPr>
            </w:pPr>
            <w:r w:rsidRPr="008D04AA">
              <w:rPr>
                <w:b/>
                <w:bCs/>
                <w:sz w:val="18"/>
                <w:szCs w:val="18"/>
                <w:lang w:eastAsia="en-AU"/>
              </w:rPr>
              <w:t>Operating Result</w:t>
            </w:r>
          </w:p>
        </w:tc>
        <w:tc>
          <w:tcPr>
            <w:tcW w:w="1106"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-21,701</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-23,639</w:t>
            </w:r>
          </w:p>
        </w:tc>
        <w:tc>
          <w:tcPr>
            <w:tcW w:w="62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 xml:space="preserve">-9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-25,427</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-26,258</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-26,417</w:t>
            </w:r>
          </w:p>
        </w:tc>
      </w:tr>
      <w:tr w:rsidR="00781766" w:rsidRPr="008D04AA" w:rsidTr="00EB5C27">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 </w:t>
            </w:r>
          </w:p>
        </w:tc>
        <w:tc>
          <w:tcPr>
            <w:tcW w:w="2392" w:type="dxa"/>
            <w:tcBorders>
              <w:top w:val="nil"/>
              <w:left w:val="nil"/>
              <w:bottom w:val="nil"/>
              <w:right w:val="nil"/>
            </w:tcBorders>
            <w:shd w:val="clear" w:color="000000" w:fill="FFFFFF"/>
            <w:hideMark/>
          </w:tcPr>
          <w:p w:rsidR="00781766" w:rsidRPr="008D04AA" w:rsidRDefault="00781766" w:rsidP="00EB5C27">
            <w:pPr>
              <w:rPr>
                <w:b/>
                <w:bCs/>
                <w:sz w:val="18"/>
                <w:szCs w:val="18"/>
                <w:lang w:eastAsia="en-AU"/>
              </w:rPr>
            </w:pPr>
            <w:r w:rsidRPr="008D04AA">
              <w:rPr>
                <w:b/>
                <w:bCs/>
                <w:sz w:val="18"/>
                <w:szCs w:val="18"/>
                <w:lang w:eastAsia="en-AU"/>
              </w:rPr>
              <w:t> </w:t>
            </w:r>
          </w:p>
        </w:tc>
        <w:tc>
          <w:tcPr>
            <w:tcW w:w="1106"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 </w:t>
            </w:r>
          </w:p>
        </w:tc>
        <w:tc>
          <w:tcPr>
            <w:tcW w:w="62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 </w:t>
            </w:r>
          </w:p>
        </w:tc>
      </w:tr>
      <w:tr w:rsidR="00781766" w:rsidRPr="008D04AA" w:rsidTr="00EB5C27">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-23,330</w:t>
            </w:r>
          </w:p>
        </w:tc>
        <w:tc>
          <w:tcPr>
            <w:tcW w:w="2392" w:type="dxa"/>
            <w:tcBorders>
              <w:top w:val="nil"/>
              <w:left w:val="nil"/>
              <w:bottom w:val="nil"/>
              <w:right w:val="nil"/>
            </w:tcBorders>
            <w:shd w:val="clear" w:color="000000" w:fill="FFFFFF"/>
            <w:hideMark/>
          </w:tcPr>
          <w:p w:rsidR="00781766" w:rsidRPr="008D04AA" w:rsidRDefault="00781766" w:rsidP="00EB5C27">
            <w:pPr>
              <w:rPr>
                <w:b/>
                <w:bCs/>
                <w:sz w:val="18"/>
                <w:szCs w:val="18"/>
                <w:lang w:eastAsia="en-AU"/>
              </w:rPr>
            </w:pPr>
            <w:r w:rsidRPr="008D04AA">
              <w:rPr>
                <w:b/>
                <w:bCs/>
                <w:sz w:val="18"/>
                <w:szCs w:val="18"/>
                <w:lang w:eastAsia="en-AU"/>
              </w:rPr>
              <w:t>Total Comprehensive</w:t>
            </w:r>
            <w:r w:rsidRPr="008D04AA">
              <w:rPr>
                <w:b/>
                <w:bCs/>
                <w:sz w:val="18"/>
                <w:szCs w:val="18"/>
                <w:lang w:eastAsia="en-AU"/>
              </w:rPr>
              <w:br/>
              <w:t xml:space="preserve">   Income</w:t>
            </w:r>
          </w:p>
        </w:tc>
        <w:tc>
          <w:tcPr>
            <w:tcW w:w="1106"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-21,701</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-23,639</w:t>
            </w:r>
          </w:p>
        </w:tc>
        <w:tc>
          <w:tcPr>
            <w:tcW w:w="62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 xml:space="preserve">-9 </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-25,427</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-26,258</w:t>
            </w:r>
          </w:p>
        </w:tc>
        <w:tc>
          <w:tcPr>
            <w:tcW w:w="1054" w:type="dxa"/>
            <w:tcBorders>
              <w:top w:val="nil"/>
              <w:left w:val="nil"/>
              <w:bottom w:val="nil"/>
              <w:right w:val="nil"/>
            </w:tcBorders>
            <w:shd w:val="clear" w:color="000000" w:fill="FFFFFF"/>
            <w:hideMark/>
          </w:tcPr>
          <w:p w:rsidR="00781766" w:rsidRPr="008D04AA" w:rsidRDefault="00781766" w:rsidP="00EB5C27">
            <w:pPr>
              <w:ind w:left="-283"/>
              <w:jc w:val="right"/>
              <w:rPr>
                <w:b/>
                <w:bCs/>
                <w:sz w:val="18"/>
                <w:szCs w:val="18"/>
                <w:lang w:eastAsia="en-AU"/>
              </w:rPr>
            </w:pPr>
            <w:r w:rsidRPr="008D04AA">
              <w:rPr>
                <w:b/>
                <w:bCs/>
                <w:sz w:val="18"/>
                <w:szCs w:val="18"/>
                <w:lang w:eastAsia="en-AU"/>
              </w:rPr>
              <w:t>-26,417</w:t>
            </w:r>
          </w:p>
        </w:tc>
      </w:tr>
      <w:tr w:rsidR="00781766" w:rsidRPr="008D04AA" w:rsidTr="00EB5C27">
        <w:tc>
          <w:tcPr>
            <w:tcW w:w="1054" w:type="dxa"/>
            <w:tcBorders>
              <w:top w:val="nil"/>
              <w:left w:val="nil"/>
              <w:bottom w:val="single" w:sz="4" w:space="0" w:color="auto"/>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2392" w:type="dxa"/>
            <w:tcBorders>
              <w:top w:val="nil"/>
              <w:left w:val="nil"/>
              <w:bottom w:val="single" w:sz="4" w:space="0" w:color="auto"/>
              <w:right w:val="nil"/>
            </w:tcBorders>
            <w:shd w:val="clear" w:color="000000" w:fill="FFFFFF"/>
            <w:hideMark/>
          </w:tcPr>
          <w:p w:rsidR="00781766" w:rsidRPr="008D04AA" w:rsidRDefault="00781766" w:rsidP="00EB5C27">
            <w:pPr>
              <w:rPr>
                <w:sz w:val="18"/>
                <w:szCs w:val="18"/>
                <w:lang w:eastAsia="en-AU"/>
              </w:rPr>
            </w:pPr>
            <w:r w:rsidRPr="008D04AA">
              <w:rPr>
                <w:sz w:val="18"/>
                <w:szCs w:val="18"/>
                <w:lang w:eastAsia="en-AU"/>
              </w:rPr>
              <w:t> </w:t>
            </w:r>
          </w:p>
        </w:tc>
        <w:tc>
          <w:tcPr>
            <w:tcW w:w="1106" w:type="dxa"/>
            <w:tcBorders>
              <w:top w:val="nil"/>
              <w:left w:val="nil"/>
              <w:bottom w:val="single" w:sz="4" w:space="0" w:color="auto"/>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single" w:sz="4" w:space="0" w:color="auto"/>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624" w:type="dxa"/>
            <w:tcBorders>
              <w:top w:val="nil"/>
              <w:left w:val="nil"/>
              <w:bottom w:val="single" w:sz="4" w:space="0" w:color="auto"/>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single" w:sz="4" w:space="0" w:color="auto"/>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single" w:sz="4" w:space="0" w:color="auto"/>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c>
          <w:tcPr>
            <w:tcW w:w="1054" w:type="dxa"/>
            <w:tcBorders>
              <w:top w:val="nil"/>
              <w:left w:val="nil"/>
              <w:bottom w:val="single" w:sz="4" w:space="0" w:color="auto"/>
              <w:right w:val="nil"/>
            </w:tcBorders>
            <w:shd w:val="clear" w:color="000000" w:fill="FFFFFF"/>
            <w:hideMark/>
          </w:tcPr>
          <w:p w:rsidR="00781766" w:rsidRPr="008D04AA" w:rsidRDefault="00781766" w:rsidP="00EB5C27">
            <w:pPr>
              <w:ind w:left="-283"/>
              <w:jc w:val="right"/>
              <w:rPr>
                <w:sz w:val="18"/>
                <w:szCs w:val="18"/>
                <w:lang w:eastAsia="en-AU"/>
              </w:rPr>
            </w:pPr>
            <w:r w:rsidRPr="008D04AA">
              <w:rPr>
                <w:sz w:val="18"/>
                <w:szCs w:val="18"/>
                <w:lang w:eastAsia="en-AU"/>
              </w:rPr>
              <w:t> </w:t>
            </w:r>
          </w:p>
        </w:tc>
      </w:tr>
    </w:tbl>
    <w:p w:rsidR="00482405" w:rsidRDefault="00482405">
      <w:pPr>
        <w:rPr>
          <w:b/>
          <w:bCs/>
        </w:rPr>
      </w:pPr>
    </w:p>
    <w:p w:rsidR="00781766" w:rsidRDefault="00482405">
      <w:pPr>
        <w:rPr>
          <w:b/>
          <w:bCs/>
        </w:rPr>
      </w:pPr>
      <w:r>
        <w:rPr>
          <w:b/>
          <w:bCs/>
        </w:rPr>
        <w:br w:type="page"/>
      </w:r>
    </w:p>
    <w:tbl>
      <w:tblPr>
        <w:tblW w:w="9392" w:type="dxa"/>
        <w:tblLook w:val="04A0"/>
      </w:tblPr>
      <w:tblGrid>
        <w:gridCol w:w="1054"/>
        <w:gridCol w:w="2392"/>
        <w:gridCol w:w="1106"/>
        <w:gridCol w:w="1054"/>
        <w:gridCol w:w="624"/>
        <w:gridCol w:w="1054"/>
        <w:gridCol w:w="1054"/>
        <w:gridCol w:w="1054"/>
      </w:tblGrid>
      <w:tr w:rsidR="00781766" w:rsidTr="00EB5C27">
        <w:trPr>
          <w:tblHeader/>
        </w:trPr>
        <w:tc>
          <w:tcPr>
            <w:tcW w:w="9392" w:type="dxa"/>
            <w:gridSpan w:val="8"/>
            <w:tcBorders>
              <w:top w:val="nil"/>
              <w:left w:val="nil"/>
              <w:bottom w:val="nil"/>
              <w:right w:val="nil"/>
            </w:tcBorders>
            <w:shd w:val="clear" w:color="000000" w:fill="FFFFFF"/>
            <w:noWrap/>
            <w:vAlign w:val="bottom"/>
            <w:hideMark/>
          </w:tcPr>
          <w:p w:rsidR="00781766" w:rsidRDefault="00781766" w:rsidP="00EB5C27">
            <w:pPr>
              <w:jc w:val="center"/>
              <w:rPr>
                <w:rFonts w:ascii="Arial" w:hAnsi="Arial" w:cs="Arial"/>
                <w:b/>
                <w:bCs/>
                <w:szCs w:val="24"/>
              </w:rPr>
            </w:pPr>
            <w:bookmarkStart w:id="13" w:name="RANGE!A1:H51"/>
            <w:r>
              <w:rPr>
                <w:rFonts w:ascii="Arial" w:hAnsi="Arial" w:cs="Arial"/>
                <w:b/>
                <w:bCs/>
              </w:rPr>
              <w:lastRenderedPageBreak/>
              <w:t>Justice and Community Safety Directorate</w:t>
            </w:r>
            <w:bookmarkEnd w:id="13"/>
          </w:p>
        </w:tc>
      </w:tr>
      <w:tr w:rsidR="00781766" w:rsidTr="00EB5C27">
        <w:trPr>
          <w:tblHeader/>
        </w:trPr>
        <w:tc>
          <w:tcPr>
            <w:tcW w:w="9392" w:type="dxa"/>
            <w:gridSpan w:val="8"/>
            <w:tcBorders>
              <w:top w:val="nil"/>
              <w:left w:val="nil"/>
              <w:bottom w:val="nil"/>
              <w:right w:val="nil"/>
            </w:tcBorders>
            <w:shd w:val="clear" w:color="000000" w:fill="FFFFFF"/>
            <w:noWrap/>
            <w:vAlign w:val="bottom"/>
            <w:hideMark/>
          </w:tcPr>
          <w:p w:rsidR="00781766" w:rsidRDefault="00781766" w:rsidP="00EB5C27">
            <w:pPr>
              <w:jc w:val="center"/>
              <w:rPr>
                <w:rFonts w:ascii="Arial" w:hAnsi="Arial" w:cs="Arial"/>
                <w:b/>
                <w:bCs/>
                <w:szCs w:val="24"/>
              </w:rPr>
            </w:pPr>
            <w:r>
              <w:rPr>
                <w:rFonts w:ascii="Arial" w:hAnsi="Arial" w:cs="Arial"/>
                <w:b/>
                <w:bCs/>
              </w:rPr>
              <w:t>Balance Sheet</w:t>
            </w:r>
          </w:p>
        </w:tc>
      </w:tr>
      <w:tr w:rsidR="00781766" w:rsidTr="00EB5C27">
        <w:trPr>
          <w:tblHeader/>
        </w:trPr>
        <w:tc>
          <w:tcPr>
            <w:tcW w:w="1054" w:type="dxa"/>
            <w:tcBorders>
              <w:top w:val="single" w:sz="4" w:space="0" w:color="auto"/>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vAlign w:val="bottom"/>
            <w:hideMark/>
          </w:tcPr>
          <w:p w:rsidR="00781766" w:rsidRDefault="00781766" w:rsidP="00EB5C27">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Estimate</w:t>
            </w:r>
          </w:p>
        </w:tc>
      </w:tr>
      <w:tr w:rsidR="00781766" w:rsidTr="00EB5C27">
        <w:trPr>
          <w:tblHeader/>
        </w:trPr>
        <w:tc>
          <w:tcPr>
            <w:tcW w:w="1054" w:type="dxa"/>
            <w:tcBorders>
              <w:top w:val="nil"/>
              <w:left w:val="nil"/>
              <w:bottom w:val="nil"/>
              <w:right w:val="nil"/>
            </w:tcBorders>
            <w:shd w:val="clear" w:color="000000" w:fill="FFFFFF"/>
            <w:hideMark/>
          </w:tcPr>
          <w:p w:rsidR="00781766" w:rsidRDefault="00781766" w:rsidP="00EB5C27">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vAlign w:val="center"/>
            <w:hideMark/>
          </w:tcPr>
          <w:p w:rsidR="00781766" w:rsidRDefault="00781766" w:rsidP="00EB5C27">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781766" w:rsidRDefault="00781766" w:rsidP="00EB5C27">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781766" w:rsidRDefault="00781766" w:rsidP="00EB5C27">
            <w:pPr>
              <w:ind w:left="-283"/>
              <w:jc w:val="right"/>
              <w:rPr>
                <w:b/>
                <w:bCs/>
                <w:sz w:val="16"/>
                <w:szCs w:val="16"/>
              </w:rPr>
            </w:pPr>
            <w:proofErr w:type="spellStart"/>
            <w:r>
              <w:rPr>
                <w:b/>
                <w:bCs/>
                <w:sz w:val="16"/>
                <w:szCs w:val="16"/>
              </w:rPr>
              <w:t>Var</w:t>
            </w:r>
            <w:proofErr w:type="spellEnd"/>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6"/>
                <w:szCs w:val="16"/>
              </w:rPr>
            </w:pPr>
            <w:r>
              <w:rPr>
                <w:b/>
                <w:bCs/>
                <w:sz w:val="16"/>
                <w:szCs w:val="16"/>
              </w:rPr>
              <w:t>as at 30/6/17</w:t>
            </w:r>
          </w:p>
        </w:tc>
      </w:tr>
      <w:tr w:rsidR="00781766" w:rsidTr="00EB5C27">
        <w:trPr>
          <w:tblHeader/>
        </w:trPr>
        <w:tc>
          <w:tcPr>
            <w:tcW w:w="1054" w:type="dxa"/>
            <w:tcBorders>
              <w:top w:val="nil"/>
              <w:left w:val="nil"/>
              <w:bottom w:val="single" w:sz="4" w:space="0" w:color="auto"/>
              <w:right w:val="nil"/>
            </w:tcBorders>
            <w:shd w:val="clear" w:color="000000" w:fill="FFFFFF"/>
            <w:noWrap/>
            <w:hideMark/>
          </w:tcPr>
          <w:p w:rsidR="00781766" w:rsidRDefault="00781766" w:rsidP="00EB5C27">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vAlign w:val="bottom"/>
            <w:hideMark/>
          </w:tcPr>
          <w:p w:rsidR="00781766" w:rsidRDefault="00781766" w:rsidP="00EB5C27">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781766" w:rsidRDefault="00781766" w:rsidP="00EB5C2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781766" w:rsidRDefault="00781766" w:rsidP="00EB5C27">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781766" w:rsidRDefault="00781766" w:rsidP="00EB5C27">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781766" w:rsidRDefault="00781766" w:rsidP="00EB5C2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781766" w:rsidRDefault="00781766" w:rsidP="00EB5C2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781766" w:rsidRDefault="00781766" w:rsidP="00EB5C27">
            <w:pPr>
              <w:ind w:left="-283"/>
              <w:jc w:val="right"/>
              <w:rPr>
                <w:b/>
                <w:bCs/>
                <w:sz w:val="18"/>
                <w:szCs w:val="18"/>
              </w:rPr>
            </w:pPr>
            <w:r>
              <w:rPr>
                <w:b/>
                <w:bCs/>
                <w:sz w:val="18"/>
                <w:szCs w:val="18"/>
              </w:rPr>
              <w:t>$'000</w:t>
            </w:r>
          </w:p>
        </w:tc>
      </w:tr>
      <w:tr w:rsidR="00781766" w:rsidTr="00EB5C27">
        <w:trPr>
          <w:tblHeader/>
        </w:trPr>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81766" w:rsidRDefault="00781766" w:rsidP="00EB5C2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i/>
                <w:iCs/>
                <w:sz w:val="18"/>
                <w:szCs w:val="18"/>
              </w:rPr>
            </w:pPr>
            <w:r>
              <w:rPr>
                <w:i/>
                <w:iCs/>
                <w:sz w:val="18"/>
                <w:szCs w:val="18"/>
              </w:rPr>
              <w:t> </w:t>
            </w:r>
          </w:p>
        </w:tc>
        <w:tc>
          <w:tcPr>
            <w:tcW w:w="624" w:type="dxa"/>
            <w:tcBorders>
              <w:top w:val="nil"/>
              <w:left w:val="nil"/>
              <w:bottom w:val="nil"/>
              <w:right w:val="nil"/>
            </w:tcBorders>
            <w:shd w:val="clear" w:color="000000" w:fill="FFFFFF"/>
            <w:noWrap/>
            <w:hideMark/>
          </w:tcPr>
          <w:p w:rsidR="00781766" w:rsidRDefault="00781766" w:rsidP="00EB5C27">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i/>
                <w:iCs/>
                <w:sz w:val="18"/>
                <w:szCs w:val="18"/>
              </w:rPr>
            </w:pPr>
            <w:r>
              <w:rPr>
                <w:i/>
                <w:iCs/>
                <w:sz w:val="18"/>
                <w:szCs w:val="18"/>
              </w:rPr>
              <w:t> </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781766" w:rsidRDefault="00781766" w:rsidP="00EB5C27">
            <w:pPr>
              <w:rPr>
                <w:b/>
                <w:bCs/>
                <w:sz w:val="18"/>
                <w:szCs w:val="18"/>
              </w:rPr>
            </w:pPr>
            <w:r>
              <w:rPr>
                <w:b/>
                <w:bCs/>
                <w:sz w:val="18"/>
                <w:szCs w:val="18"/>
              </w:rPr>
              <w:t>Current Assets</w:t>
            </w:r>
          </w:p>
        </w:tc>
        <w:tc>
          <w:tcPr>
            <w:tcW w:w="1106"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 </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11,494</w:t>
            </w:r>
          </w:p>
        </w:tc>
        <w:tc>
          <w:tcPr>
            <w:tcW w:w="2392" w:type="dxa"/>
            <w:tcBorders>
              <w:top w:val="nil"/>
              <w:left w:val="nil"/>
              <w:bottom w:val="nil"/>
              <w:right w:val="nil"/>
            </w:tcBorders>
            <w:shd w:val="clear" w:color="000000" w:fill="FFFFFF"/>
            <w:hideMark/>
          </w:tcPr>
          <w:p w:rsidR="00781766" w:rsidRDefault="00781766" w:rsidP="00EB5C27">
            <w:pPr>
              <w:rPr>
                <w:sz w:val="18"/>
                <w:szCs w:val="18"/>
              </w:rPr>
            </w:pPr>
            <w:r>
              <w:rPr>
                <w:sz w:val="18"/>
                <w:szCs w:val="18"/>
              </w:rPr>
              <w:t>Cash and Cash Equivalents</w:t>
            </w:r>
          </w:p>
        </w:tc>
        <w:tc>
          <w:tcPr>
            <w:tcW w:w="1106"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14,726</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16,309</w:t>
            </w:r>
          </w:p>
        </w:tc>
        <w:tc>
          <w:tcPr>
            <w:tcW w:w="62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xml:space="preserve">11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16,316</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16,323</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16,330</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9,053</w:t>
            </w:r>
          </w:p>
        </w:tc>
        <w:tc>
          <w:tcPr>
            <w:tcW w:w="2392" w:type="dxa"/>
            <w:tcBorders>
              <w:top w:val="nil"/>
              <w:left w:val="nil"/>
              <w:bottom w:val="nil"/>
              <w:right w:val="nil"/>
            </w:tcBorders>
            <w:shd w:val="clear" w:color="000000" w:fill="FFFFFF"/>
            <w:hideMark/>
          </w:tcPr>
          <w:p w:rsidR="00781766" w:rsidRDefault="00781766" w:rsidP="00EB5C27">
            <w:pPr>
              <w:rPr>
                <w:sz w:val="18"/>
                <w:szCs w:val="18"/>
              </w:rPr>
            </w:pPr>
            <w:r>
              <w:rPr>
                <w:sz w:val="18"/>
                <w:szCs w:val="18"/>
              </w:rPr>
              <w:t>Receivables</w:t>
            </w:r>
          </w:p>
        </w:tc>
        <w:tc>
          <w:tcPr>
            <w:tcW w:w="1106"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8,735</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8,272</w:t>
            </w:r>
          </w:p>
        </w:tc>
        <w:tc>
          <w:tcPr>
            <w:tcW w:w="62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xml:space="preserve">-5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7,809</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7,346</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6,883</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781766" w:rsidRDefault="00781766" w:rsidP="00EB5C27">
            <w:pPr>
              <w:rPr>
                <w:sz w:val="18"/>
                <w:szCs w:val="18"/>
              </w:rPr>
            </w:pPr>
            <w:r>
              <w:rPr>
                <w:sz w:val="18"/>
                <w:szCs w:val="18"/>
              </w:rPr>
              <w:t>Assets Held for Sale</w:t>
            </w:r>
          </w:p>
        </w:tc>
        <w:tc>
          <w:tcPr>
            <w:tcW w:w="1106"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40</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40</w:t>
            </w:r>
          </w:p>
        </w:tc>
        <w:tc>
          <w:tcPr>
            <w:tcW w:w="62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40</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40</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40</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3,247</w:t>
            </w:r>
          </w:p>
        </w:tc>
        <w:tc>
          <w:tcPr>
            <w:tcW w:w="2392" w:type="dxa"/>
            <w:tcBorders>
              <w:top w:val="nil"/>
              <w:left w:val="nil"/>
              <w:bottom w:val="nil"/>
              <w:right w:val="nil"/>
            </w:tcBorders>
            <w:shd w:val="clear" w:color="000000" w:fill="FFFFFF"/>
            <w:hideMark/>
          </w:tcPr>
          <w:p w:rsidR="00781766" w:rsidRDefault="00781766" w:rsidP="00EB5C27">
            <w:pPr>
              <w:rPr>
                <w:sz w:val="18"/>
                <w:szCs w:val="18"/>
              </w:rPr>
            </w:pPr>
            <w:r>
              <w:rPr>
                <w:sz w:val="18"/>
                <w:szCs w:val="18"/>
              </w:rPr>
              <w:t>Other Current Assets</w:t>
            </w:r>
          </w:p>
        </w:tc>
        <w:tc>
          <w:tcPr>
            <w:tcW w:w="1106"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1,879</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1,879</w:t>
            </w:r>
          </w:p>
        </w:tc>
        <w:tc>
          <w:tcPr>
            <w:tcW w:w="62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1,879</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1,879</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1,879</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81766" w:rsidRDefault="00781766" w:rsidP="00EB5C27">
            <w:pPr>
              <w:rPr>
                <w:sz w:val="18"/>
                <w:szCs w:val="18"/>
              </w:rPr>
            </w:pPr>
            <w:r>
              <w:rPr>
                <w:sz w:val="18"/>
                <w:szCs w:val="18"/>
              </w:rPr>
              <w:t> </w:t>
            </w:r>
          </w:p>
        </w:tc>
        <w:tc>
          <w:tcPr>
            <w:tcW w:w="1106"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23,794</w:t>
            </w:r>
          </w:p>
        </w:tc>
        <w:tc>
          <w:tcPr>
            <w:tcW w:w="2392" w:type="dxa"/>
            <w:tcBorders>
              <w:top w:val="nil"/>
              <w:left w:val="nil"/>
              <w:bottom w:val="nil"/>
              <w:right w:val="nil"/>
            </w:tcBorders>
            <w:shd w:val="clear" w:color="000000" w:fill="FFFFFF"/>
            <w:hideMark/>
          </w:tcPr>
          <w:p w:rsidR="00781766" w:rsidRDefault="00781766" w:rsidP="00EB5C27">
            <w:pPr>
              <w:rPr>
                <w:b/>
                <w:bCs/>
                <w:sz w:val="18"/>
                <w:szCs w:val="18"/>
              </w:rPr>
            </w:pPr>
            <w:r>
              <w:rPr>
                <w:b/>
                <w:bCs/>
                <w:sz w:val="18"/>
                <w:szCs w:val="18"/>
              </w:rPr>
              <w:t>Total Current Assets</w:t>
            </w:r>
          </w:p>
        </w:tc>
        <w:tc>
          <w:tcPr>
            <w:tcW w:w="1106"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25,380</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26,500</w:t>
            </w:r>
          </w:p>
        </w:tc>
        <w:tc>
          <w:tcPr>
            <w:tcW w:w="62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 xml:space="preserve">4 </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26,044</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25,588</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25,132</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81766" w:rsidRDefault="00781766" w:rsidP="00EB5C2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81766" w:rsidRDefault="00781766" w:rsidP="00EB5C27">
            <w:pPr>
              <w:rPr>
                <w:b/>
                <w:bCs/>
                <w:sz w:val="18"/>
                <w:szCs w:val="18"/>
              </w:rPr>
            </w:pPr>
            <w:r>
              <w:rPr>
                <w:b/>
                <w:bCs/>
                <w:sz w:val="18"/>
                <w:szCs w:val="18"/>
              </w:rPr>
              <w:t>Non Current Assets</w:t>
            </w:r>
          </w:p>
        </w:tc>
        <w:tc>
          <w:tcPr>
            <w:tcW w:w="1106"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289,227</w:t>
            </w:r>
          </w:p>
        </w:tc>
        <w:tc>
          <w:tcPr>
            <w:tcW w:w="2392" w:type="dxa"/>
            <w:tcBorders>
              <w:top w:val="nil"/>
              <w:left w:val="nil"/>
              <w:bottom w:val="nil"/>
              <w:right w:val="nil"/>
            </w:tcBorders>
            <w:shd w:val="clear" w:color="000000" w:fill="FFFFFF"/>
            <w:hideMark/>
          </w:tcPr>
          <w:p w:rsidR="00781766" w:rsidRDefault="00781766" w:rsidP="00EB5C27">
            <w:pPr>
              <w:rPr>
                <w:sz w:val="18"/>
                <w:szCs w:val="18"/>
              </w:rPr>
            </w:pPr>
            <w:r>
              <w:rPr>
                <w:sz w:val="18"/>
                <w:szCs w:val="18"/>
              </w:rPr>
              <w:t>Property, Plant and</w:t>
            </w:r>
            <w:r>
              <w:rPr>
                <w:sz w:val="18"/>
                <w:szCs w:val="18"/>
              </w:rPr>
              <w:br/>
              <w:t xml:space="preserve">   Equipment</w:t>
            </w:r>
          </w:p>
        </w:tc>
        <w:tc>
          <w:tcPr>
            <w:tcW w:w="1106"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291,448</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298,866</w:t>
            </w:r>
          </w:p>
        </w:tc>
        <w:tc>
          <w:tcPr>
            <w:tcW w:w="62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297,212</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279,730</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261,243</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13,677</w:t>
            </w:r>
          </w:p>
        </w:tc>
        <w:tc>
          <w:tcPr>
            <w:tcW w:w="2392" w:type="dxa"/>
            <w:tcBorders>
              <w:top w:val="nil"/>
              <w:left w:val="nil"/>
              <w:bottom w:val="nil"/>
              <w:right w:val="nil"/>
            </w:tcBorders>
            <w:shd w:val="clear" w:color="000000" w:fill="FFFFFF"/>
            <w:hideMark/>
          </w:tcPr>
          <w:p w:rsidR="00781766" w:rsidRDefault="00781766" w:rsidP="00EB5C27">
            <w:pPr>
              <w:rPr>
                <w:sz w:val="18"/>
                <w:szCs w:val="18"/>
              </w:rPr>
            </w:pPr>
            <w:r>
              <w:rPr>
                <w:sz w:val="18"/>
                <w:szCs w:val="18"/>
              </w:rPr>
              <w:t>Intangibles</w:t>
            </w:r>
          </w:p>
        </w:tc>
        <w:tc>
          <w:tcPr>
            <w:tcW w:w="1106"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5,957</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7,367</w:t>
            </w:r>
          </w:p>
        </w:tc>
        <w:tc>
          <w:tcPr>
            <w:tcW w:w="62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xml:space="preserve">24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10,782</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6,810</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2,838</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17,006</w:t>
            </w:r>
          </w:p>
        </w:tc>
        <w:tc>
          <w:tcPr>
            <w:tcW w:w="2392" w:type="dxa"/>
            <w:tcBorders>
              <w:top w:val="nil"/>
              <w:left w:val="nil"/>
              <w:bottom w:val="nil"/>
              <w:right w:val="nil"/>
            </w:tcBorders>
            <w:shd w:val="clear" w:color="000000" w:fill="FFFFFF"/>
            <w:hideMark/>
          </w:tcPr>
          <w:p w:rsidR="00781766" w:rsidRDefault="00781766" w:rsidP="00EB5C27">
            <w:pPr>
              <w:rPr>
                <w:sz w:val="18"/>
                <w:szCs w:val="18"/>
              </w:rPr>
            </w:pPr>
            <w:r>
              <w:rPr>
                <w:sz w:val="18"/>
                <w:szCs w:val="18"/>
              </w:rPr>
              <w:t>Capital Works in Progress</w:t>
            </w:r>
          </w:p>
        </w:tc>
        <w:tc>
          <w:tcPr>
            <w:tcW w:w="1106"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21,324</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32,123</w:t>
            </w:r>
          </w:p>
        </w:tc>
        <w:tc>
          <w:tcPr>
            <w:tcW w:w="62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xml:space="preserve">51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20,495</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21,150</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21,150</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81766" w:rsidRDefault="00781766" w:rsidP="00EB5C27">
            <w:pPr>
              <w:rPr>
                <w:sz w:val="18"/>
                <w:szCs w:val="18"/>
              </w:rPr>
            </w:pPr>
            <w:r>
              <w:rPr>
                <w:sz w:val="18"/>
                <w:szCs w:val="18"/>
              </w:rPr>
              <w:t> </w:t>
            </w:r>
          </w:p>
        </w:tc>
        <w:tc>
          <w:tcPr>
            <w:tcW w:w="1106"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319,910</w:t>
            </w:r>
          </w:p>
        </w:tc>
        <w:tc>
          <w:tcPr>
            <w:tcW w:w="2392" w:type="dxa"/>
            <w:tcBorders>
              <w:top w:val="nil"/>
              <w:left w:val="nil"/>
              <w:bottom w:val="nil"/>
              <w:right w:val="nil"/>
            </w:tcBorders>
            <w:shd w:val="clear" w:color="000000" w:fill="FFFFFF"/>
            <w:hideMark/>
          </w:tcPr>
          <w:p w:rsidR="00781766" w:rsidRDefault="00781766" w:rsidP="00EB5C27">
            <w:pPr>
              <w:rPr>
                <w:b/>
                <w:bCs/>
                <w:sz w:val="18"/>
                <w:szCs w:val="18"/>
              </w:rPr>
            </w:pPr>
            <w:r>
              <w:rPr>
                <w:b/>
                <w:bCs/>
                <w:sz w:val="18"/>
                <w:szCs w:val="18"/>
              </w:rPr>
              <w:t>Total Non Current Assets</w:t>
            </w:r>
          </w:p>
        </w:tc>
        <w:tc>
          <w:tcPr>
            <w:tcW w:w="1106"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318,729</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338,356</w:t>
            </w:r>
          </w:p>
        </w:tc>
        <w:tc>
          <w:tcPr>
            <w:tcW w:w="62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 xml:space="preserve">6 </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328,489</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307,690</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285,231</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81766" w:rsidRDefault="00781766" w:rsidP="00EB5C27">
            <w:pPr>
              <w:rPr>
                <w:sz w:val="18"/>
                <w:szCs w:val="18"/>
              </w:rPr>
            </w:pPr>
            <w:r>
              <w:rPr>
                <w:sz w:val="18"/>
                <w:szCs w:val="18"/>
              </w:rPr>
              <w:t> </w:t>
            </w:r>
          </w:p>
        </w:tc>
        <w:tc>
          <w:tcPr>
            <w:tcW w:w="1106"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343,704</w:t>
            </w:r>
          </w:p>
        </w:tc>
        <w:tc>
          <w:tcPr>
            <w:tcW w:w="2392" w:type="dxa"/>
            <w:tcBorders>
              <w:top w:val="nil"/>
              <w:left w:val="nil"/>
              <w:bottom w:val="nil"/>
              <w:right w:val="nil"/>
            </w:tcBorders>
            <w:shd w:val="clear" w:color="000000" w:fill="FFFFFF"/>
            <w:hideMark/>
          </w:tcPr>
          <w:p w:rsidR="00781766" w:rsidRDefault="00781766" w:rsidP="00EB5C27">
            <w:pPr>
              <w:rPr>
                <w:b/>
                <w:bCs/>
                <w:sz w:val="18"/>
                <w:szCs w:val="18"/>
              </w:rPr>
            </w:pPr>
            <w:r>
              <w:rPr>
                <w:b/>
                <w:bCs/>
                <w:sz w:val="18"/>
                <w:szCs w:val="18"/>
              </w:rPr>
              <w:t>TOTAL ASSETS</w:t>
            </w:r>
          </w:p>
        </w:tc>
        <w:tc>
          <w:tcPr>
            <w:tcW w:w="1106"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344,109</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364,856</w:t>
            </w:r>
          </w:p>
        </w:tc>
        <w:tc>
          <w:tcPr>
            <w:tcW w:w="62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 xml:space="preserve">6 </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354,533</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333,278</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310,363</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81766" w:rsidRDefault="00781766" w:rsidP="00EB5C2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781766" w:rsidRDefault="00781766" w:rsidP="00EB5C27">
            <w:pPr>
              <w:rPr>
                <w:b/>
                <w:bCs/>
                <w:sz w:val="18"/>
                <w:szCs w:val="18"/>
              </w:rPr>
            </w:pPr>
            <w:r>
              <w:rPr>
                <w:b/>
                <w:bCs/>
                <w:sz w:val="18"/>
                <w:szCs w:val="18"/>
              </w:rPr>
              <w:t>Current Liabilities</w:t>
            </w:r>
          </w:p>
        </w:tc>
        <w:tc>
          <w:tcPr>
            <w:tcW w:w="1106"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 </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11,740</w:t>
            </w:r>
          </w:p>
        </w:tc>
        <w:tc>
          <w:tcPr>
            <w:tcW w:w="2392" w:type="dxa"/>
            <w:tcBorders>
              <w:top w:val="nil"/>
              <w:left w:val="nil"/>
              <w:bottom w:val="nil"/>
              <w:right w:val="nil"/>
            </w:tcBorders>
            <w:shd w:val="clear" w:color="000000" w:fill="FFFFFF"/>
            <w:hideMark/>
          </w:tcPr>
          <w:p w:rsidR="00781766" w:rsidRDefault="00781766" w:rsidP="00EB5C27">
            <w:pPr>
              <w:rPr>
                <w:sz w:val="18"/>
                <w:szCs w:val="18"/>
              </w:rPr>
            </w:pPr>
            <w:r>
              <w:rPr>
                <w:sz w:val="18"/>
                <w:szCs w:val="18"/>
              </w:rPr>
              <w:t>Payables</w:t>
            </w:r>
          </w:p>
        </w:tc>
        <w:tc>
          <w:tcPr>
            <w:tcW w:w="1106"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12,670</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12,670</w:t>
            </w:r>
          </w:p>
        </w:tc>
        <w:tc>
          <w:tcPr>
            <w:tcW w:w="62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12,670</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12,670</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12,670</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2,115</w:t>
            </w:r>
          </w:p>
        </w:tc>
        <w:tc>
          <w:tcPr>
            <w:tcW w:w="2392" w:type="dxa"/>
            <w:tcBorders>
              <w:top w:val="nil"/>
              <w:left w:val="nil"/>
              <w:bottom w:val="nil"/>
              <w:right w:val="nil"/>
            </w:tcBorders>
            <w:shd w:val="clear" w:color="000000" w:fill="FFFFFF"/>
            <w:hideMark/>
          </w:tcPr>
          <w:p w:rsidR="00781766" w:rsidRDefault="00781766" w:rsidP="00EB5C27">
            <w:pPr>
              <w:rPr>
                <w:sz w:val="18"/>
                <w:szCs w:val="18"/>
              </w:rPr>
            </w:pPr>
            <w:r>
              <w:rPr>
                <w:sz w:val="18"/>
                <w:szCs w:val="18"/>
              </w:rPr>
              <w:t>Finance Leases</w:t>
            </w:r>
          </w:p>
        </w:tc>
        <w:tc>
          <w:tcPr>
            <w:tcW w:w="1106"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1,620</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1,620</w:t>
            </w:r>
          </w:p>
        </w:tc>
        <w:tc>
          <w:tcPr>
            <w:tcW w:w="62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1,620</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1,620</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1,620</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63,176</w:t>
            </w:r>
          </w:p>
        </w:tc>
        <w:tc>
          <w:tcPr>
            <w:tcW w:w="2392" w:type="dxa"/>
            <w:tcBorders>
              <w:top w:val="nil"/>
              <w:left w:val="nil"/>
              <w:bottom w:val="nil"/>
              <w:right w:val="nil"/>
            </w:tcBorders>
            <w:shd w:val="clear" w:color="000000" w:fill="FFFFFF"/>
            <w:hideMark/>
          </w:tcPr>
          <w:p w:rsidR="00781766" w:rsidRDefault="00781766" w:rsidP="00EB5C27">
            <w:pPr>
              <w:rPr>
                <w:sz w:val="18"/>
                <w:szCs w:val="18"/>
              </w:rPr>
            </w:pPr>
            <w:r>
              <w:rPr>
                <w:sz w:val="18"/>
                <w:szCs w:val="18"/>
              </w:rPr>
              <w:t>Employee Benefits</w:t>
            </w:r>
          </w:p>
        </w:tc>
        <w:tc>
          <w:tcPr>
            <w:tcW w:w="1106"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68,153</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69,004</w:t>
            </w:r>
          </w:p>
        </w:tc>
        <w:tc>
          <w:tcPr>
            <w:tcW w:w="62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69,102</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69,203</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69,304</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784</w:t>
            </w:r>
          </w:p>
        </w:tc>
        <w:tc>
          <w:tcPr>
            <w:tcW w:w="2392" w:type="dxa"/>
            <w:tcBorders>
              <w:top w:val="nil"/>
              <w:left w:val="nil"/>
              <w:bottom w:val="nil"/>
              <w:right w:val="nil"/>
            </w:tcBorders>
            <w:shd w:val="clear" w:color="000000" w:fill="FFFFFF"/>
            <w:hideMark/>
          </w:tcPr>
          <w:p w:rsidR="00781766" w:rsidRDefault="00781766" w:rsidP="00EB5C27">
            <w:pPr>
              <w:rPr>
                <w:sz w:val="18"/>
                <w:szCs w:val="18"/>
              </w:rPr>
            </w:pPr>
            <w:r>
              <w:rPr>
                <w:sz w:val="18"/>
                <w:szCs w:val="18"/>
              </w:rPr>
              <w:t>Other Provisions</w:t>
            </w:r>
          </w:p>
        </w:tc>
        <w:tc>
          <w:tcPr>
            <w:tcW w:w="1106"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66</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136</w:t>
            </w:r>
          </w:p>
        </w:tc>
        <w:tc>
          <w:tcPr>
            <w:tcW w:w="62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xml:space="preserve">106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209</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282</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355</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2,891</w:t>
            </w:r>
          </w:p>
        </w:tc>
        <w:tc>
          <w:tcPr>
            <w:tcW w:w="2392" w:type="dxa"/>
            <w:tcBorders>
              <w:top w:val="nil"/>
              <w:left w:val="nil"/>
              <w:bottom w:val="nil"/>
              <w:right w:val="nil"/>
            </w:tcBorders>
            <w:shd w:val="clear" w:color="000000" w:fill="FFFFFF"/>
            <w:hideMark/>
          </w:tcPr>
          <w:p w:rsidR="00781766" w:rsidRDefault="00781766" w:rsidP="00EB5C27">
            <w:pPr>
              <w:rPr>
                <w:sz w:val="18"/>
                <w:szCs w:val="18"/>
              </w:rPr>
            </w:pPr>
            <w:r>
              <w:rPr>
                <w:sz w:val="18"/>
                <w:szCs w:val="18"/>
              </w:rPr>
              <w:t>Other Liabilities</w:t>
            </w:r>
          </w:p>
        </w:tc>
        <w:tc>
          <w:tcPr>
            <w:tcW w:w="1106"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5,045</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5,045</w:t>
            </w:r>
          </w:p>
        </w:tc>
        <w:tc>
          <w:tcPr>
            <w:tcW w:w="62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5,045</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5,045</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5,045</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81766" w:rsidRDefault="00781766" w:rsidP="00EB5C27">
            <w:pPr>
              <w:rPr>
                <w:sz w:val="18"/>
                <w:szCs w:val="18"/>
              </w:rPr>
            </w:pPr>
            <w:r>
              <w:rPr>
                <w:sz w:val="18"/>
                <w:szCs w:val="18"/>
              </w:rPr>
              <w:t> </w:t>
            </w:r>
          </w:p>
        </w:tc>
        <w:tc>
          <w:tcPr>
            <w:tcW w:w="1106"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80,706</w:t>
            </w:r>
          </w:p>
        </w:tc>
        <w:tc>
          <w:tcPr>
            <w:tcW w:w="2392" w:type="dxa"/>
            <w:tcBorders>
              <w:top w:val="nil"/>
              <w:left w:val="nil"/>
              <w:bottom w:val="nil"/>
              <w:right w:val="nil"/>
            </w:tcBorders>
            <w:shd w:val="clear" w:color="000000" w:fill="FFFFFF"/>
            <w:hideMark/>
          </w:tcPr>
          <w:p w:rsidR="00781766" w:rsidRDefault="00781766" w:rsidP="00EB5C27">
            <w:pPr>
              <w:rPr>
                <w:b/>
                <w:bCs/>
                <w:sz w:val="18"/>
                <w:szCs w:val="18"/>
              </w:rPr>
            </w:pPr>
            <w:r>
              <w:rPr>
                <w:b/>
                <w:bCs/>
                <w:sz w:val="18"/>
                <w:szCs w:val="18"/>
              </w:rPr>
              <w:t>Total Current Liabilities</w:t>
            </w:r>
          </w:p>
        </w:tc>
        <w:tc>
          <w:tcPr>
            <w:tcW w:w="1106"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87,554</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88,475</w:t>
            </w:r>
          </w:p>
        </w:tc>
        <w:tc>
          <w:tcPr>
            <w:tcW w:w="62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88,646</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88,820</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88,994</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81766" w:rsidRDefault="00781766" w:rsidP="00EB5C27">
            <w:pPr>
              <w:rPr>
                <w:sz w:val="18"/>
                <w:szCs w:val="18"/>
              </w:rPr>
            </w:pPr>
            <w:r>
              <w:rPr>
                <w:sz w:val="18"/>
                <w:szCs w:val="18"/>
              </w:rPr>
              <w:t> </w:t>
            </w:r>
          </w:p>
        </w:tc>
        <w:tc>
          <w:tcPr>
            <w:tcW w:w="1106"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81766" w:rsidRDefault="00781766" w:rsidP="00EB5C27">
            <w:pPr>
              <w:rPr>
                <w:b/>
                <w:bCs/>
                <w:sz w:val="18"/>
                <w:szCs w:val="18"/>
              </w:rPr>
            </w:pPr>
            <w:r>
              <w:rPr>
                <w:b/>
                <w:bCs/>
                <w:sz w:val="18"/>
                <w:szCs w:val="18"/>
              </w:rPr>
              <w:t>Non Current Liabilities</w:t>
            </w:r>
          </w:p>
        </w:tc>
        <w:tc>
          <w:tcPr>
            <w:tcW w:w="1106"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2,239</w:t>
            </w:r>
          </w:p>
        </w:tc>
        <w:tc>
          <w:tcPr>
            <w:tcW w:w="2392" w:type="dxa"/>
            <w:tcBorders>
              <w:top w:val="nil"/>
              <w:left w:val="nil"/>
              <w:bottom w:val="nil"/>
              <w:right w:val="nil"/>
            </w:tcBorders>
            <w:shd w:val="clear" w:color="000000" w:fill="FFFFFF"/>
            <w:hideMark/>
          </w:tcPr>
          <w:p w:rsidR="00781766" w:rsidRDefault="00781766" w:rsidP="00EB5C27">
            <w:pPr>
              <w:rPr>
                <w:sz w:val="18"/>
                <w:szCs w:val="18"/>
              </w:rPr>
            </w:pPr>
            <w:r>
              <w:rPr>
                <w:sz w:val="18"/>
                <w:szCs w:val="18"/>
              </w:rPr>
              <w:t>Finance Leases</w:t>
            </w:r>
          </w:p>
        </w:tc>
        <w:tc>
          <w:tcPr>
            <w:tcW w:w="1106"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2,536</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2,536</w:t>
            </w:r>
          </w:p>
        </w:tc>
        <w:tc>
          <w:tcPr>
            <w:tcW w:w="62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2,536</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2,536</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2,536</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3,914</w:t>
            </w:r>
          </w:p>
        </w:tc>
        <w:tc>
          <w:tcPr>
            <w:tcW w:w="2392" w:type="dxa"/>
            <w:tcBorders>
              <w:top w:val="nil"/>
              <w:left w:val="nil"/>
              <w:bottom w:val="nil"/>
              <w:right w:val="nil"/>
            </w:tcBorders>
            <w:shd w:val="clear" w:color="000000" w:fill="FFFFFF"/>
            <w:hideMark/>
          </w:tcPr>
          <w:p w:rsidR="00781766" w:rsidRDefault="00781766" w:rsidP="00EB5C27">
            <w:pPr>
              <w:rPr>
                <w:sz w:val="18"/>
                <w:szCs w:val="18"/>
              </w:rPr>
            </w:pPr>
            <w:r>
              <w:rPr>
                <w:sz w:val="18"/>
                <w:szCs w:val="18"/>
              </w:rPr>
              <w:t>Employee Benefits</w:t>
            </w:r>
          </w:p>
        </w:tc>
        <w:tc>
          <w:tcPr>
            <w:tcW w:w="1106"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4,367</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4,369</w:t>
            </w:r>
          </w:p>
        </w:tc>
        <w:tc>
          <w:tcPr>
            <w:tcW w:w="62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4,105</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3,838</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3,571</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2,346</w:t>
            </w:r>
          </w:p>
        </w:tc>
        <w:tc>
          <w:tcPr>
            <w:tcW w:w="2392" w:type="dxa"/>
            <w:tcBorders>
              <w:top w:val="nil"/>
              <w:left w:val="nil"/>
              <w:bottom w:val="nil"/>
              <w:right w:val="nil"/>
            </w:tcBorders>
            <w:shd w:val="clear" w:color="000000" w:fill="FFFFFF"/>
            <w:hideMark/>
          </w:tcPr>
          <w:p w:rsidR="00781766" w:rsidRDefault="00781766" w:rsidP="00EB5C27">
            <w:pPr>
              <w:rPr>
                <w:sz w:val="18"/>
                <w:szCs w:val="18"/>
              </w:rPr>
            </w:pPr>
            <w:r>
              <w:rPr>
                <w:sz w:val="18"/>
                <w:szCs w:val="18"/>
              </w:rPr>
              <w:t>Other Non-Current</w:t>
            </w:r>
            <w:r>
              <w:rPr>
                <w:sz w:val="18"/>
                <w:szCs w:val="18"/>
              </w:rPr>
              <w:br/>
              <w:t xml:space="preserve">   Provisions</w:t>
            </w:r>
          </w:p>
        </w:tc>
        <w:tc>
          <w:tcPr>
            <w:tcW w:w="1106"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0</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781766" w:rsidRDefault="00781766" w:rsidP="00EB5C27">
            <w:pPr>
              <w:rPr>
                <w:sz w:val="18"/>
                <w:szCs w:val="18"/>
              </w:rPr>
            </w:pPr>
            <w:r>
              <w:rPr>
                <w:sz w:val="18"/>
                <w:szCs w:val="18"/>
              </w:rPr>
              <w:t>Other</w:t>
            </w:r>
          </w:p>
        </w:tc>
        <w:tc>
          <w:tcPr>
            <w:tcW w:w="1106"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2,195</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2,195</w:t>
            </w:r>
          </w:p>
        </w:tc>
        <w:tc>
          <w:tcPr>
            <w:tcW w:w="62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2,195</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2,195</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2,195</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81766" w:rsidRDefault="00781766" w:rsidP="00EB5C27">
            <w:pPr>
              <w:rPr>
                <w:sz w:val="18"/>
                <w:szCs w:val="18"/>
              </w:rPr>
            </w:pPr>
            <w:r>
              <w:rPr>
                <w:sz w:val="18"/>
                <w:szCs w:val="18"/>
              </w:rPr>
              <w:t> </w:t>
            </w:r>
          </w:p>
        </w:tc>
        <w:tc>
          <w:tcPr>
            <w:tcW w:w="1106"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8,499</w:t>
            </w:r>
          </w:p>
        </w:tc>
        <w:tc>
          <w:tcPr>
            <w:tcW w:w="2392" w:type="dxa"/>
            <w:tcBorders>
              <w:top w:val="nil"/>
              <w:left w:val="nil"/>
              <w:bottom w:val="nil"/>
              <w:right w:val="nil"/>
            </w:tcBorders>
            <w:shd w:val="clear" w:color="000000" w:fill="FFFFFF"/>
            <w:hideMark/>
          </w:tcPr>
          <w:p w:rsidR="00781766" w:rsidRDefault="00781766" w:rsidP="00EB5C27">
            <w:pPr>
              <w:rPr>
                <w:b/>
                <w:bCs/>
                <w:sz w:val="18"/>
                <w:szCs w:val="18"/>
              </w:rPr>
            </w:pPr>
            <w:r>
              <w:rPr>
                <w:b/>
                <w:bCs/>
                <w:sz w:val="18"/>
                <w:szCs w:val="18"/>
              </w:rPr>
              <w:t>Total Non Current Liabilities</w:t>
            </w:r>
          </w:p>
        </w:tc>
        <w:tc>
          <w:tcPr>
            <w:tcW w:w="1106"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9,098</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9,100</w:t>
            </w:r>
          </w:p>
        </w:tc>
        <w:tc>
          <w:tcPr>
            <w:tcW w:w="62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8,836</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8,569</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8,302</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81766" w:rsidRDefault="00781766" w:rsidP="00EB5C2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89,205</w:t>
            </w:r>
          </w:p>
        </w:tc>
        <w:tc>
          <w:tcPr>
            <w:tcW w:w="2392" w:type="dxa"/>
            <w:tcBorders>
              <w:top w:val="nil"/>
              <w:left w:val="nil"/>
              <w:bottom w:val="nil"/>
              <w:right w:val="nil"/>
            </w:tcBorders>
            <w:shd w:val="clear" w:color="000000" w:fill="FFFFFF"/>
            <w:hideMark/>
          </w:tcPr>
          <w:p w:rsidR="00781766" w:rsidRDefault="00781766" w:rsidP="00EB5C27">
            <w:pPr>
              <w:rPr>
                <w:b/>
                <w:bCs/>
                <w:sz w:val="18"/>
                <w:szCs w:val="18"/>
              </w:rPr>
            </w:pPr>
            <w:r>
              <w:rPr>
                <w:b/>
                <w:bCs/>
                <w:sz w:val="18"/>
                <w:szCs w:val="18"/>
              </w:rPr>
              <w:t>TOTAL LIABILITIES</w:t>
            </w:r>
          </w:p>
        </w:tc>
        <w:tc>
          <w:tcPr>
            <w:tcW w:w="1106"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96,652</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97,575</w:t>
            </w:r>
          </w:p>
        </w:tc>
        <w:tc>
          <w:tcPr>
            <w:tcW w:w="62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97,482</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97,389</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97,296</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81766" w:rsidRDefault="00781766" w:rsidP="00EB5C27">
            <w:pPr>
              <w:rPr>
                <w:sz w:val="18"/>
                <w:szCs w:val="18"/>
              </w:rPr>
            </w:pPr>
            <w:r>
              <w:rPr>
                <w:sz w:val="18"/>
                <w:szCs w:val="18"/>
              </w:rPr>
              <w:t> </w:t>
            </w:r>
          </w:p>
        </w:tc>
        <w:tc>
          <w:tcPr>
            <w:tcW w:w="1106"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254,499</w:t>
            </w:r>
          </w:p>
        </w:tc>
        <w:tc>
          <w:tcPr>
            <w:tcW w:w="2392" w:type="dxa"/>
            <w:tcBorders>
              <w:top w:val="nil"/>
              <w:left w:val="nil"/>
              <w:bottom w:val="nil"/>
              <w:right w:val="nil"/>
            </w:tcBorders>
            <w:shd w:val="clear" w:color="000000" w:fill="FFFFFF"/>
            <w:hideMark/>
          </w:tcPr>
          <w:p w:rsidR="00781766" w:rsidRDefault="00781766" w:rsidP="00EB5C27">
            <w:pPr>
              <w:rPr>
                <w:b/>
                <w:bCs/>
                <w:sz w:val="18"/>
                <w:szCs w:val="18"/>
              </w:rPr>
            </w:pPr>
            <w:r>
              <w:rPr>
                <w:b/>
                <w:bCs/>
                <w:sz w:val="18"/>
                <w:szCs w:val="18"/>
              </w:rPr>
              <w:t>NET ASSETS</w:t>
            </w:r>
          </w:p>
        </w:tc>
        <w:tc>
          <w:tcPr>
            <w:tcW w:w="1106"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247,457</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267,281</w:t>
            </w:r>
          </w:p>
        </w:tc>
        <w:tc>
          <w:tcPr>
            <w:tcW w:w="62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 xml:space="preserve">8 </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257,051</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235,889</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213,067</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81766" w:rsidRDefault="00781766" w:rsidP="00EB5C2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781766" w:rsidRDefault="00781766" w:rsidP="00EB5C27">
            <w:pPr>
              <w:rPr>
                <w:sz w:val="18"/>
                <w:szCs w:val="18"/>
              </w:rPr>
            </w:pPr>
            <w:r>
              <w:rPr>
                <w:b/>
                <w:bCs/>
                <w:sz w:val="18"/>
                <w:szCs w:val="18"/>
              </w:rPr>
              <w:t>REPRESENTED BY FUNDS EMPLOYED</w:t>
            </w:r>
            <w:r>
              <w:rPr>
                <w:sz w:val="18"/>
                <w:szCs w:val="18"/>
              </w:rPr>
              <w:t xml:space="preserve">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81766" w:rsidRDefault="00781766" w:rsidP="00EB5C2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197,329</w:t>
            </w:r>
          </w:p>
        </w:tc>
        <w:tc>
          <w:tcPr>
            <w:tcW w:w="2392" w:type="dxa"/>
            <w:tcBorders>
              <w:top w:val="nil"/>
              <w:left w:val="nil"/>
              <w:bottom w:val="nil"/>
              <w:right w:val="nil"/>
            </w:tcBorders>
            <w:shd w:val="clear" w:color="000000" w:fill="FFFFFF"/>
            <w:hideMark/>
          </w:tcPr>
          <w:p w:rsidR="00781766" w:rsidRDefault="00781766" w:rsidP="00EB5C27">
            <w:pPr>
              <w:rPr>
                <w:sz w:val="18"/>
                <w:szCs w:val="18"/>
              </w:rPr>
            </w:pPr>
            <w:r>
              <w:rPr>
                <w:sz w:val="18"/>
                <w:szCs w:val="18"/>
              </w:rPr>
              <w:t>Accumulated Funds</w:t>
            </w:r>
          </w:p>
        </w:tc>
        <w:tc>
          <w:tcPr>
            <w:tcW w:w="1106"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193,470</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213,294</w:t>
            </w:r>
          </w:p>
        </w:tc>
        <w:tc>
          <w:tcPr>
            <w:tcW w:w="62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xml:space="preserve">10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203,064</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181,902</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159,080</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57,170</w:t>
            </w:r>
          </w:p>
        </w:tc>
        <w:tc>
          <w:tcPr>
            <w:tcW w:w="2392" w:type="dxa"/>
            <w:tcBorders>
              <w:top w:val="nil"/>
              <w:left w:val="nil"/>
              <w:bottom w:val="nil"/>
              <w:right w:val="nil"/>
            </w:tcBorders>
            <w:shd w:val="clear" w:color="000000" w:fill="FFFFFF"/>
            <w:hideMark/>
          </w:tcPr>
          <w:p w:rsidR="00781766" w:rsidRDefault="00781766" w:rsidP="00EB5C27">
            <w:pPr>
              <w:rPr>
                <w:sz w:val="18"/>
                <w:szCs w:val="18"/>
              </w:rPr>
            </w:pPr>
            <w:r>
              <w:rPr>
                <w:sz w:val="18"/>
                <w:szCs w:val="18"/>
              </w:rPr>
              <w:t>Reserves</w:t>
            </w:r>
          </w:p>
        </w:tc>
        <w:tc>
          <w:tcPr>
            <w:tcW w:w="1106"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53,987</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53,987</w:t>
            </w:r>
          </w:p>
        </w:tc>
        <w:tc>
          <w:tcPr>
            <w:tcW w:w="62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53,987</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53,987</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53,987</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81766" w:rsidRDefault="00781766" w:rsidP="00EB5C2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1766" w:rsidRDefault="00781766" w:rsidP="00EB5C27">
            <w:pPr>
              <w:ind w:left="-283"/>
              <w:jc w:val="right"/>
              <w:rPr>
                <w:sz w:val="18"/>
                <w:szCs w:val="18"/>
              </w:rPr>
            </w:pPr>
            <w:r>
              <w:rPr>
                <w:sz w:val="18"/>
                <w:szCs w:val="18"/>
              </w:rPr>
              <w:t> </w:t>
            </w:r>
          </w:p>
        </w:tc>
      </w:tr>
      <w:tr w:rsidR="00781766" w:rsidTr="00EB5C27">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254,499</w:t>
            </w:r>
          </w:p>
        </w:tc>
        <w:tc>
          <w:tcPr>
            <w:tcW w:w="2392" w:type="dxa"/>
            <w:tcBorders>
              <w:top w:val="nil"/>
              <w:left w:val="nil"/>
              <w:bottom w:val="nil"/>
              <w:right w:val="nil"/>
            </w:tcBorders>
            <w:shd w:val="clear" w:color="000000" w:fill="FFFFFF"/>
            <w:hideMark/>
          </w:tcPr>
          <w:p w:rsidR="00781766" w:rsidRDefault="00781766" w:rsidP="00EB5C27">
            <w:pPr>
              <w:rPr>
                <w:b/>
                <w:bCs/>
                <w:sz w:val="18"/>
                <w:szCs w:val="18"/>
              </w:rPr>
            </w:pPr>
            <w:r>
              <w:rPr>
                <w:b/>
                <w:bCs/>
                <w:sz w:val="18"/>
                <w:szCs w:val="18"/>
              </w:rPr>
              <w:t>TOTAL FUNDS EMPLOYED</w:t>
            </w:r>
          </w:p>
        </w:tc>
        <w:tc>
          <w:tcPr>
            <w:tcW w:w="1106"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247,457</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267,281</w:t>
            </w:r>
          </w:p>
        </w:tc>
        <w:tc>
          <w:tcPr>
            <w:tcW w:w="62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 xml:space="preserve">8 </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257,051</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235,889</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8"/>
                <w:szCs w:val="18"/>
              </w:rPr>
            </w:pPr>
            <w:r>
              <w:rPr>
                <w:b/>
                <w:bCs/>
                <w:sz w:val="18"/>
                <w:szCs w:val="18"/>
              </w:rPr>
              <w:t>213,067</w:t>
            </w:r>
          </w:p>
        </w:tc>
      </w:tr>
      <w:tr w:rsidR="00781766" w:rsidTr="00EB5C27">
        <w:tc>
          <w:tcPr>
            <w:tcW w:w="1054" w:type="dxa"/>
            <w:tcBorders>
              <w:top w:val="nil"/>
              <w:left w:val="nil"/>
              <w:bottom w:val="single" w:sz="4" w:space="0" w:color="auto"/>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781766" w:rsidRDefault="00781766" w:rsidP="00EB5C27">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781766" w:rsidRDefault="00781766" w:rsidP="00EB5C27">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781766" w:rsidRDefault="00781766" w:rsidP="00EB5C27">
            <w:pPr>
              <w:ind w:left="-283"/>
              <w:jc w:val="right"/>
              <w:rPr>
                <w:sz w:val="18"/>
                <w:szCs w:val="18"/>
              </w:rPr>
            </w:pPr>
            <w:r>
              <w:rPr>
                <w:sz w:val="18"/>
                <w:szCs w:val="18"/>
              </w:rPr>
              <w:t> </w:t>
            </w:r>
          </w:p>
        </w:tc>
      </w:tr>
    </w:tbl>
    <w:p w:rsidR="00781766" w:rsidRDefault="00781766">
      <w:pPr>
        <w:rPr>
          <w:b/>
          <w:bCs/>
        </w:rPr>
      </w:pPr>
    </w:p>
    <w:p w:rsidR="00781766" w:rsidRDefault="00781766">
      <w:pPr>
        <w:rPr>
          <w:b/>
          <w:bCs/>
        </w:rPr>
      </w:pPr>
      <w:r>
        <w:rPr>
          <w:b/>
          <w:bCs/>
        </w:rPr>
        <w:br w:type="page"/>
      </w:r>
    </w:p>
    <w:tbl>
      <w:tblPr>
        <w:tblW w:w="9356" w:type="dxa"/>
        <w:tblLook w:val="04A0"/>
      </w:tblPr>
      <w:tblGrid>
        <w:gridCol w:w="1054"/>
        <w:gridCol w:w="2392"/>
        <w:gridCol w:w="1106"/>
        <w:gridCol w:w="1054"/>
        <w:gridCol w:w="624"/>
        <w:gridCol w:w="1054"/>
        <w:gridCol w:w="1054"/>
        <w:gridCol w:w="1054"/>
      </w:tblGrid>
      <w:tr w:rsidR="00781766" w:rsidTr="00EB5C27">
        <w:trPr>
          <w:tblHeader/>
        </w:trPr>
        <w:tc>
          <w:tcPr>
            <w:tcW w:w="9392" w:type="dxa"/>
            <w:gridSpan w:val="8"/>
            <w:tcBorders>
              <w:top w:val="nil"/>
              <w:left w:val="nil"/>
              <w:bottom w:val="nil"/>
              <w:right w:val="nil"/>
            </w:tcBorders>
            <w:shd w:val="clear" w:color="000000" w:fill="FFFFFF"/>
            <w:noWrap/>
            <w:vAlign w:val="bottom"/>
            <w:hideMark/>
          </w:tcPr>
          <w:p w:rsidR="00781766" w:rsidRDefault="00781766" w:rsidP="00EB5C27">
            <w:pPr>
              <w:jc w:val="center"/>
              <w:rPr>
                <w:rFonts w:ascii="Arial" w:hAnsi="Arial" w:cs="Arial"/>
                <w:b/>
                <w:bCs/>
                <w:szCs w:val="24"/>
              </w:rPr>
            </w:pPr>
            <w:bookmarkStart w:id="14" w:name="RANGE!A1:H33"/>
            <w:r>
              <w:rPr>
                <w:rFonts w:ascii="Arial" w:hAnsi="Arial" w:cs="Arial"/>
                <w:b/>
                <w:bCs/>
              </w:rPr>
              <w:lastRenderedPageBreak/>
              <w:t>Justice and Community Safety Directorate</w:t>
            </w:r>
            <w:bookmarkEnd w:id="14"/>
          </w:p>
        </w:tc>
      </w:tr>
      <w:tr w:rsidR="00781766" w:rsidTr="00EB5C27">
        <w:trPr>
          <w:tblHeader/>
        </w:trPr>
        <w:tc>
          <w:tcPr>
            <w:tcW w:w="9392" w:type="dxa"/>
            <w:gridSpan w:val="8"/>
            <w:tcBorders>
              <w:top w:val="nil"/>
              <w:left w:val="nil"/>
              <w:bottom w:val="nil"/>
              <w:right w:val="nil"/>
            </w:tcBorders>
            <w:shd w:val="clear" w:color="000000" w:fill="FFFFFF"/>
            <w:noWrap/>
            <w:vAlign w:val="bottom"/>
            <w:hideMark/>
          </w:tcPr>
          <w:p w:rsidR="00781766" w:rsidRDefault="00781766" w:rsidP="00EB5C27">
            <w:pPr>
              <w:jc w:val="center"/>
              <w:rPr>
                <w:rFonts w:ascii="Arial" w:hAnsi="Arial" w:cs="Arial"/>
                <w:b/>
                <w:bCs/>
                <w:szCs w:val="24"/>
              </w:rPr>
            </w:pPr>
            <w:r>
              <w:rPr>
                <w:rFonts w:ascii="Arial" w:hAnsi="Arial" w:cs="Arial"/>
                <w:b/>
                <w:bCs/>
              </w:rPr>
              <w:t>Statement of Changes in Equity</w:t>
            </w:r>
          </w:p>
        </w:tc>
      </w:tr>
      <w:tr w:rsidR="00781766" w:rsidTr="00EB5C27">
        <w:trPr>
          <w:tblHeader/>
        </w:trPr>
        <w:tc>
          <w:tcPr>
            <w:tcW w:w="1054" w:type="dxa"/>
            <w:tcBorders>
              <w:top w:val="single" w:sz="4" w:space="0" w:color="auto"/>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781766" w:rsidRDefault="00781766" w:rsidP="00EB5C27">
            <w:pPr>
              <w:rPr>
                <w:b/>
                <w:bCs/>
                <w:sz w:val="18"/>
                <w:szCs w:val="18"/>
              </w:rPr>
            </w:pPr>
            <w:r>
              <w:rPr>
                <w:b/>
                <w:bCs/>
                <w:sz w:val="18"/>
                <w:szCs w:val="18"/>
              </w:rPr>
              <w:t xml:space="preserve"> </w:t>
            </w:r>
          </w:p>
        </w:tc>
        <w:tc>
          <w:tcPr>
            <w:tcW w:w="1106" w:type="dxa"/>
            <w:tcBorders>
              <w:top w:val="single" w:sz="4" w:space="0" w:color="auto"/>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Estimate</w:t>
            </w:r>
          </w:p>
        </w:tc>
      </w:tr>
      <w:tr w:rsidR="00781766" w:rsidTr="00EB5C27">
        <w:trPr>
          <w:tblHeader/>
        </w:trPr>
        <w:tc>
          <w:tcPr>
            <w:tcW w:w="1054" w:type="dxa"/>
            <w:tcBorders>
              <w:top w:val="nil"/>
              <w:left w:val="nil"/>
              <w:bottom w:val="nil"/>
              <w:right w:val="nil"/>
            </w:tcBorders>
            <w:shd w:val="clear" w:color="000000" w:fill="FFFFFF"/>
            <w:hideMark/>
          </w:tcPr>
          <w:p w:rsidR="00781766" w:rsidRDefault="00781766" w:rsidP="00EB5C27">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781766" w:rsidRDefault="00781766" w:rsidP="00EB5C27">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781766" w:rsidRDefault="00781766" w:rsidP="00EB5C27">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781766" w:rsidRDefault="00781766" w:rsidP="00EB5C27">
            <w:pPr>
              <w:ind w:left="-283"/>
              <w:jc w:val="right"/>
              <w:rPr>
                <w:b/>
                <w:bCs/>
                <w:sz w:val="16"/>
                <w:szCs w:val="16"/>
              </w:rPr>
            </w:pPr>
            <w:proofErr w:type="spellStart"/>
            <w:r>
              <w:rPr>
                <w:b/>
                <w:bCs/>
                <w:sz w:val="16"/>
                <w:szCs w:val="16"/>
              </w:rPr>
              <w:t>Var</w:t>
            </w:r>
            <w:proofErr w:type="spellEnd"/>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781766" w:rsidRDefault="00781766" w:rsidP="00EB5C27">
            <w:pPr>
              <w:ind w:left="-283"/>
              <w:jc w:val="right"/>
              <w:rPr>
                <w:b/>
                <w:bCs/>
                <w:sz w:val="16"/>
                <w:szCs w:val="16"/>
              </w:rPr>
            </w:pPr>
            <w:r>
              <w:rPr>
                <w:b/>
                <w:bCs/>
                <w:sz w:val="16"/>
                <w:szCs w:val="16"/>
              </w:rPr>
              <w:t>as at 30/6/17</w:t>
            </w:r>
          </w:p>
        </w:tc>
      </w:tr>
      <w:tr w:rsidR="00781766" w:rsidTr="00EB5C27">
        <w:trPr>
          <w:tblHeader/>
        </w:trPr>
        <w:tc>
          <w:tcPr>
            <w:tcW w:w="1054" w:type="dxa"/>
            <w:tcBorders>
              <w:top w:val="nil"/>
              <w:left w:val="nil"/>
              <w:bottom w:val="single" w:sz="4" w:space="0" w:color="auto"/>
              <w:right w:val="nil"/>
            </w:tcBorders>
            <w:shd w:val="clear" w:color="000000" w:fill="FFFFFF"/>
            <w:noWrap/>
            <w:hideMark/>
          </w:tcPr>
          <w:p w:rsidR="00781766" w:rsidRDefault="00781766" w:rsidP="00EB5C27">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781766" w:rsidRDefault="00781766" w:rsidP="00EB5C27">
            <w:pPr>
              <w:rPr>
                <w:sz w:val="18"/>
                <w:szCs w:val="18"/>
              </w:rPr>
            </w:pPr>
            <w:r>
              <w:rPr>
                <w:sz w:val="18"/>
                <w:szCs w:val="18"/>
              </w:rPr>
              <w:t xml:space="preserve"> </w:t>
            </w:r>
          </w:p>
        </w:tc>
        <w:tc>
          <w:tcPr>
            <w:tcW w:w="1106" w:type="dxa"/>
            <w:tcBorders>
              <w:top w:val="nil"/>
              <w:left w:val="nil"/>
              <w:bottom w:val="single" w:sz="4" w:space="0" w:color="auto"/>
              <w:right w:val="nil"/>
            </w:tcBorders>
            <w:shd w:val="clear" w:color="000000" w:fill="FFFFFF"/>
            <w:noWrap/>
            <w:hideMark/>
          </w:tcPr>
          <w:p w:rsidR="00781766" w:rsidRDefault="00781766" w:rsidP="00EB5C2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781766" w:rsidRDefault="00781766" w:rsidP="00EB5C27">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781766" w:rsidRDefault="00781766" w:rsidP="00EB5C27">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781766" w:rsidRDefault="00781766" w:rsidP="00EB5C2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781766" w:rsidRDefault="00781766" w:rsidP="00EB5C2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781766" w:rsidRDefault="00781766" w:rsidP="00EB5C27">
            <w:pPr>
              <w:ind w:left="-283"/>
              <w:jc w:val="right"/>
              <w:rPr>
                <w:b/>
                <w:bCs/>
                <w:sz w:val="18"/>
                <w:szCs w:val="18"/>
              </w:rPr>
            </w:pPr>
            <w:r>
              <w:rPr>
                <w:b/>
                <w:bCs/>
                <w:sz w:val="18"/>
                <w:szCs w:val="18"/>
              </w:rPr>
              <w:t>$'000</w:t>
            </w:r>
          </w:p>
        </w:tc>
      </w:tr>
      <w:tr w:rsidR="00781766" w:rsidTr="00EB5C27">
        <w:trPr>
          <w:tblHeader/>
        </w:trPr>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81766" w:rsidRDefault="00781766" w:rsidP="00EB5C2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r>
      <w:tr w:rsidR="00781766" w:rsidTr="00EB5C27">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81766" w:rsidRDefault="00781766" w:rsidP="00EB5C27">
            <w:pPr>
              <w:rPr>
                <w:b/>
                <w:bCs/>
                <w:sz w:val="18"/>
                <w:szCs w:val="18"/>
              </w:rPr>
            </w:pPr>
            <w:r>
              <w:rPr>
                <w:b/>
                <w:bCs/>
                <w:sz w:val="18"/>
                <w:szCs w:val="18"/>
              </w:rPr>
              <w:t>Opening Equity</w:t>
            </w:r>
          </w:p>
        </w:tc>
        <w:tc>
          <w:tcPr>
            <w:tcW w:w="1106"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r>
      <w:tr w:rsidR="00781766" w:rsidTr="00EB5C27">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81766" w:rsidRDefault="00781766" w:rsidP="00EB5C2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r>
      <w:tr w:rsidR="00781766" w:rsidTr="00EB5C27">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191,463</w:t>
            </w:r>
          </w:p>
        </w:tc>
        <w:tc>
          <w:tcPr>
            <w:tcW w:w="2392" w:type="dxa"/>
            <w:tcBorders>
              <w:top w:val="nil"/>
              <w:left w:val="nil"/>
              <w:bottom w:val="nil"/>
              <w:right w:val="nil"/>
            </w:tcBorders>
            <w:shd w:val="clear" w:color="000000" w:fill="FFFFFF"/>
            <w:noWrap/>
            <w:hideMark/>
          </w:tcPr>
          <w:p w:rsidR="00781766" w:rsidRDefault="00781766" w:rsidP="00EB5C27">
            <w:pPr>
              <w:rPr>
                <w:sz w:val="18"/>
                <w:szCs w:val="18"/>
              </w:rPr>
            </w:pPr>
            <w:r>
              <w:rPr>
                <w:sz w:val="18"/>
                <w:szCs w:val="18"/>
              </w:rPr>
              <w:t>Opening Accumulated Funds</w:t>
            </w:r>
          </w:p>
        </w:tc>
        <w:tc>
          <w:tcPr>
            <w:tcW w:w="1106"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185,890</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193,470</w:t>
            </w:r>
          </w:p>
        </w:tc>
        <w:tc>
          <w:tcPr>
            <w:tcW w:w="62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xml:space="preserve">4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213,294</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203,064</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181,902</w:t>
            </w:r>
          </w:p>
        </w:tc>
      </w:tr>
      <w:tr w:rsidR="00781766" w:rsidTr="00EB5C27">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57,170</w:t>
            </w:r>
          </w:p>
        </w:tc>
        <w:tc>
          <w:tcPr>
            <w:tcW w:w="2392" w:type="dxa"/>
            <w:tcBorders>
              <w:top w:val="nil"/>
              <w:left w:val="nil"/>
              <w:bottom w:val="nil"/>
              <w:right w:val="nil"/>
            </w:tcBorders>
            <w:shd w:val="clear" w:color="000000" w:fill="FFFFFF"/>
            <w:hideMark/>
          </w:tcPr>
          <w:p w:rsidR="00781766" w:rsidRDefault="00781766" w:rsidP="00EB5C27">
            <w:pPr>
              <w:rPr>
                <w:sz w:val="18"/>
                <w:szCs w:val="18"/>
              </w:rPr>
            </w:pPr>
            <w:r>
              <w:rPr>
                <w:sz w:val="18"/>
                <w:szCs w:val="18"/>
              </w:rPr>
              <w:t>Opening Asset Revaluation</w:t>
            </w:r>
            <w:r>
              <w:rPr>
                <w:sz w:val="18"/>
                <w:szCs w:val="18"/>
              </w:rPr>
              <w:br/>
              <w:t xml:space="preserve">   Reserve</w:t>
            </w:r>
          </w:p>
        </w:tc>
        <w:tc>
          <w:tcPr>
            <w:tcW w:w="1106"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53,987</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53,987</w:t>
            </w:r>
          </w:p>
        </w:tc>
        <w:tc>
          <w:tcPr>
            <w:tcW w:w="62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53,987</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53,987</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53,987</w:t>
            </w:r>
          </w:p>
        </w:tc>
      </w:tr>
      <w:tr w:rsidR="00781766" w:rsidTr="00EB5C27">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81766" w:rsidRDefault="00781766" w:rsidP="00EB5C2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r>
      <w:tr w:rsidR="00781766" w:rsidTr="00EB5C27">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248,633</w:t>
            </w:r>
          </w:p>
        </w:tc>
        <w:tc>
          <w:tcPr>
            <w:tcW w:w="2392" w:type="dxa"/>
            <w:tcBorders>
              <w:top w:val="nil"/>
              <w:left w:val="nil"/>
              <w:bottom w:val="nil"/>
              <w:right w:val="nil"/>
            </w:tcBorders>
            <w:shd w:val="clear" w:color="000000" w:fill="FFFFFF"/>
            <w:hideMark/>
          </w:tcPr>
          <w:p w:rsidR="00781766" w:rsidRDefault="00781766" w:rsidP="00EB5C27">
            <w:pPr>
              <w:rPr>
                <w:b/>
                <w:bCs/>
                <w:sz w:val="18"/>
                <w:szCs w:val="18"/>
              </w:rPr>
            </w:pPr>
            <w:r>
              <w:rPr>
                <w:b/>
                <w:bCs/>
                <w:sz w:val="18"/>
                <w:szCs w:val="18"/>
              </w:rPr>
              <w:t>Balance at the Start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239,877</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247,457</w:t>
            </w:r>
          </w:p>
        </w:tc>
        <w:tc>
          <w:tcPr>
            <w:tcW w:w="62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267,281</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257,051</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235,889</w:t>
            </w:r>
          </w:p>
        </w:tc>
      </w:tr>
      <w:tr w:rsidR="00781766" w:rsidTr="00EB5C27">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781766" w:rsidRDefault="00781766" w:rsidP="00EB5C2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 </w:t>
            </w:r>
          </w:p>
        </w:tc>
      </w:tr>
      <w:tr w:rsidR="00781766" w:rsidTr="00EB5C27">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81766" w:rsidRDefault="00781766" w:rsidP="00EB5C27">
            <w:pPr>
              <w:rPr>
                <w:b/>
                <w:bCs/>
                <w:sz w:val="18"/>
                <w:szCs w:val="18"/>
              </w:rPr>
            </w:pPr>
            <w:r>
              <w:rPr>
                <w:b/>
                <w:bCs/>
                <w:sz w:val="18"/>
                <w:szCs w:val="18"/>
              </w:rPr>
              <w:t>Comprehensive Income</w:t>
            </w:r>
          </w:p>
        </w:tc>
        <w:tc>
          <w:tcPr>
            <w:tcW w:w="1106"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r>
      <w:tr w:rsidR="00781766" w:rsidTr="00EB5C27">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81766" w:rsidRDefault="00781766" w:rsidP="00EB5C27">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r>
      <w:tr w:rsidR="00781766" w:rsidTr="00EB5C27">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-23,330</w:t>
            </w:r>
          </w:p>
        </w:tc>
        <w:tc>
          <w:tcPr>
            <w:tcW w:w="2392" w:type="dxa"/>
            <w:tcBorders>
              <w:top w:val="nil"/>
              <w:left w:val="nil"/>
              <w:bottom w:val="nil"/>
              <w:right w:val="nil"/>
            </w:tcBorders>
            <w:shd w:val="clear" w:color="000000" w:fill="FFFFFF"/>
            <w:hideMark/>
          </w:tcPr>
          <w:p w:rsidR="00781766" w:rsidRDefault="00781766" w:rsidP="00EB5C27">
            <w:pPr>
              <w:rPr>
                <w:sz w:val="18"/>
                <w:szCs w:val="18"/>
              </w:rPr>
            </w:pPr>
            <w:r>
              <w:rPr>
                <w:sz w:val="18"/>
                <w:szCs w:val="18"/>
              </w:rPr>
              <w:t>Operating Result for the</w:t>
            </w:r>
            <w:r>
              <w:rPr>
                <w:sz w:val="18"/>
                <w:szCs w:val="18"/>
              </w:rPr>
              <w:br/>
              <w:t xml:space="preserve">   Period</w:t>
            </w:r>
          </w:p>
        </w:tc>
        <w:tc>
          <w:tcPr>
            <w:tcW w:w="1106"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-21,701</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-23,639</w:t>
            </w:r>
          </w:p>
        </w:tc>
        <w:tc>
          <w:tcPr>
            <w:tcW w:w="62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xml:space="preserve">-9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-25,427</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-26,258</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-26,417</w:t>
            </w:r>
          </w:p>
        </w:tc>
      </w:tr>
      <w:tr w:rsidR="00781766" w:rsidTr="00EB5C27">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81766" w:rsidRDefault="00781766" w:rsidP="00EB5C2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81766" w:rsidRDefault="00781766" w:rsidP="00EB5C27">
            <w:pPr>
              <w:ind w:left="-283"/>
              <w:jc w:val="right"/>
              <w:rPr>
                <w:rFonts w:ascii="Arial" w:hAnsi="Arial" w:cs="Arial"/>
                <w:sz w:val="16"/>
                <w:szCs w:val="16"/>
              </w:rPr>
            </w:pPr>
            <w:r>
              <w:rPr>
                <w:rFonts w:ascii="Arial" w:hAnsi="Arial" w:cs="Arial"/>
                <w:sz w:val="16"/>
                <w:szCs w:val="16"/>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r>
      <w:tr w:rsidR="00781766" w:rsidTr="00EB5C27">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-23,330</w:t>
            </w:r>
          </w:p>
        </w:tc>
        <w:tc>
          <w:tcPr>
            <w:tcW w:w="2392" w:type="dxa"/>
            <w:tcBorders>
              <w:top w:val="nil"/>
              <w:left w:val="nil"/>
              <w:bottom w:val="nil"/>
              <w:right w:val="nil"/>
            </w:tcBorders>
            <w:shd w:val="clear" w:color="000000" w:fill="FFFFFF"/>
            <w:hideMark/>
          </w:tcPr>
          <w:p w:rsidR="00781766" w:rsidRDefault="00781766" w:rsidP="00EB5C27">
            <w:pPr>
              <w:rPr>
                <w:b/>
                <w:bCs/>
                <w:sz w:val="18"/>
                <w:szCs w:val="18"/>
              </w:rPr>
            </w:pPr>
            <w:r>
              <w:rPr>
                <w:b/>
                <w:bCs/>
                <w:sz w:val="18"/>
                <w:szCs w:val="18"/>
              </w:rPr>
              <w:t>Total Comprehensive</w:t>
            </w:r>
            <w:r>
              <w:rPr>
                <w:b/>
                <w:bCs/>
                <w:sz w:val="18"/>
                <w:szCs w:val="18"/>
              </w:rPr>
              <w:br/>
              <w:t xml:space="preserve">   Income</w:t>
            </w:r>
          </w:p>
        </w:tc>
        <w:tc>
          <w:tcPr>
            <w:tcW w:w="1106"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-21,701</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-23,639</w:t>
            </w:r>
          </w:p>
        </w:tc>
        <w:tc>
          <w:tcPr>
            <w:tcW w:w="62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 xml:space="preserve">-9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-25,427</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-26,258</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-26,417</w:t>
            </w:r>
          </w:p>
        </w:tc>
      </w:tr>
      <w:tr w:rsidR="00781766" w:rsidTr="00EB5C27">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81766" w:rsidRDefault="00781766" w:rsidP="00EB5C2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r>
      <w:tr w:rsidR="00781766" w:rsidTr="00EB5C27">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781766" w:rsidRDefault="00781766" w:rsidP="00EB5C27">
            <w:pPr>
              <w:rPr>
                <w:b/>
                <w:bCs/>
                <w:sz w:val="18"/>
                <w:szCs w:val="18"/>
              </w:rPr>
            </w:pPr>
            <w:r>
              <w:rPr>
                <w:b/>
                <w:bCs/>
                <w:sz w:val="18"/>
                <w:szCs w:val="18"/>
              </w:rPr>
              <w:t>Total Movement in Reserves</w:t>
            </w:r>
          </w:p>
        </w:tc>
        <w:tc>
          <w:tcPr>
            <w:tcW w:w="1106"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0</w:t>
            </w:r>
          </w:p>
        </w:tc>
      </w:tr>
      <w:tr w:rsidR="00781766" w:rsidTr="00EB5C27">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81766" w:rsidRDefault="00781766" w:rsidP="00EB5C2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r>
      <w:tr w:rsidR="00781766" w:rsidTr="00EB5C27">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781766" w:rsidRDefault="00781766" w:rsidP="00581CAC">
            <w:pPr>
              <w:ind w:left="142" w:hanging="142"/>
              <w:rPr>
                <w:b/>
                <w:bCs/>
                <w:sz w:val="18"/>
                <w:szCs w:val="18"/>
              </w:rPr>
            </w:pPr>
            <w:r>
              <w:rPr>
                <w:b/>
                <w:bCs/>
                <w:sz w:val="18"/>
                <w:szCs w:val="18"/>
              </w:rPr>
              <w:t xml:space="preserve">Transactions Involving Owners </w:t>
            </w:r>
          </w:p>
          <w:p w:rsidR="00781766" w:rsidRDefault="00581CAC" w:rsidP="00581CAC">
            <w:pPr>
              <w:ind w:left="142" w:hanging="142"/>
              <w:rPr>
                <w:b/>
                <w:bCs/>
                <w:sz w:val="18"/>
                <w:szCs w:val="18"/>
              </w:rPr>
            </w:pPr>
            <w:r>
              <w:rPr>
                <w:b/>
                <w:bCs/>
                <w:sz w:val="18"/>
                <w:szCs w:val="18"/>
              </w:rPr>
              <w:t xml:space="preserve">   </w:t>
            </w:r>
            <w:r w:rsidR="00781766">
              <w:rPr>
                <w:b/>
                <w:bCs/>
                <w:sz w:val="18"/>
                <w:szCs w:val="18"/>
              </w:rPr>
              <w:t>Affecting Accumulated Funds</w:t>
            </w:r>
          </w:p>
          <w:p w:rsidR="00781766" w:rsidRDefault="00781766" w:rsidP="00EB5C2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r>
      <w:tr w:rsidR="00781766" w:rsidTr="00EB5C27">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29,196</w:t>
            </w:r>
          </w:p>
        </w:tc>
        <w:tc>
          <w:tcPr>
            <w:tcW w:w="2392" w:type="dxa"/>
            <w:tcBorders>
              <w:top w:val="nil"/>
              <w:left w:val="nil"/>
              <w:bottom w:val="nil"/>
              <w:right w:val="nil"/>
            </w:tcBorders>
            <w:shd w:val="clear" w:color="000000" w:fill="FFFFFF"/>
            <w:noWrap/>
            <w:hideMark/>
          </w:tcPr>
          <w:p w:rsidR="00781766" w:rsidRDefault="00781766" w:rsidP="00EB5C27">
            <w:pPr>
              <w:rPr>
                <w:sz w:val="18"/>
                <w:szCs w:val="18"/>
              </w:rPr>
            </w:pPr>
            <w:r>
              <w:rPr>
                <w:sz w:val="18"/>
                <w:szCs w:val="18"/>
              </w:rPr>
              <w:t>Capital Injections</w:t>
            </w:r>
          </w:p>
        </w:tc>
        <w:tc>
          <w:tcPr>
            <w:tcW w:w="1106"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29,281</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43,463</w:t>
            </w:r>
          </w:p>
        </w:tc>
        <w:tc>
          <w:tcPr>
            <w:tcW w:w="62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xml:space="preserve">48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15,197</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5,096</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3,595</w:t>
            </w:r>
          </w:p>
        </w:tc>
      </w:tr>
      <w:tr w:rsidR="00781766" w:rsidTr="00EB5C27">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81766" w:rsidRDefault="00781766" w:rsidP="00EB5C2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r>
      <w:tr w:rsidR="00781766" w:rsidTr="00EB5C27">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29,196</w:t>
            </w:r>
          </w:p>
        </w:tc>
        <w:tc>
          <w:tcPr>
            <w:tcW w:w="2392" w:type="dxa"/>
            <w:tcBorders>
              <w:top w:val="nil"/>
              <w:left w:val="nil"/>
              <w:bottom w:val="nil"/>
              <w:right w:val="nil"/>
            </w:tcBorders>
            <w:shd w:val="clear" w:color="000000" w:fill="FFFFFF"/>
            <w:hideMark/>
          </w:tcPr>
          <w:p w:rsidR="00781766" w:rsidRDefault="00781766" w:rsidP="00EB5C27">
            <w:pPr>
              <w:rPr>
                <w:b/>
                <w:bCs/>
                <w:sz w:val="18"/>
                <w:szCs w:val="18"/>
              </w:rPr>
            </w:pPr>
            <w:r>
              <w:rPr>
                <w:b/>
                <w:bCs/>
                <w:sz w:val="18"/>
                <w:szCs w:val="18"/>
              </w:rPr>
              <w:t>Total Transactions Involving</w:t>
            </w:r>
            <w:r>
              <w:rPr>
                <w:b/>
                <w:bCs/>
                <w:sz w:val="18"/>
                <w:szCs w:val="18"/>
              </w:rPr>
              <w:br/>
              <w:t xml:space="preserve">   Owners Affecting</w:t>
            </w:r>
            <w:r>
              <w:rPr>
                <w:b/>
                <w:bCs/>
                <w:sz w:val="18"/>
                <w:szCs w:val="18"/>
              </w:rPr>
              <w:br/>
              <w:t xml:space="preserve">   Accumulated Funds</w:t>
            </w:r>
          </w:p>
        </w:tc>
        <w:tc>
          <w:tcPr>
            <w:tcW w:w="1106"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29,281</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43,463</w:t>
            </w:r>
          </w:p>
        </w:tc>
        <w:tc>
          <w:tcPr>
            <w:tcW w:w="62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 xml:space="preserve">48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15,197</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5,096</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3,595</w:t>
            </w:r>
          </w:p>
        </w:tc>
      </w:tr>
      <w:tr w:rsidR="00781766" w:rsidTr="00EB5C27">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781766" w:rsidRDefault="00781766" w:rsidP="00EB5C2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 </w:t>
            </w:r>
          </w:p>
        </w:tc>
      </w:tr>
      <w:tr w:rsidR="00781766" w:rsidTr="00EB5C27">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781766" w:rsidRDefault="00781766" w:rsidP="00EB5C27">
            <w:pPr>
              <w:rPr>
                <w:b/>
                <w:bCs/>
                <w:sz w:val="18"/>
                <w:szCs w:val="18"/>
              </w:rPr>
            </w:pPr>
            <w:r>
              <w:rPr>
                <w:b/>
                <w:bCs/>
                <w:sz w:val="18"/>
                <w:szCs w:val="18"/>
              </w:rPr>
              <w:t>Closing Equity</w:t>
            </w:r>
          </w:p>
        </w:tc>
        <w:tc>
          <w:tcPr>
            <w:tcW w:w="1106"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 </w:t>
            </w:r>
          </w:p>
        </w:tc>
      </w:tr>
      <w:tr w:rsidR="00781766" w:rsidTr="00EB5C27">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781766" w:rsidRDefault="00781766" w:rsidP="00EB5C2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 </w:t>
            </w:r>
          </w:p>
        </w:tc>
      </w:tr>
      <w:tr w:rsidR="00781766" w:rsidTr="00EB5C27">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197,329</w:t>
            </w:r>
          </w:p>
        </w:tc>
        <w:tc>
          <w:tcPr>
            <w:tcW w:w="2392" w:type="dxa"/>
            <w:tcBorders>
              <w:top w:val="nil"/>
              <w:left w:val="nil"/>
              <w:bottom w:val="nil"/>
              <w:right w:val="nil"/>
            </w:tcBorders>
            <w:shd w:val="clear" w:color="000000" w:fill="FFFFFF"/>
            <w:noWrap/>
            <w:hideMark/>
          </w:tcPr>
          <w:p w:rsidR="00781766" w:rsidRDefault="00781766" w:rsidP="00EB5C27">
            <w:pPr>
              <w:rPr>
                <w:sz w:val="18"/>
                <w:szCs w:val="18"/>
              </w:rPr>
            </w:pPr>
            <w:r>
              <w:rPr>
                <w:sz w:val="18"/>
                <w:szCs w:val="18"/>
              </w:rPr>
              <w:t>Closing Accumulated Funds</w:t>
            </w:r>
          </w:p>
        </w:tc>
        <w:tc>
          <w:tcPr>
            <w:tcW w:w="1106"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193,470</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213,294</w:t>
            </w:r>
          </w:p>
        </w:tc>
        <w:tc>
          <w:tcPr>
            <w:tcW w:w="62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xml:space="preserve">10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203,064</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181,902</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159,080</w:t>
            </w:r>
          </w:p>
        </w:tc>
      </w:tr>
      <w:tr w:rsidR="00781766" w:rsidTr="00EB5C27">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57,170</w:t>
            </w:r>
          </w:p>
        </w:tc>
        <w:tc>
          <w:tcPr>
            <w:tcW w:w="2392" w:type="dxa"/>
            <w:tcBorders>
              <w:top w:val="nil"/>
              <w:left w:val="nil"/>
              <w:bottom w:val="nil"/>
              <w:right w:val="nil"/>
            </w:tcBorders>
            <w:shd w:val="clear" w:color="000000" w:fill="FFFFFF"/>
            <w:hideMark/>
          </w:tcPr>
          <w:p w:rsidR="00781766" w:rsidRDefault="00781766" w:rsidP="00EB5C27">
            <w:pPr>
              <w:rPr>
                <w:sz w:val="18"/>
                <w:szCs w:val="18"/>
              </w:rPr>
            </w:pPr>
            <w:r>
              <w:rPr>
                <w:sz w:val="18"/>
                <w:szCs w:val="18"/>
              </w:rPr>
              <w:t>Closing Asset Revaluation</w:t>
            </w:r>
            <w:r>
              <w:rPr>
                <w:sz w:val="18"/>
                <w:szCs w:val="18"/>
              </w:rPr>
              <w:br/>
              <w:t xml:space="preserve">   Reserve</w:t>
            </w:r>
          </w:p>
        </w:tc>
        <w:tc>
          <w:tcPr>
            <w:tcW w:w="1106"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53,987</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53,987</w:t>
            </w:r>
          </w:p>
        </w:tc>
        <w:tc>
          <w:tcPr>
            <w:tcW w:w="62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53,987</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53,987</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53,987</w:t>
            </w:r>
          </w:p>
        </w:tc>
      </w:tr>
      <w:tr w:rsidR="00781766" w:rsidTr="00EB5C27">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81766" w:rsidRDefault="00781766" w:rsidP="00EB5C2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sz w:val="18"/>
                <w:szCs w:val="18"/>
              </w:rPr>
            </w:pPr>
            <w:r>
              <w:rPr>
                <w:sz w:val="18"/>
                <w:szCs w:val="18"/>
              </w:rPr>
              <w:t> </w:t>
            </w:r>
          </w:p>
        </w:tc>
      </w:tr>
      <w:tr w:rsidR="00781766" w:rsidTr="00EB5C27">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254,499</w:t>
            </w:r>
          </w:p>
        </w:tc>
        <w:tc>
          <w:tcPr>
            <w:tcW w:w="2392" w:type="dxa"/>
            <w:tcBorders>
              <w:top w:val="nil"/>
              <w:left w:val="nil"/>
              <w:bottom w:val="nil"/>
              <w:right w:val="nil"/>
            </w:tcBorders>
            <w:shd w:val="clear" w:color="000000" w:fill="FFFFFF"/>
            <w:hideMark/>
          </w:tcPr>
          <w:p w:rsidR="00781766" w:rsidRDefault="00781766" w:rsidP="00EB5C27">
            <w:pPr>
              <w:rPr>
                <w:b/>
                <w:bCs/>
                <w:sz w:val="18"/>
                <w:szCs w:val="18"/>
              </w:rPr>
            </w:pPr>
            <w:r>
              <w:rPr>
                <w:b/>
                <w:bCs/>
                <w:sz w:val="18"/>
                <w:szCs w:val="18"/>
              </w:rPr>
              <w:t>Balance at the End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247,457</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267,281</w:t>
            </w:r>
          </w:p>
        </w:tc>
        <w:tc>
          <w:tcPr>
            <w:tcW w:w="62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 xml:space="preserve">8 </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257,051</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235,889</w:t>
            </w:r>
          </w:p>
        </w:tc>
        <w:tc>
          <w:tcPr>
            <w:tcW w:w="1054" w:type="dxa"/>
            <w:tcBorders>
              <w:top w:val="nil"/>
              <w:left w:val="nil"/>
              <w:bottom w:val="nil"/>
              <w:right w:val="nil"/>
            </w:tcBorders>
            <w:shd w:val="clear" w:color="000000" w:fill="FFFFFF"/>
            <w:noWrap/>
            <w:hideMark/>
          </w:tcPr>
          <w:p w:rsidR="00781766" w:rsidRDefault="00781766" w:rsidP="00EB5C27">
            <w:pPr>
              <w:ind w:left="-283"/>
              <w:jc w:val="right"/>
              <w:rPr>
                <w:b/>
                <w:bCs/>
                <w:sz w:val="18"/>
                <w:szCs w:val="18"/>
              </w:rPr>
            </w:pPr>
            <w:r>
              <w:rPr>
                <w:b/>
                <w:bCs/>
                <w:sz w:val="18"/>
                <w:szCs w:val="18"/>
              </w:rPr>
              <w:t>213,067</w:t>
            </w:r>
          </w:p>
        </w:tc>
      </w:tr>
      <w:tr w:rsidR="00781766" w:rsidTr="00EB5C27">
        <w:tc>
          <w:tcPr>
            <w:tcW w:w="1054" w:type="dxa"/>
            <w:tcBorders>
              <w:top w:val="nil"/>
              <w:left w:val="nil"/>
              <w:bottom w:val="single" w:sz="4" w:space="0" w:color="auto"/>
              <w:right w:val="nil"/>
            </w:tcBorders>
            <w:shd w:val="clear" w:color="000000" w:fill="FFFFFF"/>
            <w:noWrap/>
            <w:hideMark/>
          </w:tcPr>
          <w:p w:rsidR="00781766" w:rsidRDefault="00781766" w:rsidP="00EB5C27">
            <w:pPr>
              <w:ind w:left="-283"/>
              <w:jc w:val="right"/>
              <w:rPr>
                <w:b/>
                <w:bCs/>
                <w:sz w:val="18"/>
                <w:szCs w:val="18"/>
              </w:rPr>
            </w:pPr>
            <w:r>
              <w:rPr>
                <w:b/>
                <w:bCs/>
                <w:sz w:val="18"/>
                <w:szCs w:val="18"/>
              </w:rPr>
              <w:t> </w:t>
            </w:r>
          </w:p>
        </w:tc>
        <w:tc>
          <w:tcPr>
            <w:tcW w:w="2392" w:type="dxa"/>
            <w:tcBorders>
              <w:top w:val="nil"/>
              <w:left w:val="nil"/>
              <w:bottom w:val="single" w:sz="4" w:space="0" w:color="auto"/>
              <w:right w:val="nil"/>
            </w:tcBorders>
            <w:shd w:val="clear" w:color="000000" w:fill="FFFFFF"/>
            <w:noWrap/>
            <w:hideMark/>
          </w:tcPr>
          <w:p w:rsidR="00781766" w:rsidRDefault="00781766" w:rsidP="00EB5C27">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hideMark/>
          </w:tcPr>
          <w:p w:rsidR="00781766" w:rsidRDefault="00781766" w:rsidP="00EB5C27">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781766" w:rsidRDefault="00781766" w:rsidP="00EB5C27">
            <w:pPr>
              <w:ind w:left="-283"/>
              <w:jc w:val="right"/>
              <w:rPr>
                <w:b/>
                <w:bCs/>
                <w:sz w:val="18"/>
                <w:szCs w:val="18"/>
              </w:rPr>
            </w:pPr>
            <w:r>
              <w:rPr>
                <w:b/>
                <w:bCs/>
                <w:sz w:val="18"/>
                <w:szCs w:val="18"/>
              </w:rPr>
              <w:t> </w:t>
            </w:r>
          </w:p>
        </w:tc>
        <w:tc>
          <w:tcPr>
            <w:tcW w:w="624" w:type="dxa"/>
            <w:tcBorders>
              <w:top w:val="nil"/>
              <w:left w:val="nil"/>
              <w:bottom w:val="single" w:sz="4" w:space="0" w:color="auto"/>
              <w:right w:val="nil"/>
            </w:tcBorders>
            <w:shd w:val="clear" w:color="000000" w:fill="FFFFFF"/>
            <w:noWrap/>
            <w:hideMark/>
          </w:tcPr>
          <w:p w:rsidR="00781766" w:rsidRDefault="00781766" w:rsidP="00EB5C27">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781766" w:rsidRDefault="00781766" w:rsidP="00EB5C27">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781766" w:rsidRDefault="00781766" w:rsidP="00EB5C27">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781766" w:rsidRDefault="00781766" w:rsidP="00EB5C27">
            <w:pPr>
              <w:ind w:left="-283"/>
              <w:jc w:val="right"/>
              <w:rPr>
                <w:b/>
                <w:bCs/>
                <w:sz w:val="18"/>
                <w:szCs w:val="18"/>
              </w:rPr>
            </w:pPr>
            <w:r>
              <w:rPr>
                <w:b/>
                <w:bCs/>
                <w:sz w:val="18"/>
                <w:szCs w:val="18"/>
              </w:rPr>
              <w:t> </w:t>
            </w:r>
          </w:p>
        </w:tc>
      </w:tr>
    </w:tbl>
    <w:p w:rsidR="00781766" w:rsidRDefault="00781766">
      <w:pPr>
        <w:rPr>
          <w:b/>
          <w:bCs/>
        </w:rPr>
      </w:pPr>
    </w:p>
    <w:p w:rsidR="00781766" w:rsidRDefault="00781766">
      <w:pPr>
        <w:rPr>
          <w:b/>
          <w:bCs/>
        </w:rPr>
      </w:pPr>
      <w:r>
        <w:rPr>
          <w:b/>
          <w:bCs/>
        </w:rPr>
        <w:br w:type="page"/>
      </w:r>
    </w:p>
    <w:tbl>
      <w:tblPr>
        <w:tblW w:w="9356" w:type="dxa"/>
        <w:tblLook w:val="04A0"/>
      </w:tblPr>
      <w:tblGrid>
        <w:gridCol w:w="1054"/>
        <w:gridCol w:w="2392"/>
        <w:gridCol w:w="1106"/>
        <w:gridCol w:w="1054"/>
        <w:gridCol w:w="624"/>
        <w:gridCol w:w="1054"/>
        <w:gridCol w:w="1054"/>
        <w:gridCol w:w="1054"/>
      </w:tblGrid>
      <w:tr w:rsidR="00CE7C61" w:rsidTr="00EB5C27">
        <w:trPr>
          <w:tblHeader/>
        </w:trPr>
        <w:tc>
          <w:tcPr>
            <w:tcW w:w="9392" w:type="dxa"/>
            <w:gridSpan w:val="8"/>
            <w:tcBorders>
              <w:top w:val="nil"/>
              <w:left w:val="nil"/>
              <w:bottom w:val="nil"/>
              <w:right w:val="nil"/>
            </w:tcBorders>
            <w:shd w:val="clear" w:color="000000" w:fill="FFFFFF"/>
            <w:noWrap/>
            <w:vAlign w:val="bottom"/>
            <w:hideMark/>
          </w:tcPr>
          <w:p w:rsidR="00CE7C61" w:rsidRDefault="00CE7C61" w:rsidP="00EB5C27">
            <w:pPr>
              <w:jc w:val="center"/>
              <w:rPr>
                <w:rFonts w:ascii="Arial" w:hAnsi="Arial" w:cs="Arial"/>
                <w:b/>
                <w:bCs/>
                <w:szCs w:val="24"/>
              </w:rPr>
            </w:pPr>
            <w:bookmarkStart w:id="15" w:name="RANGE!A1:H47"/>
            <w:r>
              <w:rPr>
                <w:rFonts w:ascii="Arial" w:hAnsi="Arial" w:cs="Arial"/>
                <w:b/>
                <w:bCs/>
              </w:rPr>
              <w:lastRenderedPageBreak/>
              <w:t>Justice and Community Safety Directorate</w:t>
            </w:r>
            <w:bookmarkEnd w:id="15"/>
          </w:p>
        </w:tc>
      </w:tr>
      <w:tr w:rsidR="00CE7C61" w:rsidTr="00EB5C27">
        <w:trPr>
          <w:tblHeader/>
        </w:trPr>
        <w:tc>
          <w:tcPr>
            <w:tcW w:w="9392" w:type="dxa"/>
            <w:gridSpan w:val="8"/>
            <w:tcBorders>
              <w:top w:val="nil"/>
              <w:left w:val="nil"/>
              <w:bottom w:val="nil"/>
              <w:right w:val="nil"/>
            </w:tcBorders>
            <w:shd w:val="clear" w:color="000000" w:fill="FFFFFF"/>
            <w:noWrap/>
            <w:vAlign w:val="bottom"/>
            <w:hideMark/>
          </w:tcPr>
          <w:p w:rsidR="00CE7C61" w:rsidRDefault="00CE7C61" w:rsidP="00EB5C27">
            <w:pPr>
              <w:jc w:val="center"/>
              <w:rPr>
                <w:rFonts w:ascii="Arial" w:hAnsi="Arial" w:cs="Arial"/>
                <w:b/>
                <w:bCs/>
                <w:szCs w:val="24"/>
              </w:rPr>
            </w:pPr>
            <w:r>
              <w:rPr>
                <w:rFonts w:ascii="Arial" w:hAnsi="Arial" w:cs="Arial"/>
                <w:b/>
                <w:bCs/>
              </w:rPr>
              <w:t>Cash Flow Statement</w:t>
            </w:r>
          </w:p>
        </w:tc>
      </w:tr>
      <w:tr w:rsidR="00CE7C61" w:rsidTr="00EB5C27">
        <w:trPr>
          <w:tblHeader/>
        </w:trPr>
        <w:tc>
          <w:tcPr>
            <w:tcW w:w="1054" w:type="dxa"/>
            <w:tcBorders>
              <w:top w:val="single" w:sz="4" w:space="0" w:color="auto"/>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noWrap/>
            <w:hideMark/>
          </w:tcPr>
          <w:p w:rsidR="00CE7C61" w:rsidRDefault="00CE7C61" w:rsidP="00EB5C27">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2016-17</w:t>
            </w:r>
          </w:p>
        </w:tc>
      </w:tr>
      <w:tr w:rsidR="00CE7C61" w:rsidTr="00EB5C27">
        <w:trPr>
          <w:tblHeader/>
        </w:trPr>
        <w:tc>
          <w:tcPr>
            <w:tcW w:w="1054" w:type="dxa"/>
            <w:tcBorders>
              <w:top w:val="nil"/>
              <w:left w:val="nil"/>
              <w:bottom w:val="nil"/>
              <w:right w:val="nil"/>
            </w:tcBorders>
            <w:shd w:val="clear" w:color="000000" w:fill="FFFFFF"/>
            <w:hideMark/>
          </w:tcPr>
          <w:p w:rsidR="00CE7C61" w:rsidRDefault="00CE7C61" w:rsidP="00EB5C27">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noWrap/>
            <w:hideMark/>
          </w:tcPr>
          <w:p w:rsidR="00CE7C61" w:rsidRDefault="00CE7C61" w:rsidP="00EB5C2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CE7C61" w:rsidRDefault="00CE7C61" w:rsidP="00EB5C27">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CE7C61" w:rsidRDefault="00CE7C61" w:rsidP="00EB5C27">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CE7C61" w:rsidRDefault="00CE7C61" w:rsidP="00EB5C27">
            <w:pPr>
              <w:ind w:left="-283"/>
              <w:jc w:val="right"/>
              <w:rPr>
                <w:b/>
                <w:bCs/>
                <w:sz w:val="18"/>
                <w:szCs w:val="18"/>
              </w:rPr>
            </w:pPr>
            <w:proofErr w:type="spellStart"/>
            <w:r>
              <w:rPr>
                <w:b/>
                <w:bCs/>
                <w:sz w:val="18"/>
                <w:szCs w:val="18"/>
              </w:rPr>
              <w:t>Var</w:t>
            </w:r>
            <w:proofErr w:type="spellEnd"/>
          </w:p>
        </w:tc>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Estimate</w:t>
            </w:r>
          </w:p>
        </w:tc>
      </w:tr>
      <w:tr w:rsidR="00CE7C61" w:rsidTr="00EB5C27">
        <w:trPr>
          <w:tblHeader/>
        </w:trPr>
        <w:tc>
          <w:tcPr>
            <w:tcW w:w="1054" w:type="dxa"/>
            <w:tcBorders>
              <w:top w:val="nil"/>
              <w:left w:val="nil"/>
              <w:bottom w:val="single" w:sz="4" w:space="0" w:color="auto"/>
              <w:right w:val="nil"/>
            </w:tcBorders>
            <w:shd w:val="clear" w:color="000000" w:fill="FFFFFF"/>
            <w:noWrap/>
            <w:hideMark/>
          </w:tcPr>
          <w:p w:rsidR="00CE7C61" w:rsidRDefault="00CE7C61" w:rsidP="00EB5C27">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CE7C61" w:rsidRDefault="00CE7C61" w:rsidP="00EB5C27">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CE7C61" w:rsidRDefault="00CE7C61" w:rsidP="00EB5C2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CE7C61" w:rsidRDefault="00CE7C61" w:rsidP="00EB5C27">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CE7C61" w:rsidRDefault="00CE7C61" w:rsidP="00EB5C27">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CE7C61" w:rsidRDefault="00CE7C61" w:rsidP="00EB5C2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CE7C61" w:rsidRDefault="00CE7C61" w:rsidP="00EB5C2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CE7C61" w:rsidRDefault="00CE7C61" w:rsidP="00EB5C27">
            <w:pPr>
              <w:ind w:left="-283"/>
              <w:jc w:val="right"/>
              <w:rPr>
                <w:b/>
                <w:bCs/>
                <w:sz w:val="18"/>
                <w:szCs w:val="18"/>
              </w:rPr>
            </w:pPr>
            <w:r>
              <w:rPr>
                <w:b/>
                <w:bCs/>
                <w:sz w:val="18"/>
                <w:szCs w:val="18"/>
              </w:rPr>
              <w:t>$'000</w:t>
            </w:r>
          </w:p>
        </w:tc>
      </w:tr>
      <w:tr w:rsidR="00CE7C61" w:rsidRPr="00BD554E" w:rsidTr="00EB5C27">
        <w:trPr>
          <w:tblHeader/>
        </w:trPr>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b/>
                <w:bCs/>
                <w:sz w:val="10"/>
                <w:szCs w:val="10"/>
              </w:rPr>
            </w:pPr>
            <w:r w:rsidRPr="00BD554E">
              <w:rPr>
                <w:b/>
                <w:bCs/>
                <w:sz w:val="10"/>
                <w:szCs w:val="10"/>
              </w:rPr>
              <w:t> </w:t>
            </w:r>
          </w:p>
        </w:tc>
        <w:tc>
          <w:tcPr>
            <w:tcW w:w="2392" w:type="dxa"/>
            <w:tcBorders>
              <w:top w:val="nil"/>
              <w:left w:val="nil"/>
              <w:bottom w:val="nil"/>
              <w:right w:val="nil"/>
            </w:tcBorders>
            <w:shd w:val="clear" w:color="000000" w:fill="FFFFFF"/>
            <w:noWrap/>
            <w:hideMark/>
          </w:tcPr>
          <w:p w:rsidR="00CE7C61" w:rsidRPr="00BD554E" w:rsidRDefault="00CE7C61" w:rsidP="00EB5C27">
            <w:pPr>
              <w:rPr>
                <w:sz w:val="10"/>
                <w:szCs w:val="10"/>
              </w:rPr>
            </w:pPr>
            <w:r w:rsidRPr="00BD554E">
              <w:rPr>
                <w:sz w:val="10"/>
                <w:szCs w:val="10"/>
              </w:rPr>
              <w:t> </w:t>
            </w:r>
          </w:p>
        </w:tc>
        <w:tc>
          <w:tcPr>
            <w:tcW w:w="1106"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b/>
                <w:bCs/>
                <w:sz w:val="10"/>
                <w:szCs w:val="10"/>
              </w:rPr>
            </w:pPr>
            <w:r w:rsidRPr="00BD554E">
              <w:rPr>
                <w:b/>
                <w:bCs/>
                <w:sz w:val="10"/>
                <w:szCs w:val="10"/>
              </w:rPr>
              <w:t> </w:t>
            </w:r>
          </w:p>
        </w:tc>
        <w:tc>
          <w:tcPr>
            <w:tcW w:w="624" w:type="dxa"/>
            <w:tcBorders>
              <w:top w:val="nil"/>
              <w:left w:val="nil"/>
              <w:bottom w:val="nil"/>
              <w:right w:val="nil"/>
            </w:tcBorders>
            <w:shd w:val="clear" w:color="000000" w:fill="FFFFFF"/>
            <w:noWrap/>
            <w:hideMark/>
          </w:tcPr>
          <w:p w:rsidR="00CE7C61" w:rsidRPr="00BD554E" w:rsidRDefault="00CE7C61" w:rsidP="00EB5C27">
            <w:pPr>
              <w:ind w:left="-283"/>
              <w:jc w:val="right"/>
              <w:rPr>
                <w:b/>
                <w:bCs/>
                <w:sz w:val="10"/>
                <w:szCs w:val="10"/>
              </w:rPr>
            </w:pPr>
            <w:r w:rsidRPr="00BD554E">
              <w:rPr>
                <w:b/>
                <w:bCs/>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b/>
                <w:bCs/>
                <w:sz w:val="10"/>
                <w:szCs w:val="10"/>
              </w:rPr>
            </w:pPr>
            <w:r w:rsidRPr="00BD554E">
              <w:rPr>
                <w:b/>
                <w:bCs/>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b/>
                <w:bCs/>
                <w:sz w:val="10"/>
                <w:szCs w:val="10"/>
              </w:rPr>
            </w:pPr>
            <w:r w:rsidRPr="00BD554E">
              <w:rPr>
                <w:b/>
                <w:bCs/>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b/>
                <w:bCs/>
                <w:sz w:val="10"/>
                <w:szCs w:val="10"/>
              </w:rPr>
            </w:pPr>
            <w:r w:rsidRPr="00BD554E">
              <w:rPr>
                <w:b/>
                <w:bCs/>
                <w:sz w:val="10"/>
                <w:szCs w:val="10"/>
              </w:rPr>
              <w:t> </w:t>
            </w:r>
          </w:p>
        </w:tc>
      </w:tr>
      <w:tr w:rsidR="00CE7C61" w:rsidTr="00EB5C27">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CE7C61" w:rsidRDefault="00CE7C61" w:rsidP="00EB5C27">
            <w:pPr>
              <w:rPr>
                <w:sz w:val="18"/>
                <w:szCs w:val="18"/>
              </w:rPr>
            </w:pPr>
            <w:r>
              <w:rPr>
                <w:b/>
                <w:bCs/>
                <w:sz w:val="18"/>
                <w:szCs w:val="18"/>
              </w:rPr>
              <w:t>CASH FLOWS FROM OPERATING ACTIVITIES</w:t>
            </w:r>
            <w:r>
              <w:rPr>
                <w:sz w:val="18"/>
                <w:szCs w:val="18"/>
              </w:rPr>
              <w:t xml:space="preserve">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w:t>
            </w:r>
          </w:p>
        </w:tc>
      </w:tr>
      <w:tr w:rsidR="00CE7C61" w:rsidRPr="00BD554E" w:rsidTr="00EB5C27">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2392" w:type="dxa"/>
            <w:tcBorders>
              <w:top w:val="nil"/>
              <w:left w:val="nil"/>
              <w:bottom w:val="nil"/>
              <w:right w:val="nil"/>
            </w:tcBorders>
            <w:shd w:val="clear" w:color="000000" w:fill="FFFFFF"/>
            <w:noWrap/>
            <w:hideMark/>
          </w:tcPr>
          <w:p w:rsidR="00CE7C61" w:rsidRPr="00BD554E" w:rsidRDefault="00CE7C61" w:rsidP="00EB5C27">
            <w:pPr>
              <w:rPr>
                <w:b/>
                <w:bCs/>
                <w:sz w:val="10"/>
                <w:szCs w:val="10"/>
              </w:rPr>
            </w:pPr>
            <w:r w:rsidRPr="00BD554E">
              <w:rPr>
                <w:b/>
                <w:bCs/>
                <w:sz w:val="10"/>
                <w:szCs w:val="10"/>
              </w:rPr>
              <w:t> </w:t>
            </w:r>
          </w:p>
        </w:tc>
        <w:tc>
          <w:tcPr>
            <w:tcW w:w="1106"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62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r>
      <w:tr w:rsidR="00CE7C61" w:rsidTr="00EB5C27">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CE7C61" w:rsidRDefault="00CE7C61" w:rsidP="00EB5C27">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w:t>
            </w:r>
          </w:p>
        </w:tc>
      </w:tr>
      <w:tr w:rsidR="00CE7C61" w:rsidTr="00EB5C27">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246,937</w:t>
            </w:r>
          </w:p>
        </w:tc>
        <w:tc>
          <w:tcPr>
            <w:tcW w:w="2392" w:type="dxa"/>
            <w:tcBorders>
              <w:top w:val="nil"/>
              <w:left w:val="nil"/>
              <w:bottom w:val="nil"/>
              <w:right w:val="nil"/>
            </w:tcBorders>
            <w:shd w:val="clear" w:color="000000" w:fill="FFFFFF"/>
            <w:hideMark/>
          </w:tcPr>
          <w:p w:rsidR="00CE7C61" w:rsidRDefault="00CE7C61" w:rsidP="00EB5C27">
            <w:pPr>
              <w:rPr>
                <w:sz w:val="18"/>
                <w:szCs w:val="18"/>
              </w:rPr>
            </w:pPr>
            <w:r>
              <w:rPr>
                <w:sz w:val="18"/>
                <w:szCs w:val="18"/>
              </w:rPr>
              <w:t>Cash from Government</w:t>
            </w:r>
            <w:r>
              <w:rPr>
                <w:sz w:val="18"/>
                <w:szCs w:val="18"/>
              </w:rPr>
              <w:br/>
              <w:t xml:space="preserve">   for Outputs</w:t>
            </w:r>
          </w:p>
        </w:tc>
        <w:tc>
          <w:tcPr>
            <w:tcW w:w="1106"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258,438</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264,902</w:t>
            </w:r>
          </w:p>
        </w:tc>
        <w:tc>
          <w:tcPr>
            <w:tcW w:w="62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250,291</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250,494</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254,978</w:t>
            </w:r>
          </w:p>
        </w:tc>
      </w:tr>
      <w:tr w:rsidR="00CE7C61" w:rsidTr="00EB5C27">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20,066</w:t>
            </w:r>
          </w:p>
        </w:tc>
        <w:tc>
          <w:tcPr>
            <w:tcW w:w="2392" w:type="dxa"/>
            <w:tcBorders>
              <w:top w:val="nil"/>
              <w:left w:val="nil"/>
              <w:bottom w:val="nil"/>
              <w:right w:val="nil"/>
            </w:tcBorders>
            <w:shd w:val="clear" w:color="000000" w:fill="FFFFFF"/>
            <w:noWrap/>
            <w:hideMark/>
          </w:tcPr>
          <w:p w:rsidR="00CE7C61" w:rsidRDefault="00CE7C61" w:rsidP="00EB5C27">
            <w:pPr>
              <w:rPr>
                <w:sz w:val="18"/>
                <w:szCs w:val="18"/>
              </w:rPr>
            </w:pPr>
            <w:r>
              <w:rPr>
                <w:sz w:val="18"/>
                <w:szCs w:val="18"/>
              </w:rPr>
              <w:t>User Charges</w:t>
            </w:r>
          </w:p>
        </w:tc>
        <w:tc>
          <w:tcPr>
            <w:tcW w:w="1106"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11,675</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11,301</w:t>
            </w:r>
          </w:p>
        </w:tc>
        <w:tc>
          <w:tcPr>
            <w:tcW w:w="62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21,107</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21,912</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22,777</w:t>
            </w:r>
          </w:p>
        </w:tc>
      </w:tr>
      <w:tr w:rsidR="00CE7C61" w:rsidTr="00EB5C27">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10,308</w:t>
            </w:r>
          </w:p>
        </w:tc>
        <w:tc>
          <w:tcPr>
            <w:tcW w:w="2392" w:type="dxa"/>
            <w:tcBorders>
              <w:top w:val="nil"/>
              <w:left w:val="nil"/>
              <w:bottom w:val="nil"/>
              <w:right w:val="nil"/>
            </w:tcBorders>
            <w:shd w:val="clear" w:color="000000" w:fill="FFFFFF"/>
            <w:noWrap/>
            <w:hideMark/>
          </w:tcPr>
          <w:p w:rsidR="00CE7C61" w:rsidRDefault="00CE7C61" w:rsidP="00EB5C27">
            <w:pPr>
              <w:rPr>
                <w:sz w:val="18"/>
                <w:szCs w:val="18"/>
              </w:rPr>
            </w:pPr>
            <w:r>
              <w:rPr>
                <w:sz w:val="18"/>
                <w:szCs w:val="18"/>
              </w:rPr>
              <w:t>Other Receipts</w:t>
            </w:r>
          </w:p>
        </w:tc>
        <w:tc>
          <w:tcPr>
            <w:tcW w:w="1106"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11,127</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14,187</w:t>
            </w:r>
          </w:p>
        </w:tc>
        <w:tc>
          <w:tcPr>
            <w:tcW w:w="62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xml:space="preserve">28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14,053</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14,308</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14,928</w:t>
            </w:r>
          </w:p>
        </w:tc>
      </w:tr>
      <w:tr w:rsidR="00CE7C61" w:rsidTr="00EB5C27">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277,311</w:t>
            </w:r>
          </w:p>
        </w:tc>
        <w:tc>
          <w:tcPr>
            <w:tcW w:w="2392" w:type="dxa"/>
            <w:tcBorders>
              <w:top w:val="nil"/>
              <w:left w:val="nil"/>
              <w:bottom w:val="nil"/>
              <w:right w:val="nil"/>
            </w:tcBorders>
            <w:shd w:val="clear" w:color="000000" w:fill="FFFFFF"/>
            <w:noWrap/>
            <w:hideMark/>
          </w:tcPr>
          <w:p w:rsidR="00CE7C61" w:rsidRDefault="00CE7C61" w:rsidP="00EB5C27">
            <w:pPr>
              <w:rPr>
                <w:b/>
                <w:bCs/>
                <w:sz w:val="18"/>
                <w:szCs w:val="18"/>
              </w:rPr>
            </w:pPr>
            <w:r>
              <w:rPr>
                <w:b/>
                <w:bCs/>
                <w:sz w:val="18"/>
                <w:szCs w:val="18"/>
              </w:rPr>
              <w:t>Operating Receipts</w:t>
            </w:r>
          </w:p>
        </w:tc>
        <w:tc>
          <w:tcPr>
            <w:tcW w:w="1106"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281,240</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290,390</w:t>
            </w:r>
          </w:p>
        </w:tc>
        <w:tc>
          <w:tcPr>
            <w:tcW w:w="62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285,451</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286,714</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292,683</w:t>
            </w:r>
          </w:p>
        </w:tc>
      </w:tr>
      <w:tr w:rsidR="00CE7C61" w:rsidRPr="00BD554E" w:rsidTr="00EB5C27">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color w:val="0000FF"/>
                <w:sz w:val="10"/>
                <w:szCs w:val="10"/>
              </w:rPr>
            </w:pPr>
            <w:r w:rsidRPr="00BD554E">
              <w:rPr>
                <w:color w:val="0000FF"/>
                <w:sz w:val="10"/>
                <w:szCs w:val="10"/>
              </w:rPr>
              <w:t> </w:t>
            </w:r>
          </w:p>
        </w:tc>
        <w:tc>
          <w:tcPr>
            <w:tcW w:w="2392" w:type="dxa"/>
            <w:tcBorders>
              <w:top w:val="nil"/>
              <w:left w:val="nil"/>
              <w:bottom w:val="nil"/>
              <w:right w:val="nil"/>
            </w:tcBorders>
            <w:shd w:val="clear" w:color="000000" w:fill="FFFFFF"/>
            <w:noWrap/>
            <w:hideMark/>
          </w:tcPr>
          <w:p w:rsidR="00CE7C61" w:rsidRPr="00BD554E" w:rsidRDefault="00CE7C61" w:rsidP="00EB5C27">
            <w:pPr>
              <w:rPr>
                <w:b/>
                <w:bCs/>
                <w:sz w:val="10"/>
                <w:szCs w:val="10"/>
              </w:rPr>
            </w:pPr>
            <w:r w:rsidRPr="00BD554E">
              <w:rPr>
                <w:b/>
                <w:bCs/>
                <w:sz w:val="10"/>
                <w:szCs w:val="10"/>
              </w:rPr>
              <w:t> </w:t>
            </w:r>
          </w:p>
        </w:tc>
        <w:tc>
          <w:tcPr>
            <w:tcW w:w="1106" w:type="dxa"/>
            <w:tcBorders>
              <w:top w:val="nil"/>
              <w:left w:val="nil"/>
              <w:bottom w:val="nil"/>
              <w:right w:val="nil"/>
            </w:tcBorders>
            <w:shd w:val="clear" w:color="000000" w:fill="FFFFFF"/>
            <w:noWrap/>
            <w:hideMark/>
          </w:tcPr>
          <w:p w:rsidR="00CE7C61" w:rsidRPr="00BD554E" w:rsidRDefault="00CE7C61" w:rsidP="00EB5C27">
            <w:pPr>
              <w:ind w:left="-283"/>
              <w:jc w:val="right"/>
              <w:rPr>
                <w:b/>
                <w:bCs/>
                <w:sz w:val="10"/>
                <w:szCs w:val="10"/>
              </w:rPr>
            </w:pPr>
            <w:r w:rsidRPr="00BD554E">
              <w:rPr>
                <w:b/>
                <w:bCs/>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color w:val="0000FF"/>
                <w:sz w:val="10"/>
                <w:szCs w:val="10"/>
              </w:rPr>
            </w:pPr>
            <w:r w:rsidRPr="00BD554E">
              <w:rPr>
                <w:color w:val="0000FF"/>
                <w:sz w:val="10"/>
                <w:szCs w:val="10"/>
              </w:rPr>
              <w:t> </w:t>
            </w:r>
          </w:p>
        </w:tc>
        <w:tc>
          <w:tcPr>
            <w:tcW w:w="624" w:type="dxa"/>
            <w:tcBorders>
              <w:top w:val="nil"/>
              <w:left w:val="nil"/>
              <w:bottom w:val="nil"/>
              <w:right w:val="nil"/>
            </w:tcBorders>
            <w:shd w:val="clear" w:color="000000" w:fill="FFFFFF"/>
            <w:noWrap/>
            <w:hideMark/>
          </w:tcPr>
          <w:p w:rsidR="00CE7C61" w:rsidRPr="00BD554E" w:rsidRDefault="00CE7C61" w:rsidP="00EB5C27">
            <w:pPr>
              <w:ind w:left="-283"/>
              <w:jc w:val="right"/>
              <w:rPr>
                <w:color w:val="0000FF"/>
                <w:sz w:val="10"/>
                <w:szCs w:val="10"/>
              </w:rPr>
            </w:pPr>
            <w:r w:rsidRPr="00BD554E">
              <w:rPr>
                <w:color w:val="0000FF"/>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color w:val="0000FF"/>
                <w:sz w:val="10"/>
                <w:szCs w:val="10"/>
              </w:rPr>
            </w:pPr>
            <w:r w:rsidRPr="00BD554E">
              <w:rPr>
                <w:color w:val="0000FF"/>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color w:val="0000FF"/>
                <w:sz w:val="10"/>
                <w:szCs w:val="10"/>
              </w:rPr>
            </w:pPr>
            <w:r w:rsidRPr="00BD554E">
              <w:rPr>
                <w:color w:val="0000FF"/>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color w:val="0000FF"/>
                <w:sz w:val="10"/>
                <w:szCs w:val="10"/>
              </w:rPr>
            </w:pPr>
            <w:r w:rsidRPr="00BD554E">
              <w:rPr>
                <w:color w:val="0000FF"/>
                <w:sz w:val="10"/>
                <w:szCs w:val="10"/>
              </w:rPr>
              <w:t> </w:t>
            </w:r>
          </w:p>
        </w:tc>
      </w:tr>
      <w:tr w:rsidR="00CE7C61" w:rsidTr="00EB5C27">
        <w:tc>
          <w:tcPr>
            <w:tcW w:w="1054" w:type="dxa"/>
            <w:tcBorders>
              <w:top w:val="nil"/>
              <w:left w:val="nil"/>
              <w:bottom w:val="nil"/>
              <w:right w:val="nil"/>
            </w:tcBorders>
            <w:shd w:val="clear" w:color="000000" w:fill="FFFFFF"/>
            <w:noWrap/>
            <w:hideMark/>
          </w:tcPr>
          <w:p w:rsidR="00CE7C61" w:rsidRDefault="00CE7C61" w:rsidP="00EB5C27">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CE7C61" w:rsidRDefault="00CE7C61" w:rsidP="00EB5C27">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CE7C61" w:rsidRDefault="00CE7C61" w:rsidP="00EB5C27">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color w:val="0000FF"/>
                <w:sz w:val="18"/>
                <w:szCs w:val="18"/>
              </w:rPr>
            </w:pPr>
            <w:r>
              <w:rPr>
                <w:color w:val="0000FF"/>
                <w:sz w:val="18"/>
                <w:szCs w:val="18"/>
              </w:rPr>
              <w:t> </w:t>
            </w:r>
          </w:p>
        </w:tc>
      </w:tr>
      <w:tr w:rsidR="00CE7C61" w:rsidTr="00EB5C27">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166,346</w:t>
            </w:r>
          </w:p>
        </w:tc>
        <w:tc>
          <w:tcPr>
            <w:tcW w:w="2392" w:type="dxa"/>
            <w:tcBorders>
              <w:top w:val="nil"/>
              <w:left w:val="nil"/>
              <w:bottom w:val="nil"/>
              <w:right w:val="nil"/>
            </w:tcBorders>
            <w:shd w:val="clear" w:color="000000" w:fill="FFFFFF"/>
            <w:noWrap/>
            <w:hideMark/>
          </w:tcPr>
          <w:p w:rsidR="00CE7C61" w:rsidRDefault="00CE7C61" w:rsidP="00EB5C27">
            <w:pPr>
              <w:rPr>
                <w:sz w:val="18"/>
                <w:szCs w:val="18"/>
              </w:rPr>
            </w:pPr>
            <w:r>
              <w:rPr>
                <w:sz w:val="18"/>
                <w:szCs w:val="18"/>
              </w:rPr>
              <w:t>Related to Employees</w:t>
            </w:r>
          </w:p>
        </w:tc>
        <w:tc>
          <w:tcPr>
            <w:tcW w:w="1106"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173,670</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175,340</w:t>
            </w:r>
          </w:p>
        </w:tc>
        <w:tc>
          <w:tcPr>
            <w:tcW w:w="62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172,972</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172,460</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176,328</w:t>
            </w:r>
          </w:p>
        </w:tc>
      </w:tr>
      <w:tr w:rsidR="00CE7C61" w:rsidTr="00EB5C27">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24,400</w:t>
            </w:r>
          </w:p>
        </w:tc>
        <w:tc>
          <w:tcPr>
            <w:tcW w:w="2392" w:type="dxa"/>
            <w:tcBorders>
              <w:top w:val="nil"/>
              <w:left w:val="nil"/>
              <w:bottom w:val="nil"/>
              <w:right w:val="nil"/>
            </w:tcBorders>
            <w:shd w:val="clear" w:color="000000" w:fill="FFFFFF"/>
            <w:noWrap/>
            <w:hideMark/>
          </w:tcPr>
          <w:p w:rsidR="00CE7C61" w:rsidRDefault="00CE7C61" w:rsidP="00EB5C27">
            <w:pPr>
              <w:rPr>
                <w:sz w:val="18"/>
                <w:szCs w:val="18"/>
              </w:rPr>
            </w:pPr>
            <w:r>
              <w:rPr>
                <w:sz w:val="18"/>
                <w:szCs w:val="18"/>
              </w:rPr>
              <w:t>Related to Superannuation</w:t>
            </w:r>
          </w:p>
        </w:tc>
        <w:tc>
          <w:tcPr>
            <w:tcW w:w="1106"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24,808</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25,006</w:t>
            </w:r>
          </w:p>
        </w:tc>
        <w:tc>
          <w:tcPr>
            <w:tcW w:w="62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25,430</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26,103</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26,927</w:t>
            </w:r>
          </w:p>
        </w:tc>
      </w:tr>
      <w:tr w:rsidR="00CE7C61" w:rsidTr="00EB5C27">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80,300</w:t>
            </w:r>
          </w:p>
        </w:tc>
        <w:tc>
          <w:tcPr>
            <w:tcW w:w="2392" w:type="dxa"/>
            <w:tcBorders>
              <w:top w:val="nil"/>
              <w:left w:val="nil"/>
              <w:bottom w:val="nil"/>
              <w:right w:val="nil"/>
            </w:tcBorders>
            <w:shd w:val="clear" w:color="000000" w:fill="FFFFFF"/>
            <w:hideMark/>
          </w:tcPr>
          <w:p w:rsidR="00CE7C61" w:rsidRDefault="00CE7C61" w:rsidP="00EB5C27">
            <w:pPr>
              <w:rPr>
                <w:sz w:val="18"/>
                <w:szCs w:val="18"/>
              </w:rPr>
            </w:pPr>
            <w:r>
              <w:rPr>
                <w:sz w:val="18"/>
                <w:szCs w:val="18"/>
              </w:rPr>
              <w:t>Related to Supplies and</w:t>
            </w:r>
            <w:r>
              <w:rPr>
                <w:sz w:val="18"/>
                <w:szCs w:val="18"/>
              </w:rPr>
              <w:br/>
              <w:t xml:space="preserve">   Services</w:t>
            </w:r>
          </w:p>
        </w:tc>
        <w:tc>
          <w:tcPr>
            <w:tcW w:w="1106"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77,773</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79,736</w:t>
            </w:r>
          </w:p>
        </w:tc>
        <w:tc>
          <w:tcPr>
            <w:tcW w:w="62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79,102</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81,101</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83,615</w:t>
            </w:r>
          </w:p>
        </w:tc>
      </w:tr>
      <w:tr w:rsidR="00CE7C61" w:rsidTr="00EB5C27">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0</w:t>
            </w:r>
          </w:p>
        </w:tc>
        <w:tc>
          <w:tcPr>
            <w:tcW w:w="2392" w:type="dxa"/>
            <w:tcBorders>
              <w:top w:val="nil"/>
              <w:left w:val="nil"/>
              <w:bottom w:val="nil"/>
              <w:right w:val="nil"/>
            </w:tcBorders>
            <w:shd w:val="clear" w:color="000000" w:fill="FFFFFF"/>
            <w:noWrap/>
            <w:hideMark/>
          </w:tcPr>
          <w:p w:rsidR="00CE7C61" w:rsidRDefault="00CE7C61" w:rsidP="00EB5C27">
            <w:pPr>
              <w:rPr>
                <w:sz w:val="18"/>
                <w:szCs w:val="18"/>
              </w:rPr>
            </w:pPr>
            <w:r>
              <w:rPr>
                <w:sz w:val="18"/>
                <w:szCs w:val="18"/>
              </w:rPr>
              <w:t>Borrowing Costs</w:t>
            </w:r>
          </w:p>
        </w:tc>
        <w:tc>
          <w:tcPr>
            <w:tcW w:w="1106"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47</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1</w:t>
            </w:r>
          </w:p>
        </w:tc>
        <w:tc>
          <w:tcPr>
            <w:tcW w:w="62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xml:space="preserve">-98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2</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2</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3</w:t>
            </w:r>
          </w:p>
        </w:tc>
      </w:tr>
      <w:tr w:rsidR="00CE7C61" w:rsidTr="00EB5C27">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1,799</w:t>
            </w:r>
          </w:p>
        </w:tc>
        <w:tc>
          <w:tcPr>
            <w:tcW w:w="2392" w:type="dxa"/>
            <w:tcBorders>
              <w:top w:val="nil"/>
              <w:left w:val="nil"/>
              <w:bottom w:val="nil"/>
              <w:right w:val="nil"/>
            </w:tcBorders>
            <w:shd w:val="clear" w:color="000000" w:fill="FFFFFF"/>
            <w:noWrap/>
            <w:hideMark/>
          </w:tcPr>
          <w:p w:rsidR="00CE7C61" w:rsidRDefault="00CE7C61" w:rsidP="00EB5C27">
            <w:pPr>
              <w:ind w:left="142" w:hanging="142"/>
              <w:rPr>
                <w:sz w:val="18"/>
                <w:szCs w:val="18"/>
              </w:rPr>
            </w:pPr>
            <w:r>
              <w:rPr>
                <w:sz w:val="18"/>
                <w:szCs w:val="18"/>
              </w:rPr>
              <w:t>Grants and Purchased Services</w:t>
            </w:r>
          </w:p>
        </w:tc>
        <w:tc>
          <w:tcPr>
            <w:tcW w:w="1106"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2,887</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4,254</w:t>
            </w:r>
          </w:p>
        </w:tc>
        <w:tc>
          <w:tcPr>
            <w:tcW w:w="62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xml:space="preserve">47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3,468</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2,571</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1,333</w:t>
            </w:r>
          </w:p>
        </w:tc>
      </w:tr>
      <w:tr w:rsidR="00CE7C61" w:rsidTr="00EB5C27">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4,459</w:t>
            </w:r>
          </w:p>
        </w:tc>
        <w:tc>
          <w:tcPr>
            <w:tcW w:w="2392" w:type="dxa"/>
            <w:tcBorders>
              <w:top w:val="nil"/>
              <w:left w:val="nil"/>
              <w:bottom w:val="nil"/>
              <w:right w:val="nil"/>
            </w:tcBorders>
            <w:shd w:val="clear" w:color="000000" w:fill="FFFFFF"/>
            <w:noWrap/>
            <w:hideMark/>
          </w:tcPr>
          <w:p w:rsidR="00CE7C61" w:rsidRDefault="00CE7C61" w:rsidP="00EB5C27">
            <w:pPr>
              <w:rPr>
                <w:sz w:val="18"/>
                <w:szCs w:val="18"/>
              </w:rPr>
            </w:pPr>
            <w:r>
              <w:rPr>
                <w:sz w:val="18"/>
                <w:szCs w:val="18"/>
              </w:rPr>
              <w:t>Other</w:t>
            </w:r>
          </w:p>
        </w:tc>
        <w:tc>
          <w:tcPr>
            <w:tcW w:w="1106"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4,500</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4,470</w:t>
            </w:r>
          </w:p>
        </w:tc>
        <w:tc>
          <w:tcPr>
            <w:tcW w:w="62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4,470</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4,470</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4,470</w:t>
            </w:r>
          </w:p>
        </w:tc>
      </w:tr>
      <w:tr w:rsidR="00CE7C61" w:rsidTr="00EB5C27">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277,304</w:t>
            </w:r>
          </w:p>
        </w:tc>
        <w:tc>
          <w:tcPr>
            <w:tcW w:w="2392" w:type="dxa"/>
            <w:tcBorders>
              <w:top w:val="nil"/>
              <w:left w:val="nil"/>
              <w:bottom w:val="nil"/>
              <w:right w:val="nil"/>
            </w:tcBorders>
            <w:shd w:val="clear" w:color="000000" w:fill="FFFFFF"/>
            <w:noWrap/>
            <w:hideMark/>
          </w:tcPr>
          <w:p w:rsidR="00CE7C61" w:rsidRDefault="00CE7C61" w:rsidP="00EB5C27">
            <w:pPr>
              <w:rPr>
                <w:b/>
                <w:bCs/>
                <w:sz w:val="18"/>
                <w:szCs w:val="18"/>
              </w:rPr>
            </w:pPr>
            <w:r>
              <w:rPr>
                <w:b/>
                <w:bCs/>
                <w:sz w:val="18"/>
                <w:szCs w:val="18"/>
              </w:rPr>
              <w:t>Operating Payments</w:t>
            </w:r>
          </w:p>
        </w:tc>
        <w:tc>
          <w:tcPr>
            <w:tcW w:w="1106"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283,685</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288,807</w:t>
            </w:r>
          </w:p>
        </w:tc>
        <w:tc>
          <w:tcPr>
            <w:tcW w:w="62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 xml:space="preserve">2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285,444</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286,707</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292,676</w:t>
            </w:r>
          </w:p>
        </w:tc>
      </w:tr>
      <w:tr w:rsidR="00CE7C61" w:rsidRPr="00BD554E" w:rsidTr="00EB5C27">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2392" w:type="dxa"/>
            <w:tcBorders>
              <w:top w:val="nil"/>
              <w:left w:val="nil"/>
              <w:bottom w:val="nil"/>
              <w:right w:val="nil"/>
            </w:tcBorders>
            <w:shd w:val="clear" w:color="000000" w:fill="FFFFFF"/>
            <w:noWrap/>
            <w:hideMark/>
          </w:tcPr>
          <w:p w:rsidR="00CE7C61" w:rsidRPr="00BD554E" w:rsidRDefault="00CE7C61" w:rsidP="00EB5C27">
            <w:pPr>
              <w:rPr>
                <w:sz w:val="10"/>
                <w:szCs w:val="10"/>
              </w:rPr>
            </w:pPr>
            <w:r w:rsidRPr="00BD554E">
              <w:rPr>
                <w:sz w:val="10"/>
                <w:szCs w:val="10"/>
              </w:rPr>
              <w:t> </w:t>
            </w:r>
          </w:p>
        </w:tc>
        <w:tc>
          <w:tcPr>
            <w:tcW w:w="1106"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62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r>
      <w:tr w:rsidR="00CE7C61" w:rsidTr="00EB5C27">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7</w:t>
            </w:r>
          </w:p>
        </w:tc>
        <w:tc>
          <w:tcPr>
            <w:tcW w:w="2392" w:type="dxa"/>
            <w:tcBorders>
              <w:top w:val="nil"/>
              <w:left w:val="nil"/>
              <w:bottom w:val="nil"/>
              <w:right w:val="nil"/>
            </w:tcBorders>
            <w:shd w:val="clear" w:color="000000" w:fill="FFFFFF"/>
            <w:hideMark/>
          </w:tcPr>
          <w:p w:rsidR="00CE7C61" w:rsidRDefault="00CE7C61" w:rsidP="00EB5C27">
            <w:pPr>
              <w:rPr>
                <w:b/>
                <w:bCs/>
                <w:sz w:val="18"/>
                <w:szCs w:val="18"/>
              </w:rPr>
            </w:pPr>
            <w:r>
              <w:rPr>
                <w:b/>
                <w:bCs/>
                <w:sz w:val="18"/>
                <w:szCs w:val="18"/>
              </w:rPr>
              <w:t>NET CASH INFLOW/</w:t>
            </w:r>
            <w:r>
              <w:rPr>
                <w:b/>
                <w:bCs/>
                <w:sz w:val="18"/>
                <w:szCs w:val="18"/>
              </w:rPr>
              <w:br/>
              <w:t xml:space="preserve">   (OUTFLOW) FROM</w:t>
            </w:r>
            <w:r>
              <w:rPr>
                <w:b/>
                <w:bCs/>
                <w:sz w:val="18"/>
                <w:szCs w:val="18"/>
              </w:rPr>
              <w:br/>
              <w:t xml:space="preserve">   OPERATING ACTIVITIES</w:t>
            </w:r>
          </w:p>
        </w:tc>
        <w:tc>
          <w:tcPr>
            <w:tcW w:w="1106"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-2,445</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1,583</w:t>
            </w:r>
          </w:p>
        </w:tc>
        <w:tc>
          <w:tcPr>
            <w:tcW w:w="62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 xml:space="preserve">165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7</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7</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7</w:t>
            </w:r>
          </w:p>
        </w:tc>
      </w:tr>
      <w:tr w:rsidR="00CE7C61" w:rsidRPr="00BD554E" w:rsidTr="00EB5C27">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color w:val="0000FF"/>
                <w:sz w:val="10"/>
                <w:szCs w:val="10"/>
              </w:rPr>
            </w:pPr>
            <w:r w:rsidRPr="00BD554E">
              <w:rPr>
                <w:color w:val="0000FF"/>
                <w:sz w:val="10"/>
                <w:szCs w:val="10"/>
              </w:rPr>
              <w:t> </w:t>
            </w:r>
          </w:p>
        </w:tc>
        <w:tc>
          <w:tcPr>
            <w:tcW w:w="2392" w:type="dxa"/>
            <w:tcBorders>
              <w:top w:val="nil"/>
              <w:left w:val="nil"/>
              <w:bottom w:val="nil"/>
              <w:right w:val="nil"/>
            </w:tcBorders>
            <w:shd w:val="clear" w:color="000000" w:fill="FFFFFF"/>
            <w:noWrap/>
            <w:hideMark/>
          </w:tcPr>
          <w:p w:rsidR="00CE7C61" w:rsidRPr="00BD554E" w:rsidRDefault="00CE7C61" w:rsidP="00EB5C27">
            <w:pPr>
              <w:rPr>
                <w:b/>
                <w:bCs/>
                <w:sz w:val="10"/>
                <w:szCs w:val="10"/>
              </w:rPr>
            </w:pPr>
            <w:r w:rsidRPr="00BD554E">
              <w:rPr>
                <w:b/>
                <w:bCs/>
                <w:sz w:val="10"/>
                <w:szCs w:val="10"/>
              </w:rPr>
              <w:t> </w:t>
            </w:r>
          </w:p>
        </w:tc>
        <w:tc>
          <w:tcPr>
            <w:tcW w:w="1106" w:type="dxa"/>
            <w:tcBorders>
              <w:top w:val="nil"/>
              <w:left w:val="nil"/>
              <w:bottom w:val="nil"/>
              <w:right w:val="nil"/>
            </w:tcBorders>
            <w:shd w:val="clear" w:color="000000" w:fill="FFFFFF"/>
            <w:noWrap/>
            <w:hideMark/>
          </w:tcPr>
          <w:p w:rsidR="00CE7C61" w:rsidRPr="00BD554E" w:rsidRDefault="00CE7C61" w:rsidP="00EB5C27">
            <w:pPr>
              <w:ind w:left="-283"/>
              <w:jc w:val="right"/>
              <w:rPr>
                <w:b/>
                <w:bCs/>
                <w:sz w:val="10"/>
                <w:szCs w:val="10"/>
              </w:rPr>
            </w:pPr>
            <w:r w:rsidRPr="00BD554E">
              <w:rPr>
                <w:b/>
                <w:bCs/>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color w:val="0000FF"/>
                <w:sz w:val="10"/>
                <w:szCs w:val="10"/>
              </w:rPr>
            </w:pPr>
            <w:r w:rsidRPr="00BD554E">
              <w:rPr>
                <w:color w:val="0000FF"/>
                <w:sz w:val="10"/>
                <w:szCs w:val="10"/>
              </w:rPr>
              <w:t> </w:t>
            </w:r>
          </w:p>
        </w:tc>
        <w:tc>
          <w:tcPr>
            <w:tcW w:w="624" w:type="dxa"/>
            <w:tcBorders>
              <w:top w:val="nil"/>
              <w:left w:val="nil"/>
              <w:bottom w:val="nil"/>
              <w:right w:val="nil"/>
            </w:tcBorders>
            <w:shd w:val="clear" w:color="000000" w:fill="FFFFFF"/>
            <w:noWrap/>
            <w:hideMark/>
          </w:tcPr>
          <w:p w:rsidR="00CE7C61" w:rsidRPr="00BD554E" w:rsidRDefault="00CE7C61" w:rsidP="00EB5C27">
            <w:pPr>
              <w:ind w:left="-283"/>
              <w:jc w:val="right"/>
              <w:rPr>
                <w:color w:val="0000FF"/>
                <w:sz w:val="10"/>
                <w:szCs w:val="10"/>
              </w:rPr>
            </w:pPr>
            <w:r w:rsidRPr="00BD554E">
              <w:rPr>
                <w:color w:val="0000FF"/>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color w:val="0000FF"/>
                <w:sz w:val="10"/>
                <w:szCs w:val="10"/>
              </w:rPr>
            </w:pPr>
            <w:r w:rsidRPr="00BD554E">
              <w:rPr>
                <w:color w:val="0000FF"/>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color w:val="0000FF"/>
                <w:sz w:val="10"/>
                <w:szCs w:val="10"/>
              </w:rPr>
            </w:pPr>
            <w:r w:rsidRPr="00BD554E">
              <w:rPr>
                <w:color w:val="0000FF"/>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color w:val="0000FF"/>
                <w:sz w:val="10"/>
                <w:szCs w:val="10"/>
              </w:rPr>
            </w:pPr>
            <w:r w:rsidRPr="00BD554E">
              <w:rPr>
                <w:color w:val="0000FF"/>
                <w:sz w:val="10"/>
                <w:szCs w:val="10"/>
              </w:rPr>
              <w:t> </w:t>
            </w:r>
          </w:p>
        </w:tc>
      </w:tr>
      <w:tr w:rsidR="00CE7C61" w:rsidTr="00EB5C27">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CE7C61" w:rsidRDefault="00CE7C61" w:rsidP="00EB5C27">
            <w:pPr>
              <w:rPr>
                <w:sz w:val="18"/>
                <w:szCs w:val="18"/>
              </w:rPr>
            </w:pPr>
            <w:r>
              <w:rPr>
                <w:b/>
                <w:bCs/>
                <w:sz w:val="18"/>
                <w:szCs w:val="18"/>
              </w:rPr>
              <w:t>CASH FLOWS FROM INVESTING ACTIVITIES</w:t>
            </w:r>
            <w:r>
              <w:rPr>
                <w:sz w:val="18"/>
                <w:szCs w:val="18"/>
              </w:rPr>
              <w:t xml:space="preserve">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w:t>
            </w:r>
          </w:p>
        </w:tc>
      </w:tr>
      <w:tr w:rsidR="00CE7C61" w:rsidRPr="00BD554E" w:rsidTr="00EB5C27">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2392" w:type="dxa"/>
            <w:tcBorders>
              <w:top w:val="nil"/>
              <w:left w:val="nil"/>
              <w:bottom w:val="nil"/>
              <w:right w:val="nil"/>
            </w:tcBorders>
            <w:shd w:val="clear" w:color="000000" w:fill="FFFFFF"/>
            <w:noWrap/>
            <w:hideMark/>
          </w:tcPr>
          <w:p w:rsidR="00CE7C61" w:rsidRPr="00BD554E" w:rsidRDefault="00CE7C61" w:rsidP="00EB5C27">
            <w:pPr>
              <w:rPr>
                <w:b/>
                <w:bCs/>
                <w:sz w:val="10"/>
                <w:szCs w:val="10"/>
              </w:rPr>
            </w:pPr>
            <w:r w:rsidRPr="00BD554E">
              <w:rPr>
                <w:b/>
                <w:bCs/>
                <w:sz w:val="10"/>
                <w:szCs w:val="10"/>
              </w:rPr>
              <w:t> </w:t>
            </w:r>
          </w:p>
        </w:tc>
        <w:tc>
          <w:tcPr>
            <w:tcW w:w="1106"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62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r>
      <w:tr w:rsidR="00CE7C61" w:rsidTr="00EB5C27">
        <w:tc>
          <w:tcPr>
            <w:tcW w:w="1054" w:type="dxa"/>
            <w:tcBorders>
              <w:top w:val="nil"/>
              <w:left w:val="nil"/>
              <w:bottom w:val="nil"/>
              <w:right w:val="nil"/>
            </w:tcBorders>
            <w:shd w:val="clear" w:color="000000" w:fill="FFFFFF"/>
            <w:noWrap/>
            <w:hideMark/>
          </w:tcPr>
          <w:p w:rsidR="00CE7C61" w:rsidRDefault="00CE7C61" w:rsidP="00EB5C27">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CE7C61" w:rsidRDefault="00CE7C61" w:rsidP="00EB5C27">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CE7C61" w:rsidRDefault="00CE7C61" w:rsidP="00EB5C27">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color w:val="0000FF"/>
                <w:sz w:val="18"/>
                <w:szCs w:val="18"/>
              </w:rPr>
            </w:pPr>
            <w:r>
              <w:rPr>
                <w:color w:val="0000FF"/>
                <w:sz w:val="18"/>
                <w:szCs w:val="18"/>
              </w:rPr>
              <w:t> </w:t>
            </w:r>
          </w:p>
        </w:tc>
      </w:tr>
      <w:tr w:rsidR="00CE7C61" w:rsidTr="00EB5C27">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22,584</w:t>
            </w:r>
          </w:p>
        </w:tc>
        <w:tc>
          <w:tcPr>
            <w:tcW w:w="2392" w:type="dxa"/>
            <w:tcBorders>
              <w:top w:val="nil"/>
              <w:left w:val="nil"/>
              <w:bottom w:val="nil"/>
              <w:right w:val="nil"/>
            </w:tcBorders>
            <w:shd w:val="clear" w:color="000000" w:fill="FFFFFF"/>
            <w:hideMark/>
          </w:tcPr>
          <w:p w:rsidR="00CE7C61" w:rsidRDefault="00CE7C61" w:rsidP="00EB5C27">
            <w:pPr>
              <w:rPr>
                <w:sz w:val="18"/>
                <w:szCs w:val="18"/>
              </w:rPr>
            </w:pPr>
            <w:r>
              <w:rPr>
                <w:sz w:val="18"/>
                <w:szCs w:val="18"/>
              </w:rPr>
              <w:t>Purchase of Property, Plant</w:t>
            </w:r>
            <w:r>
              <w:rPr>
                <w:sz w:val="18"/>
                <w:szCs w:val="18"/>
              </w:rPr>
              <w:br/>
              <w:t xml:space="preserve">   and Equipment and</w:t>
            </w:r>
            <w:r>
              <w:rPr>
                <w:sz w:val="18"/>
                <w:szCs w:val="18"/>
              </w:rPr>
              <w:br/>
              <w:t xml:space="preserve">   Capital Works</w:t>
            </w:r>
          </w:p>
        </w:tc>
        <w:tc>
          <w:tcPr>
            <w:tcW w:w="1106"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22,529</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36,700</w:t>
            </w:r>
          </w:p>
        </w:tc>
        <w:tc>
          <w:tcPr>
            <w:tcW w:w="62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xml:space="preserve">63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11,816</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4,128</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3,282</w:t>
            </w:r>
          </w:p>
        </w:tc>
      </w:tr>
      <w:tr w:rsidR="00CE7C61" w:rsidTr="00EB5C27">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6,612</w:t>
            </w:r>
          </w:p>
        </w:tc>
        <w:tc>
          <w:tcPr>
            <w:tcW w:w="2392" w:type="dxa"/>
            <w:tcBorders>
              <w:top w:val="nil"/>
              <w:left w:val="nil"/>
              <w:bottom w:val="nil"/>
              <w:right w:val="nil"/>
            </w:tcBorders>
            <w:shd w:val="clear" w:color="000000" w:fill="FFFFFF"/>
            <w:hideMark/>
          </w:tcPr>
          <w:p w:rsidR="00CE7C61" w:rsidRDefault="00CE7C61" w:rsidP="00EB5C27">
            <w:pPr>
              <w:rPr>
                <w:sz w:val="18"/>
                <w:szCs w:val="18"/>
              </w:rPr>
            </w:pPr>
            <w:r>
              <w:rPr>
                <w:sz w:val="18"/>
                <w:szCs w:val="18"/>
              </w:rPr>
              <w:t>Purchase of Land and</w:t>
            </w:r>
            <w:r>
              <w:rPr>
                <w:sz w:val="18"/>
                <w:szCs w:val="18"/>
              </w:rPr>
              <w:br/>
              <w:t xml:space="preserve">   Intangibles</w:t>
            </w:r>
          </w:p>
        </w:tc>
        <w:tc>
          <w:tcPr>
            <w:tcW w:w="1106"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6,752</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6,763</w:t>
            </w:r>
          </w:p>
        </w:tc>
        <w:tc>
          <w:tcPr>
            <w:tcW w:w="62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3,381</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968</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313</w:t>
            </w:r>
          </w:p>
        </w:tc>
      </w:tr>
      <w:tr w:rsidR="00CE7C61" w:rsidTr="00EB5C27">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29,196</w:t>
            </w:r>
          </w:p>
        </w:tc>
        <w:tc>
          <w:tcPr>
            <w:tcW w:w="2392" w:type="dxa"/>
            <w:tcBorders>
              <w:top w:val="nil"/>
              <w:left w:val="nil"/>
              <w:bottom w:val="nil"/>
              <w:right w:val="nil"/>
            </w:tcBorders>
            <w:shd w:val="clear" w:color="000000" w:fill="FFFFFF"/>
            <w:noWrap/>
            <w:hideMark/>
          </w:tcPr>
          <w:p w:rsidR="00CE7C61" w:rsidRDefault="00CE7C61" w:rsidP="00EB5C27">
            <w:pPr>
              <w:rPr>
                <w:b/>
                <w:bCs/>
                <w:sz w:val="18"/>
                <w:szCs w:val="18"/>
              </w:rPr>
            </w:pPr>
            <w:r>
              <w:rPr>
                <w:b/>
                <w:bCs/>
                <w:sz w:val="18"/>
                <w:szCs w:val="18"/>
              </w:rPr>
              <w:t>Investing Payments</w:t>
            </w:r>
          </w:p>
        </w:tc>
        <w:tc>
          <w:tcPr>
            <w:tcW w:w="1106"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29,281</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43,463</w:t>
            </w:r>
          </w:p>
        </w:tc>
        <w:tc>
          <w:tcPr>
            <w:tcW w:w="62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 xml:space="preserve">48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15,197</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5,096</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3,595</w:t>
            </w:r>
          </w:p>
        </w:tc>
      </w:tr>
      <w:tr w:rsidR="00CE7C61" w:rsidRPr="00BD554E" w:rsidTr="00EB5C27">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2392" w:type="dxa"/>
            <w:tcBorders>
              <w:top w:val="nil"/>
              <w:left w:val="nil"/>
              <w:bottom w:val="nil"/>
              <w:right w:val="nil"/>
            </w:tcBorders>
            <w:shd w:val="clear" w:color="000000" w:fill="FFFFFF"/>
            <w:noWrap/>
            <w:hideMark/>
          </w:tcPr>
          <w:p w:rsidR="00CE7C61" w:rsidRPr="00BD554E" w:rsidRDefault="00CE7C61" w:rsidP="00EB5C27">
            <w:pPr>
              <w:rPr>
                <w:sz w:val="10"/>
                <w:szCs w:val="10"/>
              </w:rPr>
            </w:pPr>
            <w:r w:rsidRPr="00BD554E">
              <w:rPr>
                <w:sz w:val="10"/>
                <w:szCs w:val="10"/>
              </w:rPr>
              <w:t> </w:t>
            </w:r>
          </w:p>
        </w:tc>
        <w:tc>
          <w:tcPr>
            <w:tcW w:w="1106"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62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r>
      <w:tr w:rsidR="00CE7C61" w:rsidTr="00EB5C27">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-29,196</w:t>
            </w:r>
          </w:p>
        </w:tc>
        <w:tc>
          <w:tcPr>
            <w:tcW w:w="2392" w:type="dxa"/>
            <w:tcBorders>
              <w:top w:val="nil"/>
              <w:left w:val="nil"/>
              <w:bottom w:val="nil"/>
              <w:right w:val="nil"/>
            </w:tcBorders>
            <w:shd w:val="clear" w:color="000000" w:fill="FFFFFF"/>
            <w:hideMark/>
          </w:tcPr>
          <w:p w:rsidR="00CE7C61" w:rsidRDefault="00CE7C61" w:rsidP="00EB5C27">
            <w:pPr>
              <w:rPr>
                <w:b/>
                <w:bCs/>
                <w:sz w:val="18"/>
                <w:szCs w:val="18"/>
              </w:rPr>
            </w:pPr>
            <w:r>
              <w:rPr>
                <w:b/>
                <w:bCs/>
                <w:sz w:val="18"/>
                <w:szCs w:val="18"/>
              </w:rPr>
              <w:t>NET CASH INFLOW/</w:t>
            </w:r>
            <w:r>
              <w:rPr>
                <w:b/>
                <w:bCs/>
                <w:sz w:val="18"/>
                <w:szCs w:val="18"/>
              </w:rPr>
              <w:br/>
              <w:t xml:space="preserve">   (OUTFLOW) FROM</w:t>
            </w:r>
            <w:r>
              <w:rPr>
                <w:b/>
                <w:bCs/>
                <w:sz w:val="18"/>
                <w:szCs w:val="18"/>
              </w:rPr>
              <w:br/>
              <w:t xml:space="preserve">   INVESTING ACTIVITIES</w:t>
            </w:r>
          </w:p>
        </w:tc>
        <w:tc>
          <w:tcPr>
            <w:tcW w:w="1106"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-29,281</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-43,463</w:t>
            </w:r>
          </w:p>
        </w:tc>
        <w:tc>
          <w:tcPr>
            <w:tcW w:w="62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 xml:space="preserve">-48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-15,197</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-5,096</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-3,595</w:t>
            </w:r>
          </w:p>
        </w:tc>
      </w:tr>
      <w:tr w:rsidR="00CE7C61" w:rsidRPr="00BD554E" w:rsidTr="00EB5C27">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2392" w:type="dxa"/>
            <w:tcBorders>
              <w:top w:val="nil"/>
              <w:left w:val="nil"/>
              <w:bottom w:val="nil"/>
              <w:right w:val="nil"/>
            </w:tcBorders>
            <w:shd w:val="clear" w:color="000000" w:fill="FFFFFF"/>
            <w:noWrap/>
            <w:hideMark/>
          </w:tcPr>
          <w:p w:rsidR="00CE7C61" w:rsidRPr="00BD554E" w:rsidRDefault="00CE7C61" w:rsidP="00EB5C27">
            <w:pPr>
              <w:rPr>
                <w:b/>
                <w:bCs/>
                <w:sz w:val="10"/>
                <w:szCs w:val="10"/>
              </w:rPr>
            </w:pPr>
            <w:r w:rsidRPr="00BD554E">
              <w:rPr>
                <w:b/>
                <w:bCs/>
                <w:sz w:val="10"/>
                <w:szCs w:val="10"/>
              </w:rPr>
              <w:t> </w:t>
            </w:r>
          </w:p>
        </w:tc>
        <w:tc>
          <w:tcPr>
            <w:tcW w:w="1106" w:type="dxa"/>
            <w:tcBorders>
              <w:top w:val="nil"/>
              <w:left w:val="nil"/>
              <w:bottom w:val="nil"/>
              <w:right w:val="nil"/>
            </w:tcBorders>
            <w:shd w:val="clear" w:color="000000" w:fill="FFFFFF"/>
            <w:noWrap/>
            <w:hideMark/>
          </w:tcPr>
          <w:p w:rsidR="00CE7C61" w:rsidRPr="00BD554E" w:rsidRDefault="00CE7C61" w:rsidP="00EB5C27">
            <w:pPr>
              <w:ind w:left="-283"/>
              <w:jc w:val="right"/>
              <w:rPr>
                <w:b/>
                <w:bCs/>
                <w:sz w:val="10"/>
                <w:szCs w:val="10"/>
              </w:rPr>
            </w:pPr>
            <w:r w:rsidRPr="00BD554E">
              <w:rPr>
                <w:b/>
                <w:bCs/>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62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r>
      <w:tr w:rsidR="00CE7C61" w:rsidTr="00EB5C27">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E7C61" w:rsidRDefault="00CE7C61" w:rsidP="00EB5C27">
            <w:pPr>
              <w:rPr>
                <w:b/>
                <w:bCs/>
                <w:sz w:val="18"/>
                <w:szCs w:val="18"/>
              </w:rPr>
            </w:pPr>
            <w:r>
              <w:rPr>
                <w:b/>
                <w:bCs/>
                <w:sz w:val="18"/>
                <w:szCs w:val="18"/>
              </w:rPr>
              <w:t>CASH FLOWS FROM</w:t>
            </w:r>
            <w:r>
              <w:rPr>
                <w:b/>
                <w:bCs/>
                <w:sz w:val="18"/>
                <w:szCs w:val="18"/>
              </w:rPr>
              <w:br/>
              <w:t xml:space="preserve">   FINANCING ACTIVITIES</w:t>
            </w:r>
          </w:p>
        </w:tc>
        <w:tc>
          <w:tcPr>
            <w:tcW w:w="1106"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w:t>
            </w:r>
          </w:p>
        </w:tc>
      </w:tr>
      <w:tr w:rsidR="00CE7C61" w:rsidRPr="00BD554E" w:rsidTr="00EB5C27">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2392" w:type="dxa"/>
            <w:tcBorders>
              <w:top w:val="nil"/>
              <w:left w:val="nil"/>
              <w:bottom w:val="nil"/>
              <w:right w:val="nil"/>
            </w:tcBorders>
            <w:shd w:val="clear" w:color="000000" w:fill="FFFFFF"/>
            <w:noWrap/>
            <w:hideMark/>
          </w:tcPr>
          <w:p w:rsidR="00CE7C61" w:rsidRPr="00BD554E" w:rsidRDefault="00CE7C61" w:rsidP="00EB5C27">
            <w:pPr>
              <w:rPr>
                <w:b/>
                <w:bCs/>
                <w:sz w:val="10"/>
                <w:szCs w:val="10"/>
              </w:rPr>
            </w:pPr>
            <w:r w:rsidRPr="00BD554E">
              <w:rPr>
                <w:b/>
                <w:bCs/>
                <w:sz w:val="10"/>
                <w:szCs w:val="10"/>
              </w:rPr>
              <w:t> </w:t>
            </w:r>
          </w:p>
        </w:tc>
        <w:tc>
          <w:tcPr>
            <w:tcW w:w="1106"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62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r>
      <w:tr w:rsidR="00CE7C61" w:rsidTr="00EB5C27">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CE7C61" w:rsidRDefault="00CE7C61" w:rsidP="00EB5C27">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w:t>
            </w:r>
          </w:p>
        </w:tc>
      </w:tr>
      <w:tr w:rsidR="00CE7C61" w:rsidTr="00EB5C27">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29,196</w:t>
            </w:r>
          </w:p>
        </w:tc>
        <w:tc>
          <w:tcPr>
            <w:tcW w:w="2392" w:type="dxa"/>
            <w:tcBorders>
              <w:top w:val="nil"/>
              <w:left w:val="nil"/>
              <w:bottom w:val="nil"/>
              <w:right w:val="nil"/>
            </w:tcBorders>
            <w:shd w:val="clear" w:color="000000" w:fill="FFFFFF"/>
            <w:hideMark/>
          </w:tcPr>
          <w:p w:rsidR="00CE7C61" w:rsidRDefault="00CE7C61" w:rsidP="00EB5C27">
            <w:pPr>
              <w:rPr>
                <w:sz w:val="18"/>
                <w:szCs w:val="18"/>
              </w:rPr>
            </w:pPr>
            <w:r>
              <w:rPr>
                <w:sz w:val="18"/>
                <w:szCs w:val="18"/>
              </w:rPr>
              <w:t>Capital Injections from</w:t>
            </w:r>
            <w:r>
              <w:rPr>
                <w:sz w:val="18"/>
                <w:szCs w:val="18"/>
              </w:rPr>
              <w:br/>
              <w:t xml:space="preserve">   Government</w:t>
            </w:r>
          </w:p>
        </w:tc>
        <w:tc>
          <w:tcPr>
            <w:tcW w:w="1106"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29,281</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43,463</w:t>
            </w:r>
          </w:p>
        </w:tc>
        <w:tc>
          <w:tcPr>
            <w:tcW w:w="62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 xml:space="preserve">48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15,197</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5,096</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sz w:val="18"/>
                <w:szCs w:val="18"/>
              </w:rPr>
            </w:pPr>
            <w:r>
              <w:rPr>
                <w:sz w:val="18"/>
                <w:szCs w:val="18"/>
              </w:rPr>
              <w:t>3,595</w:t>
            </w:r>
          </w:p>
        </w:tc>
      </w:tr>
      <w:tr w:rsidR="00CE7C61" w:rsidTr="00EB5C27">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29,196</w:t>
            </w:r>
          </w:p>
        </w:tc>
        <w:tc>
          <w:tcPr>
            <w:tcW w:w="2392" w:type="dxa"/>
            <w:tcBorders>
              <w:top w:val="nil"/>
              <w:left w:val="nil"/>
              <w:bottom w:val="nil"/>
              <w:right w:val="nil"/>
            </w:tcBorders>
            <w:shd w:val="clear" w:color="000000" w:fill="FFFFFF"/>
            <w:noWrap/>
            <w:hideMark/>
          </w:tcPr>
          <w:p w:rsidR="00CE7C61" w:rsidRDefault="00CE7C61" w:rsidP="00EB5C27">
            <w:pPr>
              <w:rPr>
                <w:b/>
                <w:bCs/>
                <w:sz w:val="18"/>
                <w:szCs w:val="18"/>
              </w:rPr>
            </w:pPr>
            <w:r>
              <w:rPr>
                <w:b/>
                <w:bCs/>
                <w:sz w:val="18"/>
                <w:szCs w:val="18"/>
              </w:rPr>
              <w:t>Financing Receipts</w:t>
            </w:r>
          </w:p>
        </w:tc>
        <w:tc>
          <w:tcPr>
            <w:tcW w:w="1106"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29,281</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43,463</w:t>
            </w:r>
          </w:p>
        </w:tc>
        <w:tc>
          <w:tcPr>
            <w:tcW w:w="62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 xml:space="preserve">48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15,197</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5,096</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3,595</w:t>
            </w:r>
          </w:p>
        </w:tc>
      </w:tr>
      <w:tr w:rsidR="00CE7C61" w:rsidRPr="00BD554E" w:rsidTr="00EB5C27">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2392" w:type="dxa"/>
            <w:tcBorders>
              <w:top w:val="nil"/>
              <w:left w:val="nil"/>
              <w:bottom w:val="nil"/>
              <w:right w:val="nil"/>
            </w:tcBorders>
            <w:shd w:val="clear" w:color="000000" w:fill="FFFFFF"/>
            <w:noWrap/>
            <w:hideMark/>
          </w:tcPr>
          <w:p w:rsidR="00CE7C61" w:rsidRPr="00BD554E" w:rsidRDefault="00CE7C61" w:rsidP="00EB5C27">
            <w:pPr>
              <w:rPr>
                <w:b/>
                <w:bCs/>
                <w:sz w:val="10"/>
                <w:szCs w:val="10"/>
              </w:rPr>
            </w:pPr>
            <w:r w:rsidRPr="00BD554E">
              <w:rPr>
                <w:b/>
                <w:bCs/>
                <w:sz w:val="10"/>
                <w:szCs w:val="10"/>
              </w:rPr>
              <w:t> </w:t>
            </w:r>
          </w:p>
        </w:tc>
        <w:tc>
          <w:tcPr>
            <w:tcW w:w="1106" w:type="dxa"/>
            <w:tcBorders>
              <w:top w:val="nil"/>
              <w:left w:val="nil"/>
              <w:bottom w:val="nil"/>
              <w:right w:val="nil"/>
            </w:tcBorders>
            <w:shd w:val="clear" w:color="000000" w:fill="FFFFFF"/>
            <w:noWrap/>
            <w:hideMark/>
          </w:tcPr>
          <w:p w:rsidR="00CE7C61" w:rsidRPr="00BD554E" w:rsidRDefault="00CE7C61" w:rsidP="00EB5C27">
            <w:pPr>
              <w:ind w:left="-283"/>
              <w:jc w:val="right"/>
              <w:rPr>
                <w:b/>
                <w:bCs/>
                <w:sz w:val="10"/>
                <w:szCs w:val="10"/>
              </w:rPr>
            </w:pPr>
            <w:r w:rsidRPr="00BD554E">
              <w:rPr>
                <w:b/>
                <w:bCs/>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62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r>
      <w:tr w:rsidR="00CE7C61" w:rsidTr="00EB5C27">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29,196</w:t>
            </w:r>
          </w:p>
        </w:tc>
        <w:tc>
          <w:tcPr>
            <w:tcW w:w="2392" w:type="dxa"/>
            <w:tcBorders>
              <w:top w:val="nil"/>
              <w:left w:val="nil"/>
              <w:bottom w:val="nil"/>
              <w:right w:val="nil"/>
            </w:tcBorders>
            <w:shd w:val="clear" w:color="000000" w:fill="FFFFFF"/>
            <w:hideMark/>
          </w:tcPr>
          <w:p w:rsidR="00CE7C61" w:rsidRDefault="00CE7C61" w:rsidP="00EB5C27">
            <w:pPr>
              <w:rPr>
                <w:b/>
                <w:bCs/>
                <w:sz w:val="18"/>
                <w:szCs w:val="18"/>
              </w:rPr>
            </w:pPr>
            <w:r>
              <w:rPr>
                <w:b/>
                <w:bCs/>
                <w:sz w:val="18"/>
                <w:szCs w:val="18"/>
              </w:rPr>
              <w:t>NET CASH INFLOW/</w:t>
            </w:r>
            <w:r>
              <w:rPr>
                <w:b/>
                <w:bCs/>
                <w:sz w:val="18"/>
                <w:szCs w:val="18"/>
              </w:rPr>
              <w:br/>
              <w:t xml:space="preserve">   (OUTFLOW) FROM</w:t>
            </w:r>
            <w:r>
              <w:rPr>
                <w:b/>
                <w:bCs/>
                <w:sz w:val="18"/>
                <w:szCs w:val="18"/>
              </w:rPr>
              <w:br/>
              <w:t xml:space="preserve">   FINANCING ACTIVITIES</w:t>
            </w:r>
          </w:p>
        </w:tc>
        <w:tc>
          <w:tcPr>
            <w:tcW w:w="1106"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29,281</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43,463</w:t>
            </w:r>
          </w:p>
        </w:tc>
        <w:tc>
          <w:tcPr>
            <w:tcW w:w="62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 xml:space="preserve">48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15,197</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5,096</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3,595</w:t>
            </w:r>
          </w:p>
        </w:tc>
      </w:tr>
      <w:tr w:rsidR="00CE7C61" w:rsidRPr="00BD554E" w:rsidTr="00EB5C27">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2392" w:type="dxa"/>
            <w:tcBorders>
              <w:top w:val="nil"/>
              <w:left w:val="nil"/>
              <w:bottom w:val="nil"/>
              <w:right w:val="nil"/>
            </w:tcBorders>
            <w:shd w:val="clear" w:color="000000" w:fill="FFFFFF"/>
            <w:noWrap/>
            <w:hideMark/>
          </w:tcPr>
          <w:p w:rsidR="00CE7C61" w:rsidRPr="00BD554E" w:rsidRDefault="00CE7C61" w:rsidP="00EB5C27">
            <w:pPr>
              <w:rPr>
                <w:b/>
                <w:bCs/>
                <w:sz w:val="10"/>
                <w:szCs w:val="10"/>
              </w:rPr>
            </w:pPr>
            <w:r w:rsidRPr="00BD554E">
              <w:rPr>
                <w:b/>
                <w:bCs/>
                <w:sz w:val="10"/>
                <w:szCs w:val="10"/>
              </w:rPr>
              <w:t> </w:t>
            </w:r>
          </w:p>
        </w:tc>
        <w:tc>
          <w:tcPr>
            <w:tcW w:w="1106" w:type="dxa"/>
            <w:tcBorders>
              <w:top w:val="nil"/>
              <w:left w:val="nil"/>
              <w:bottom w:val="nil"/>
              <w:right w:val="nil"/>
            </w:tcBorders>
            <w:shd w:val="clear" w:color="000000" w:fill="FFFFFF"/>
            <w:noWrap/>
            <w:hideMark/>
          </w:tcPr>
          <w:p w:rsidR="00CE7C61" w:rsidRPr="00BD554E" w:rsidRDefault="00CE7C61" w:rsidP="00EB5C27">
            <w:pPr>
              <w:ind w:left="-283"/>
              <w:jc w:val="right"/>
              <w:rPr>
                <w:b/>
                <w:bCs/>
                <w:sz w:val="10"/>
                <w:szCs w:val="10"/>
              </w:rPr>
            </w:pPr>
            <w:r w:rsidRPr="00BD554E">
              <w:rPr>
                <w:b/>
                <w:bCs/>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62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r>
      <w:tr w:rsidR="00CE7C61" w:rsidTr="00EB5C27">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7</w:t>
            </w:r>
          </w:p>
        </w:tc>
        <w:tc>
          <w:tcPr>
            <w:tcW w:w="2392" w:type="dxa"/>
            <w:tcBorders>
              <w:top w:val="nil"/>
              <w:left w:val="nil"/>
              <w:bottom w:val="nil"/>
              <w:right w:val="nil"/>
            </w:tcBorders>
            <w:shd w:val="clear" w:color="000000" w:fill="FFFFFF"/>
            <w:hideMark/>
          </w:tcPr>
          <w:p w:rsidR="00CE7C61" w:rsidRDefault="00CE7C61" w:rsidP="00EB5C27">
            <w:pPr>
              <w:rPr>
                <w:b/>
                <w:bCs/>
                <w:sz w:val="18"/>
                <w:szCs w:val="18"/>
              </w:rPr>
            </w:pPr>
            <w:r>
              <w:rPr>
                <w:b/>
                <w:bCs/>
                <w:sz w:val="18"/>
                <w:szCs w:val="18"/>
              </w:rPr>
              <w:t>NET INCREASE / (DECREASE)</w:t>
            </w:r>
            <w:r>
              <w:rPr>
                <w:b/>
                <w:bCs/>
                <w:sz w:val="18"/>
                <w:szCs w:val="18"/>
              </w:rPr>
              <w:br/>
              <w:t xml:space="preserve">   IN CASH HELD</w:t>
            </w:r>
          </w:p>
        </w:tc>
        <w:tc>
          <w:tcPr>
            <w:tcW w:w="1106"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-2,445</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1,583</w:t>
            </w:r>
          </w:p>
        </w:tc>
        <w:tc>
          <w:tcPr>
            <w:tcW w:w="62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 xml:space="preserve">165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7</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7</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7</w:t>
            </w:r>
          </w:p>
        </w:tc>
      </w:tr>
      <w:tr w:rsidR="00CE7C61" w:rsidRPr="00BD554E" w:rsidTr="00EB5C27">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b/>
                <w:bCs/>
                <w:sz w:val="10"/>
                <w:szCs w:val="10"/>
              </w:rPr>
            </w:pPr>
            <w:r w:rsidRPr="00BD554E">
              <w:rPr>
                <w:b/>
                <w:bCs/>
                <w:sz w:val="10"/>
                <w:szCs w:val="10"/>
              </w:rPr>
              <w:t> </w:t>
            </w:r>
          </w:p>
        </w:tc>
        <w:tc>
          <w:tcPr>
            <w:tcW w:w="2392" w:type="dxa"/>
            <w:tcBorders>
              <w:top w:val="nil"/>
              <w:left w:val="nil"/>
              <w:bottom w:val="nil"/>
              <w:right w:val="nil"/>
            </w:tcBorders>
            <w:shd w:val="clear" w:color="000000" w:fill="FFFFFF"/>
            <w:noWrap/>
            <w:hideMark/>
          </w:tcPr>
          <w:p w:rsidR="00CE7C61" w:rsidRPr="00BD554E" w:rsidRDefault="00CE7C61" w:rsidP="00EB5C27">
            <w:pPr>
              <w:rPr>
                <w:sz w:val="10"/>
                <w:szCs w:val="10"/>
              </w:rPr>
            </w:pPr>
            <w:r w:rsidRPr="00BD554E">
              <w:rPr>
                <w:sz w:val="10"/>
                <w:szCs w:val="10"/>
              </w:rPr>
              <w:t> </w:t>
            </w:r>
          </w:p>
        </w:tc>
        <w:tc>
          <w:tcPr>
            <w:tcW w:w="1106"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624" w:type="dxa"/>
            <w:tcBorders>
              <w:top w:val="nil"/>
              <w:left w:val="nil"/>
              <w:bottom w:val="nil"/>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b/>
                <w:bCs/>
                <w:sz w:val="10"/>
                <w:szCs w:val="10"/>
              </w:rPr>
            </w:pPr>
            <w:r w:rsidRPr="00BD554E">
              <w:rPr>
                <w:b/>
                <w:bCs/>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b/>
                <w:bCs/>
                <w:sz w:val="10"/>
                <w:szCs w:val="10"/>
              </w:rPr>
            </w:pPr>
            <w:r w:rsidRPr="00BD554E">
              <w:rPr>
                <w:b/>
                <w:bCs/>
                <w:sz w:val="10"/>
                <w:szCs w:val="10"/>
              </w:rPr>
              <w:t> </w:t>
            </w:r>
          </w:p>
        </w:tc>
        <w:tc>
          <w:tcPr>
            <w:tcW w:w="1054" w:type="dxa"/>
            <w:tcBorders>
              <w:top w:val="nil"/>
              <w:left w:val="nil"/>
              <w:bottom w:val="nil"/>
              <w:right w:val="nil"/>
            </w:tcBorders>
            <w:shd w:val="clear" w:color="000000" w:fill="FFFFFF"/>
            <w:noWrap/>
            <w:hideMark/>
          </w:tcPr>
          <w:p w:rsidR="00CE7C61" w:rsidRPr="00BD554E" w:rsidRDefault="00CE7C61" w:rsidP="00EB5C27">
            <w:pPr>
              <w:ind w:left="-283"/>
              <w:jc w:val="right"/>
              <w:rPr>
                <w:b/>
                <w:bCs/>
                <w:sz w:val="10"/>
                <w:szCs w:val="10"/>
              </w:rPr>
            </w:pPr>
            <w:r w:rsidRPr="00BD554E">
              <w:rPr>
                <w:b/>
                <w:bCs/>
                <w:sz w:val="10"/>
                <w:szCs w:val="10"/>
              </w:rPr>
              <w:t> </w:t>
            </w:r>
          </w:p>
        </w:tc>
      </w:tr>
      <w:tr w:rsidR="00CE7C61" w:rsidTr="00EB5C27">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11,487</w:t>
            </w:r>
          </w:p>
        </w:tc>
        <w:tc>
          <w:tcPr>
            <w:tcW w:w="2392" w:type="dxa"/>
            <w:tcBorders>
              <w:top w:val="nil"/>
              <w:left w:val="nil"/>
              <w:bottom w:val="nil"/>
              <w:right w:val="nil"/>
            </w:tcBorders>
            <w:shd w:val="clear" w:color="000000" w:fill="FFFFFF"/>
            <w:hideMark/>
          </w:tcPr>
          <w:p w:rsidR="00CE7C61" w:rsidRDefault="00CE7C61" w:rsidP="00EB5C27">
            <w:pPr>
              <w:rPr>
                <w:b/>
                <w:bCs/>
                <w:sz w:val="18"/>
                <w:szCs w:val="18"/>
              </w:rPr>
            </w:pPr>
            <w:r>
              <w:rPr>
                <w:b/>
                <w:bCs/>
                <w:sz w:val="18"/>
                <w:szCs w:val="18"/>
              </w:rPr>
              <w:t>CASH AT THE BEGINNING OF</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17,171</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14,726</w:t>
            </w:r>
          </w:p>
        </w:tc>
        <w:tc>
          <w:tcPr>
            <w:tcW w:w="62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 xml:space="preserve">-14 </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16,309</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16,316</w:t>
            </w:r>
          </w:p>
        </w:tc>
        <w:tc>
          <w:tcPr>
            <w:tcW w:w="1054" w:type="dxa"/>
            <w:tcBorders>
              <w:top w:val="nil"/>
              <w:left w:val="nil"/>
              <w:bottom w:val="nil"/>
              <w:right w:val="nil"/>
            </w:tcBorders>
            <w:shd w:val="clear" w:color="000000" w:fill="FFFFFF"/>
            <w:noWrap/>
            <w:hideMark/>
          </w:tcPr>
          <w:p w:rsidR="00CE7C61" w:rsidRDefault="00CE7C61" w:rsidP="00EB5C27">
            <w:pPr>
              <w:ind w:left="-283"/>
              <w:jc w:val="right"/>
              <w:rPr>
                <w:b/>
                <w:bCs/>
                <w:sz w:val="18"/>
                <w:szCs w:val="18"/>
              </w:rPr>
            </w:pPr>
            <w:r>
              <w:rPr>
                <w:b/>
                <w:bCs/>
                <w:sz w:val="18"/>
                <w:szCs w:val="18"/>
              </w:rPr>
              <w:t>16,323</w:t>
            </w:r>
          </w:p>
        </w:tc>
      </w:tr>
      <w:tr w:rsidR="00CE7C61" w:rsidTr="00EB5C27">
        <w:tc>
          <w:tcPr>
            <w:tcW w:w="1054" w:type="dxa"/>
            <w:tcBorders>
              <w:top w:val="nil"/>
              <w:left w:val="nil"/>
              <w:bottom w:val="nil"/>
              <w:right w:val="nil"/>
            </w:tcBorders>
            <w:shd w:val="clear" w:color="000000" w:fill="FFFFFF"/>
            <w:noWrap/>
            <w:hideMark/>
          </w:tcPr>
          <w:p w:rsidR="00CE7C61" w:rsidRDefault="00CE7C61" w:rsidP="00EB5C27">
            <w:pPr>
              <w:spacing w:before="60"/>
              <w:ind w:left="-283"/>
              <w:jc w:val="right"/>
              <w:rPr>
                <w:b/>
                <w:bCs/>
                <w:sz w:val="18"/>
                <w:szCs w:val="18"/>
              </w:rPr>
            </w:pPr>
            <w:r>
              <w:rPr>
                <w:b/>
                <w:bCs/>
                <w:sz w:val="18"/>
                <w:szCs w:val="18"/>
              </w:rPr>
              <w:t>11,494</w:t>
            </w:r>
          </w:p>
        </w:tc>
        <w:tc>
          <w:tcPr>
            <w:tcW w:w="2392" w:type="dxa"/>
            <w:tcBorders>
              <w:top w:val="nil"/>
              <w:left w:val="nil"/>
              <w:bottom w:val="nil"/>
              <w:right w:val="nil"/>
            </w:tcBorders>
            <w:shd w:val="clear" w:color="000000" w:fill="FFFFFF"/>
            <w:hideMark/>
          </w:tcPr>
          <w:p w:rsidR="00CE7C61" w:rsidRDefault="00CE7C61" w:rsidP="00EB5C27">
            <w:pPr>
              <w:spacing w:before="60"/>
              <w:rPr>
                <w:b/>
                <w:bCs/>
                <w:sz w:val="18"/>
                <w:szCs w:val="18"/>
              </w:rPr>
            </w:pPr>
            <w:r>
              <w:rPr>
                <w:b/>
                <w:bCs/>
                <w:sz w:val="18"/>
                <w:szCs w:val="18"/>
              </w:rPr>
              <w:t>CASH AT THE END OF</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CE7C61" w:rsidRDefault="00CE7C61" w:rsidP="00EB5C27">
            <w:pPr>
              <w:spacing w:before="60"/>
              <w:ind w:left="-283"/>
              <w:jc w:val="right"/>
              <w:rPr>
                <w:b/>
                <w:bCs/>
                <w:sz w:val="18"/>
                <w:szCs w:val="18"/>
              </w:rPr>
            </w:pPr>
            <w:r>
              <w:rPr>
                <w:b/>
                <w:bCs/>
                <w:sz w:val="18"/>
                <w:szCs w:val="18"/>
              </w:rPr>
              <w:t>14,726</w:t>
            </w:r>
          </w:p>
        </w:tc>
        <w:tc>
          <w:tcPr>
            <w:tcW w:w="1054" w:type="dxa"/>
            <w:tcBorders>
              <w:top w:val="nil"/>
              <w:left w:val="nil"/>
              <w:bottom w:val="nil"/>
              <w:right w:val="nil"/>
            </w:tcBorders>
            <w:shd w:val="clear" w:color="000000" w:fill="FFFFFF"/>
            <w:noWrap/>
            <w:hideMark/>
          </w:tcPr>
          <w:p w:rsidR="00CE7C61" w:rsidRDefault="00CE7C61" w:rsidP="00EB5C27">
            <w:pPr>
              <w:spacing w:before="60"/>
              <w:ind w:left="-283"/>
              <w:jc w:val="right"/>
              <w:rPr>
                <w:b/>
                <w:bCs/>
                <w:sz w:val="18"/>
                <w:szCs w:val="18"/>
              </w:rPr>
            </w:pPr>
            <w:r>
              <w:rPr>
                <w:b/>
                <w:bCs/>
                <w:sz w:val="18"/>
                <w:szCs w:val="18"/>
              </w:rPr>
              <w:t>16,309</w:t>
            </w:r>
          </w:p>
        </w:tc>
        <w:tc>
          <w:tcPr>
            <w:tcW w:w="624" w:type="dxa"/>
            <w:tcBorders>
              <w:top w:val="nil"/>
              <w:left w:val="nil"/>
              <w:bottom w:val="nil"/>
              <w:right w:val="nil"/>
            </w:tcBorders>
            <w:shd w:val="clear" w:color="000000" w:fill="FFFFFF"/>
            <w:noWrap/>
            <w:hideMark/>
          </w:tcPr>
          <w:p w:rsidR="00CE7C61" w:rsidRDefault="00CE7C61" w:rsidP="00EB5C27">
            <w:pPr>
              <w:spacing w:before="60"/>
              <w:ind w:left="-283"/>
              <w:jc w:val="right"/>
              <w:rPr>
                <w:b/>
                <w:bCs/>
                <w:sz w:val="18"/>
                <w:szCs w:val="18"/>
              </w:rPr>
            </w:pPr>
            <w:r>
              <w:rPr>
                <w:b/>
                <w:bCs/>
                <w:sz w:val="18"/>
                <w:szCs w:val="18"/>
              </w:rPr>
              <w:t xml:space="preserve">11 </w:t>
            </w:r>
          </w:p>
        </w:tc>
        <w:tc>
          <w:tcPr>
            <w:tcW w:w="1054" w:type="dxa"/>
            <w:tcBorders>
              <w:top w:val="nil"/>
              <w:left w:val="nil"/>
              <w:bottom w:val="nil"/>
              <w:right w:val="nil"/>
            </w:tcBorders>
            <w:shd w:val="clear" w:color="000000" w:fill="FFFFFF"/>
            <w:noWrap/>
            <w:hideMark/>
          </w:tcPr>
          <w:p w:rsidR="00CE7C61" w:rsidRDefault="00CE7C61" w:rsidP="00EB5C27">
            <w:pPr>
              <w:spacing w:before="60"/>
              <w:ind w:left="-283"/>
              <w:jc w:val="right"/>
              <w:rPr>
                <w:b/>
                <w:bCs/>
                <w:sz w:val="18"/>
                <w:szCs w:val="18"/>
              </w:rPr>
            </w:pPr>
            <w:r>
              <w:rPr>
                <w:b/>
                <w:bCs/>
                <w:sz w:val="18"/>
                <w:szCs w:val="18"/>
              </w:rPr>
              <w:t>16,316</w:t>
            </w:r>
          </w:p>
        </w:tc>
        <w:tc>
          <w:tcPr>
            <w:tcW w:w="1054" w:type="dxa"/>
            <w:tcBorders>
              <w:top w:val="nil"/>
              <w:left w:val="nil"/>
              <w:bottom w:val="nil"/>
              <w:right w:val="nil"/>
            </w:tcBorders>
            <w:shd w:val="clear" w:color="000000" w:fill="FFFFFF"/>
            <w:noWrap/>
            <w:hideMark/>
          </w:tcPr>
          <w:p w:rsidR="00CE7C61" w:rsidRDefault="00CE7C61" w:rsidP="00EB5C27">
            <w:pPr>
              <w:spacing w:before="60"/>
              <w:ind w:left="-283"/>
              <w:jc w:val="right"/>
              <w:rPr>
                <w:b/>
                <w:bCs/>
                <w:sz w:val="18"/>
                <w:szCs w:val="18"/>
              </w:rPr>
            </w:pPr>
            <w:r>
              <w:rPr>
                <w:b/>
                <w:bCs/>
                <w:sz w:val="18"/>
                <w:szCs w:val="18"/>
              </w:rPr>
              <w:t>16,323</w:t>
            </w:r>
          </w:p>
        </w:tc>
        <w:tc>
          <w:tcPr>
            <w:tcW w:w="1054" w:type="dxa"/>
            <w:tcBorders>
              <w:top w:val="nil"/>
              <w:left w:val="nil"/>
              <w:bottom w:val="nil"/>
              <w:right w:val="nil"/>
            </w:tcBorders>
            <w:shd w:val="clear" w:color="000000" w:fill="FFFFFF"/>
            <w:noWrap/>
            <w:hideMark/>
          </w:tcPr>
          <w:p w:rsidR="00CE7C61" w:rsidRDefault="00CE7C61" w:rsidP="00EB5C27">
            <w:pPr>
              <w:spacing w:before="60"/>
              <w:ind w:left="-283"/>
              <w:jc w:val="right"/>
              <w:rPr>
                <w:b/>
                <w:bCs/>
                <w:sz w:val="18"/>
                <w:szCs w:val="18"/>
              </w:rPr>
            </w:pPr>
            <w:r>
              <w:rPr>
                <w:b/>
                <w:bCs/>
                <w:sz w:val="18"/>
                <w:szCs w:val="18"/>
              </w:rPr>
              <w:t>16,330</w:t>
            </w:r>
          </w:p>
        </w:tc>
      </w:tr>
      <w:tr w:rsidR="00CE7C61" w:rsidRPr="00BD554E" w:rsidTr="00EB5C27">
        <w:tc>
          <w:tcPr>
            <w:tcW w:w="1054" w:type="dxa"/>
            <w:tcBorders>
              <w:top w:val="nil"/>
              <w:left w:val="nil"/>
              <w:bottom w:val="single" w:sz="4" w:space="0" w:color="auto"/>
              <w:right w:val="nil"/>
            </w:tcBorders>
            <w:shd w:val="clear" w:color="000000" w:fill="FFFFFF"/>
            <w:noWrap/>
            <w:hideMark/>
          </w:tcPr>
          <w:p w:rsidR="00CE7C61" w:rsidRPr="00BD554E" w:rsidRDefault="00CE7C61" w:rsidP="00EB5C27">
            <w:pPr>
              <w:ind w:left="-283"/>
              <w:jc w:val="right"/>
              <w:rPr>
                <w:sz w:val="10"/>
                <w:szCs w:val="10"/>
              </w:rPr>
            </w:pPr>
            <w:r w:rsidRPr="00BD554E">
              <w:rPr>
                <w:sz w:val="10"/>
                <w:szCs w:val="10"/>
              </w:rPr>
              <w:t> </w:t>
            </w:r>
          </w:p>
        </w:tc>
        <w:tc>
          <w:tcPr>
            <w:tcW w:w="2392" w:type="dxa"/>
            <w:tcBorders>
              <w:top w:val="nil"/>
              <w:left w:val="nil"/>
              <w:bottom w:val="single" w:sz="4" w:space="0" w:color="auto"/>
              <w:right w:val="nil"/>
            </w:tcBorders>
            <w:shd w:val="clear" w:color="000000" w:fill="FFFFFF"/>
            <w:noWrap/>
            <w:hideMark/>
          </w:tcPr>
          <w:p w:rsidR="00CE7C61" w:rsidRPr="00BD554E" w:rsidRDefault="00CE7C61" w:rsidP="00EB5C27">
            <w:pPr>
              <w:rPr>
                <w:b/>
                <w:bCs/>
                <w:sz w:val="10"/>
                <w:szCs w:val="10"/>
              </w:rPr>
            </w:pPr>
            <w:r w:rsidRPr="00BD554E">
              <w:rPr>
                <w:b/>
                <w:bCs/>
                <w:sz w:val="10"/>
                <w:szCs w:val="10"/>
              </w:rPr>
              <w:t> </w:t>
            </w:r>
          </w:p>
        </w:tc>
        <w:tc>
          <w:tcPr>
            <w:tcW w:w="1106" w:type="dxa"/>
            <w:tcBorders>
              <w:top w:val="nil"/>
              <w:left w:val="nil"/>
              <w:bottom w:val="single" w:sz="4" w:space="0" w:color="auto"/>
              <w:right w:val="nil"/>
            </w:tcBorders>
            <w:shd w:val="clear" w:color="000000" w:fill="FFFFFF"/>
            <w:noWrap/>
            <w:hideMark/>
          </w:tcPr>
          <w:p w:rsidR="00CE7C61" w:rsidRPr="00BD554E" w:rsidRDefault="00CE7C61" w:rsidP="00EB5C27">
            <w:pPr>
              <w:ind w:left="-283"/>
              <w:rPr>
                <w:b/>
                <w:bCs/>
                <w:sz w:val="10"/>
                <w:szCs w:val="10"/>
              </w:rPr>
            </w:pPr>
            <w:r w:rsidRPr="00BD554E">
              <w:rPr>
                <w:b/>
                <w:bCs/>
                <w:sz w:val="10"/>
                <w:szCs w:val="10"/>
              </w:rPr>
              <w:t> </w:t>
            </w:r>
          </w:p>
        </w:tc>
        <w:tc>
          <w:tcPr>
            <w:tcW w:w="1054" w:type="dxa"/>
            <w:tcBorders>
              <w:top w:val="nil"/>
              <w:left w:val="nil"/>
              <w:bottom w:val="single" w:sz="4" w:space="0" w:color="auto"/>
              <w:right w:val="nil"/>
            </w:tcBorders>
            <w:shd w:val="clear" w:color="000000" w:fill="FFFFFF"/>
            <w:noWrap/>
            <w:vAlign w:val="bottom"/>
            <w:hideMark/>
          </w:tcPr>
          <w:p w:rsidR="00CE7C61" w:rsidRPr="00BD554E" w:rsidRDefault="00CE7C61" w:rsidP="00EB5C27">
            <w:pPr>
              <w:ind w:left="-283"/>
              <w:rPr>
                <w:sz w:val="10"/>
                <w:szCs w:val="10"/>
              </w:rPr>
            </w:pPr>
            <w:r w:rsidRPr="00BD554E">
              <w:rPr>
                <w:sz w:val="10"/>
                <w:szCs w:val="10"/>
              </w:rPr>
              <w:t> </w:t>
            </w:r>
          </w:p>
        </w:tc>
        <w:tc>
          <w:tcPr>
            <w:tcW w:w="624" w:type="dxa"/>
            <w:tcBorders>
              <w:top w:val="nil"/>
              <w:left w:val="nil"/>
              <w:bottom w:val="single" w:sz="4" w:space="0" w:color="auto"/>
              <w:right w:val="nil"/>
            </w:tcBorders>
            <w:shd w:val="clear" w:color="000000" w:fill="FFFFFF"/>
            <w:noWrap/>
            <w:vAlign w:val="bottom"/>
            <w:hideMark/>
          </w:tcPr>
          <w:p w:rsidR="00CE7C61" w:rsidRPr="00BD554E" w:rsidRDefault="00CE7C61" w:rsidP="00EB5C27">
            <w:pPr>
              <w:ind w:left="-283"/>
              <w:rPr>
                <w:sz w:val="10"/>
                <w:szCs w:val="10"/>
              </w:rPr>
            </w:pPr>
            <w:r w:rsidRPr="00BD554E">
              <w:rPr>
                <w:sz w:val="10"/>
                <w:szCs w:val="10"/>
              </w:rPr>
              <w:t> </w:t>
            </w:r>
          </w:p>
        </w:tc>
        <w:tc>
          <w:tcPr>
            <w:tcW w:w="1054" w:type="dxa"/>
            <w:tcBorders>
              <w:top w:val="nil"/>
              <w:left w:val="nil"/>
              <w:bottom w:val="single" w:sz="4" w:space="0" w:color="auto"/>
              <w:right w:val="nil"/>
            </w:tcBorders>
            <w:shd w:val="clear" w:color="000000" w:fill="FFFFFF"/>
            <w:noWrap/>
            <w:vAlign w:val="bottom"/>
            <w:hideMark/>
          </w:tcPr>
          <w:p w:rsidR="00CE7C61" w:rsidRPr="00BD554E" w:rsidRDefault="00CE7C61" w:rsidP="00EB5C27">
            <w:pPr>
              <w:ind w:left="-283"/>
              <w:rPr>
                <w:sz w:val="10"/>
                <w:szCs w:val="10"/>
              </w:rPr>
            </w:pPr>
            <w:r w:rsidRPr="00BD554E">
              <w:rPr>
                <w:sz w:val="10"/>
                <w:szCs w:val="10"/>
              </w:rPr>
              <w:t> </w:t>
            </w:r>
          </w:p>
        </w:tc>
        <w:tc>
          <w:tcPr>
            <w:tcW w:w="1054" w:type="dxa"/>
            <w:tcBorders>
              <w:top w:val="nil"/>
              <w:left w:val="nil"/>
              <w:bottom w:val="single" w:sz="4" w:space="0" w:color="auto"/>
              <w:right w:val="nil"/>
            </w:tcBorders>
            <w:shd w:val="clear" w:color="000000" w:fill="FFFFFF"/>
            <w:noWrap/>
            <w:vAlign w:val="bottom"/>
            <w:hideMark/>
          </w:tcPr>
          <w:p w:rsidR="00CE7C61" w:rsidRPr="00BD554E" w:rsidRDefault="00CE7C61" w:rsidP="00EB5C27">
            <w:pPr>
              <w:ind w:left="-283"/>
              <w:rPr>
                <w:sz w:val="10"/>
                <w:szCs w:val="10"/>
              </w:rPr>
            </w:pPr>
            <w:r w:rsidRPr="00BD554E">
              <w:rPr>
                <w:sz w:val="10"/>
                <w:szCs w:val="10"/>
              </w:rPr>
              <w:t> </w:t>
            </w:r>
          </w:p>
        </w:tc>
        <w:tc>
          <w:tcPr>
            <w:tcW w:w="1054" w:type="dxa"/>
            <w:tcBorders>
              <w:top w:val="nil"/>
              <w:left w:val="nil"/>
              <w:bottom w:val="single" w:sz="4" w:space="0" w:color="auto"/>
              <w:right w:val="nil"/>
            </w:tcBorders>
            <w:shd w:val="clear" w:color="000000" w:fill="FFFFFF"/>
            <w:noWrap/>
            <w:vAlign w:val="bottom"/>
            <w:hideMark/>
          </w:tcPr>
          <w:p w:rsidR="00CE7C61" w:rsidRPr="00BD554E" w:rsidRDefault="00CE7C61" w:rsidP="00EB5C27">
            <w:pPr>
              <w:ind w:left="-283"/>
              <w:rPr>
                <w:sz w:val="10"/>
                <w:szCs w:val="10"/>
              </w:rPr>
            </w:pPr>
            <w:r w:rsidRPr="00BD554E">
              <w:rPr>
                <w:sz w:val="10"/>
                <w:szCs w:val="10"/>
              </w:rPr>
              <w:t> </w:t>
            </w:r>
          </w:p>
        </w:tc>
      </w:tr>
    </w:tbl>
    <w:p w:rsidR="00781766" w:rsidRDefault="00781766">
      <w:pPr>
        <w:rPr>
          <w:b/>
          <w:bCs/>
        </w:rPr>
      </w:pPr>
    </w:p>
    <w:p w:rsidR="00781766" w:rsidRDefault="00781766">
      <w:pPr>
        <w:rPr>
          <w:b/>
          <w:bCs/>
        </w:rPr>
      </w:pPr>
      <w:r>
        <w:rPr>
          <w:b/>
          <w:bCs/>
        </w:rPr>
        <w:br w:type="page"/>
      </w:r>
    </w:p>
    <w:p w:rsidR="005B2326" w:rsidRDefault="005B2326" w:rsidP="005B2326">
      <w:pPr>
        <w:pStyle w:val="Heading3TopofPage"/>
      </w:pPr>
      <w:r>
        <w:lastRenderedPageBreak/>
        <w:t>Notes to the Budget Statements</w:t>
      </w:r>
    </w:p>
    <w:p w:rsidR="005B2326" w:rsidRPr="00886D23" w:rsidRDefault="005B2326" w:rsidP="005B2326">
      <w:pPr>
        <w:pStyle w:val="BodyText"/>
      </w:pPr>
      <w:r w:rsidRPr="00886D23">
        <w:t>Significant variations are as follows:</w:t>
      </w:r>
    </w:p>
    <w:p w:rsidR="005B2326" w:rsidRPr="00886D23" w:rsidRDefault="005B2326" w:rsidP="005B2326">
      <w:pPr>
        <w:pStyle w:val="Heading4"/>
      </w:pPr>
      <w:r w:rsidRPr="00886D23">
        <w:t>Operating Statement</w:t>
      </w:r>
    </w:p>
    <w:p w:rsidR="005B2326" w:rsidRPr="00D57BF0" w:rsidRDefault="005B2326" w:rsidP="005B2326">
      <w:pPr>
        <w:pStyle w:val="BodyTextIndent"/>
      </w:pPr>
      <w:r w:rsidRPr="00D57BF0">
        <w:t xml:space="preserve">government payment for outputs:  </w:t>
      </w:r>
    </w:p>
    <w:p w:rsidR="005B2326" w:rsidRPr="00D57BF0" w:rsidRDefault="005B2326" w:rsidP="005B2326">
      <w:pPr>
        <w:pStyle w:val="BodyTextIndent2"/>
      </w:pPr>
      <w:r w:rsidRPr="00D57BF0">
        <w:t>the increase of $</w:t>
      </w:r>
      <w:r>
        <w:t>11.5</w:t>
      </w:r>
      <w:r w:rsidRPr="00D57BF0">
        <w:t xml:space="preserve"> million in the </w:t>
      </w:r>
      <w:r>
        <w:t>2012-13</w:t>
      </w:r>
      <w:r w:rsidRPr="00D57BF0">
        <w:t xml:space="preserve"> estimated outcome from the origi</w:t>
      </w:r>
      <w:r>
        <w:t>nal budget is mainly due to the reclassification of the Commonwealth contribution to the ACT Government’s emergency service funding</w:t>
      </w:r>
      <w:r w:rsidRPr="00930F51">
        <w:t xml:space="preserve"> </w:t>
      </w:r>
      <w:r>
        <w:t>from user charges</w:t>
      </w:r>
      <w:r w:rsidR="00BE0C8C">
        <w:t xml:space="preserve"> </w:t>
      </w:r>
      <w:r>
        <w:noBreakHyphen/>
      </w:r>
      <w:r w:rsidR="00BE0C8C">
        <w:t xml:space="preserve"> </w:t>
      </w:r>
      <w:r>
        <w:t xml:space="preserve">non ACT Government due to this payment now falling under the COAG arrangements ($8.612 million), </w:t>
      </w:r>
      <w:r w:rsidRPr="00D57BF0">
        <w:t xml:space="preserve">funding associated with the </w:t>
      </w:r>
      <w:r>
        <w:t>Eastman Inquiry</w:t>
      </w:r>
      <w:r w:rsidRPr="00D57BF0">
        <w:t xml:space="preserve"> </w:t>
      </w:r>
      <w:r>
        <w:t>($1.868</w:t>
      </w:r>
      <w:r w:rsidRPr="00D57BF0">
        <w:t> million)</w:t>
      </w:r>
      <w:r>
        <w:t>, Commonwealth contribution for the National Disaster Resi</w:t>
      </w:r>
      <w:r w:rsidR="0000214D">
        <w:t>lience</w:t>
      </w:r>
      <w:r w:rsidR="00736C54">
        <w:t xml:space="preserve"> Program ($0.669 million), and the</w:t>
      </w:r>
      <w:r w:rsidRPr="00D57BF0">
        <w:t xml:space="preserve"> rollover of program funding ($</w:t>
      </w:r>
      <w:r w:rsidR="0000214D">
        <w:t>0.352</w:t>
      </w:r>
      <w:r w:rsidRPr="00D57BF0">
        <w:t> million); and</w:t>
      </w:r>
    </w:p>
    <w:p w:rsidR="005B2326" w:rsidRPr="004A60D9" w:rsidRDefault="005B2326" w:rsidP="005B2326">
      <w:pPr>
        <w:pStyle w:val="BodyTextIndent2"/>
      </w:pPr>
      <w:proofErr w:type="gramStart"/>
      <w:r w:rsidRPr="00D57BF0">
        <w:t>the</w:t>
      </w:r>
      <w:proofErr w:type="gramEnd"/>
      <w:r w:rsidRPr="00D57BF0">
        <w:t xml:space="preserve"> increase of $</w:t>
      </w:r>
      <w:r w:rsidR="00B476CD">
        <w:t>6.464</w:t>
      </w:r>
      <w:r>
        <w:t xml:space="preserve"> </w:t>
      </w:r>
      <w:r w:rsidRPr="00D57BF0">
        <w:t xml:space="preserve">million in the </w:t>
      </w:r>
      <w:r>
        <w:t>2013-14</w:t>
      </w:r>
      <w:r w:rsidRPr="00D57BF0">
        <w:t xml:space="preserve"> Budget from the </w:t>
      </w:r>
      <w:r>
        <w:t>2012-13</w:t>
      </w:r>
      <w:r w:rsidRPr="00D57BF0">
        <w:t xml:space="preserve"> estimated outcome is mainly due to </w:t>
      </w:r>
      <w:r w:rsidR="00562E60">
        <w:t>new initiatives</w:t>
      </w:r>
      <w:r w:rsidR="00BE0C8C">
        <w:t xml:space="preserve"> and the rollover of funding, </w:t>
      </w:r>
      <w:r w:rsidR="00B761AA" w:rsidRPr="004A60D9">
        <w:t>partially offset by the savings initiative</w:t>
      </w:r>
      <w:r w:rsidR="00BE0C8C" w:rsidRPr="00BE0C8C">
        <w:t xml:space="preserve"> </w:t>
      </w:r>
      <w:r w:rsidR="00BE0C8C">
        <w:t>and the cessation of one-off 2012 election funding</w:t>
      </w:r>
      <w:r w:rsidR="00B761AA" w:rsidRPr="004A60D9">
        <w:t>.</w:t>
      </w:r>
      <w:r w:rsidRPr="004A60D9">
        <w:t xml:space="preserve"> </w:t>
      </w:r>
    </w:p>
    <w:p w:rsidR="005B2326" w:rsidRPr="004A60D9" w:rsidRDefault="005B2326" w:rsidP="005B2326">
      <w:pPr>
        <w:pStyle w:val="BodyTextIndent"/>
      </w:pPr>
      <w:r w:rsidRPr="004A60D9">
        <w:t>user charges – non ACT Gov</w:t>
      </w:r>
      <w:r w:rsidR="00B476CD">
        <w:t>ernment:  the decrease of $9.043</w:t>
      </w:r>
      <w:r w:rsidRPr="004A60D9">
        <w:t> million in the 2012-13 estimated outcome from the original budget is mainly due to reclassification of the Commonwealth contribution to the ACT Government’s emergency service funding from user</w:t>
      </w:r>
      <w:r w:rsidR="00562E60" w:rsidRPr="004A60D9">
        <w:t xml:space="preserve"> charges</w:t>
      </w:r>
      <w:r w:rsidR="00BE0C8C">
        <w:t xml:space="preserve"> </w:t>
      </w:r>
      <w:r w:rsidR="00562E60" w:rsidRPr="004A60D9">
        <w:noBreakHyphen/>
      </w:r>
      <w:r w:rsidR="00BE0C8C">
        <w:t xml:space="preserve"> </w:t>
      </w:r>
      <w:r w:rsidR="00562E60" w:rsidRPr="004A60D9">
        <w:t>non ACT Government to government payment for outputs</w:t>
      </w:r>
      <w:r w:rsidRPr="004A60D9">
        <w:t xml:space="preserve">. </w:t>
      </w:r>
    </w:p>
    <w:p w:rsidR="005B2326" w:rsidRPr="00D57BF0" w:rsidRDefault="005B2326" w:rsidP="005B2326">
      <w:pPr>
        <w:pStyle w:val="BodyTextIndent"/>
      </w:pPr>
      <w:proofErr w:type="gramStart"/>
      <w:r w:rsidRPr="00D57BF0">
        <w:t>user</w:t>
      </w:r>
      <w:proofErr w:type="gramEnd"/>
      <w:r w:rsidRPr="00D57BF0">
        <w:t xml:space="preserve"> charges – ACT Government:  the increase of $0.</w:t>
      </w:r>
      <w:r>
        <w:t>653</w:t>
      </w:r>
      <w:r w:rsidRPr="00D57BF0">
        <w:t xml:space="preserve"> million in the </w:t>
      </w:r>
      <w:r>
        <w:t>2012-13</w:t>
      </w:r>
      <w:r w:rsidRPr="00D57BF0">
        <w:t xml:space="preserve"> estimated outcome from the original budget is mainly due to higher than expected client funded services by the ACT Government Solicitor</w:t>
      </w:r>
      <w:r>
        <w:t>’s</w:t>
      </w:r>
      <w:r w:rsidRPr="00D57BF0">
        <w:t xml:space="preserve"> Office.</w:t>
      </w:r>
    </w:p>
    <w:p w:rsidR="005B2326" w:rsidRPr="00D57BF0" w:rsidRDefault="005B2326" w:rsidP="005B2326">
      <w:pPr>
        <w:pStyle w:val="BodyTextIndent"/>
      </w:pPr>
      <w:r w:rsidRPr="00D57BF0">
        <w:t>other revenue:</w:t>
      </w:r>
    </w:p>
    <w:p w:rsidR="005B2326" w:rsidRPr="00B476CD" w:rsidRDefault="005B2326" w:rsidP="005B2326">
      <w:pPr>
        <w:pStyle w:val="BodyTextIndent2"/>
      </w:pPr>
      <w:r w:rsidRPr="00D57BF0">
        <w:t>the increase of $</w:t>
      </w:r>
      <w:r>
        <w:t>0.819</w:t>
      </w:r>
      <w:r w:rsidRPr="00D57BF0">
        <w:t xml:space="preserve"> million in the </w:t>
      </w:r>
      <w:r>
        <w:t>2012-13</w:t>
      </w:r>
      <w:r w:rsidRPr="00D57BF0">
        <w:t xml:space="preserve"> estimated outcome from the original </w:t>
      </w:r>
      <w:r w:rsidRPr="00B476CD">
        <w:t>budget is due to higher than expected trust recoveries; and</w:t>
      </w:r>
    </w:p>
    <w:p w:rsidR="005B2326" w:rsidRPr="00B476CD" w:rsidRDefault="005B2326" w:rsidP="005B2326">
      <w:pPr>
        <w:pStyle w:val="BodyTextIndent2"/>
      </w:pPr>
      <w:proofErr w:type="gramStart"/>
      <w:r w:rsidRPr="00B476CD">
        <w:t>the</w:t>
      </w:r>
      <w:proofErr w:type="gramEnd"/>
      <w:r w:rsidRPr="00B476CD">
        <w:t xml:space="preserve"> increase of $3.062 million in the 2013-14 Budget from the 2012-13 estimated outcome is due to </w:t>
      </w:r>
      <w:r w:rsidR="00B75906">
        <w:t>an increase in the ACAT Trust recoveries</w:t>
      </w:r>
      <w:r w:rsidR="00B476CD" w:rsidRPr="00B476CD">
        <w:t>.</w:t>
      </w:r>
    </w:p>
    <w:p w:rsidR="005B2326" w:rsidRPr="00D57BF0" w:rsidRDefault="005B2326" w:rsidP="005B2326">
      <w:pPr>
        <w:pStyle w:val="BodyTextIndent"/>
      </w:pPr>
      <w:r w:rsidRPr="00D57BF0">
        <w:t xml:space="preserve">employee expenses:  </w:t>
      </w:r>
    </w:p>
    <w:p w:rsidR="005B2326" w:rsidRPr="00D57BF0" w:rsidRDefault="005B2326" w:rsidP="005B2326">
      <w:pPr>
        <w:pStyle w:val="BodyTextIndent2"/>
      </w:pPr>
      <w:r w:rsidRPr="00D57BF0">
        <w:t>the increase of $</w:t>
      </w:r>
      <w:r>
        <w:t>6.995</w:t>
      </w:r>
      <w:r w:rsidRPr="00D57BF0">
        <w:t xml:space="preserve"> million in the </w:t>
      </w:r>
      <w:r>
        <w:t>2012-13</w:t>
      </w:r>
      <w:r w:rsidRPr="00D57BF0">
        <w:t xml:space="preserve"> estimated outcome from the original budget is </w:t>
      </w:r>
      <w:r>
        <w:t xml:space="preserve">mainly </w:t>
      </w:r>
      <w:r w:rsidRPr="00D57BF0">
        <w:t xml:space="preserve">due to </w:t>
      </w:r>
      <w:r>
        <w:t xml:space="preserve">workers’ compensation premium ($2.4 million) </w:t>
      </w:r>
      <w:r w:rsidRPr="00D57BF0">
        <w:t>and alignment of wages and salaries with expected outcomes ($</w:t>
      </w:r>
      <w:r>
        <w:t>2.5</w:t>
      </w:r>
      <w:r w:rsidRPr="00D57BF0">
        <w:t> million)</w:t>
      </w:r>
      <w:r>
        <w:t xml:space="preserve">, </w:t>
      </w:r>
      <w:r w:rsidR="00C91D2C">
        <w:t xml:space="preserve">and other minor adjustments of $1.515 million and </w:t>
      </w:r>
      <w:r w:rsidR="00BE0C8C">
        <w:t>activities</w:t>
      </w:r>
      <w:r w:rsidRPr="00D57BF0">
        <w:t xml:space="preserve"> associated with the </w:t>
      </w:r>
      <w:r>
        <w:t>Eastman Inquiry</w:t>
      </w:r>
      <w:r w:rsidRPr="00D57BF0">
        <w:t xml:space="preserve"> </w:t>
      </w:r>
      <w:r>
        <w:t>($1.159</w:t>
      </w:r>
      <w:r w:rsidRPr="00D57BF0">
        <w:t> million)</w:t>
      </w:r>
      <w:r>
        <w:t xml:space="preserve">, partially offset by </w:t>
      </w:r>
      <w:r w:rsidR="005420D4">
        <w:t xml:space="preserve">the </w:t>
      </w:r>
      <w:r w:rsidRPr="00D57BF0">
        <w:rPr>
          <w:szCs w:val="24"/>
        </w:rPr>
        <w:t xml:space="preserve">impact of the discount rate on the long service leave liability </w:t>
      </w:r>
      <w:r w:rsidRPr="00D57BF0">
        <w:t>($</w:t>
      </w:r>
      <w:r>
        <w:t>0.579</w:t>
      </w:r>
      <w:r w:rsidRPr="00D57BF0">
        <w:t> million)</w:t>
      </w:r>
      <w:r>
        <w:t xml:space="preserve">; </w:t>
      </w:r>
      <w:r w:rsidRPr="00D57BF0">
        <w:t>and</w:t>
      </w:r>
    </w:p>
    <w:p w:rsidR="002A40E5" w:rsidRDefault="005B2326" w:rsidP="005B2326">
      <w:pPr>
        <w:pStyle w:val="BodyTextIndent2"/>
      </w:pPr>
      <w:proofErr w:type="gramStart"/>
      <w:r w:rsidRPr="00D57BF0">
        <w:t>the</w:t>
      </w:r>
      <w:proofErr w:type="gramEnd"/>
      <w:r w:rsidRPr="00D57BF0">
        <w:t xml:space="preserve"> increase of $</w:t>
      </w:r>
      <w:r>
        <w:t xml:space="preserve">2.894 </w:t>
      </w:r>
      <w:r w:rsidRPr="00D57BF0">
        <w:t xml:space="preserve">million in the </w:t>
      </w:r>
      <w:r>
        <w:t>2013-14</w:t>
      </w:r>
      <w:r w:rsidRPr="00D57BF0">
        <w:t xml:space="preserve"> Budget from the </w:t>
      </w:r>
      <w:r>
        <w:t>2012-13</w:t>
      </w:r>
      <w:r w:rsidRPr="00D57BF0">
        <w:t xml:space="preserve"> estimated outcome is mainly due to </w:t>
      </w:r>
      <w:r w:rsidR="00092600">
        <w:t>new initiatives.</w:t>
      </w:r>
    </w:p>
    <w:p w:rsidR="002A40E5" w:rsidRDefault="002A40E5">
      <w:r>
        <w:br w:type="page"/>
      </w:r>
    </w:p>
    <w:p w:rsidR="005B2326" w:rsidRPr="00B94149" w:rsidRDefault="005B2326" w:rsidP="005B2326">
      <w:pPr>
        <w:pStyle w:val="BodyTextIndent"/>
        <w:keepNext w:val="0"/>
        <w:keepLines w:val="0"/>
      </w:pPr>
      <w:r w:rsidRPr="00B94149">
        <w:lastRenderedPageBreak/>
        <w:t>supplies and services:</w:t>
      </w:r>
    </w:p>
    <w:p w:rsidR="005B2326" w:rsidRPr="004A60D9" w:rsidRDefault="005B2326" w:rsidP="005B2326">
      <w:pPr>
        <w:pStyle w:val="BodyTextIndent2"/>
        <w:keepNext w:val="0"/>
        <w:keepLines w:val="0"/>
        <w:ind w:hanging="357"/>
      </w:pPr>
      <w:r w:rsidRPr="00D57BF0">
        <w:t>the decrease of $</w:t>
      </w:r>
      <w:r>
        <w:t>3.364</w:t>
      </w:r>
      <w:r w:rsidRPr="00D57BF0">
        <w:t xml:space="preserve"> million in the </w:t>
      </w:r>
      <w:r>
        <w:t>2012-13</w:t>
      </w:r>
      <w:r w:rsidRPr="00D57BF0">
        <w:t xml:space="preserve"> estimated outcome from the original budget is mainly due to realignment of supplies and services to expected outcomes ($</w:t>
      </w:r>
      <w:r>
        <w:t>2.172 million),</w:t>
      </w:r>
      <w:r w:rsidR="00677F5D">
        <w:t xml:space="preserve"> and</w:t>
      </w:r>
      <w:r>
        <w:t xml:space="preserve"> </w:t>
      </w:r>
      <w:r w:rsidRPr="00D57BF0">
        <w:t>net rollovers of program funding ($</w:t>
      </w:r>
      <w:r>
        <w:t>1.791</w:t>
      </w:r>
      <w:r w:rsidRPr="00D57BF0">
        <w:t xml:space="preserve"> million), partially offset by </w:t>
      </w:r>
      <w:r w:rsidRPr="004A60D9">
        <w:t>t</w:t>
      </w:r>
      <w:r w:rsidR="00CD36C8">
        <w:t xml:space="preserve">he funding associated with the </w:t>
      </w:r>
      <w:r w:rsidRPr="004A60D9">
        <w:t>Eastman Inquiry ($0.599 million); and</w:t>
      </w:r>
    </w:p>
    <w:p w:rsidR="005B2326" w:rsidRPr="004A60D9" w:rsidRDefault="005B2326" w:rsidP="005B2326">
      <w:pPr>
        <w:pStyle w:val="BodyTextIndent2"/>
        <w:keepNext w:val="0"/>
        <w:keepLines w:val="0"/>
        <w:ind w:hanging="357"/>
      </w:pPr>
      <w:proofErr w:type="gramStart"/>
      <w:r w:rsidRPr="004A60D9">
        <w:t>the</w:t>
      </w:r>
      <w:proofErr w:type="gramEnd"/>
      <w:r w:rsidRPr="004A60D9">
        <w:t xml:space="preserve"> increase of $2.967 million in the 2013-14 Budget from the 2012-13 estimated outcome is mainly due to </w:t>
      </w:r>
      <w:r w:rsidR="00092600" w:rsidRPr="004A60D9">
        <w:t>new initiatives.</w:t>
      </w:r>
    </w:p>
    <w:p w:rsidR="005B2326" w:rsidRPr="00D57BF0" w:rsidRDefault="005B2326" w:rsidP="005B2326">
      <w:pPr>
        <w:pStyle w:val="BodyTextIndent"/>
        <w:keepNext w:val="0"/>
        <w:keepLines w:val="0"/>
        <w:ind w:hanging="357"/>
      </w:pPr>
      <w:r w:rsidRPr="00D57BF0">
        <w:t xml:space="preserve">depreciation and amortisation:  </w:t>
      </w:r>
    </w:p>
    <w:p w:rsidR="005B2326" w:rsidRPr="00D57BF0" w:rsidRDefault="005B2326" w:rsidP="005B2326">
      <w:pPr>
        <w:pStyle w:val="BodyTextIndent2"/>
        <w:keepNext w:val="0"/>
        <w:keepLines w:val="0"/>
        <w:ind w:hanging="357"/>
      </w:pPr>
      <w:r w:rsidRPr="00D57BF0">
        <w:t>the decrease of $</w:t>
      </w:r>
      <w:r>
        <w:t>3.818</w:t>
      </w:r>
      <w:r w:rsidRPr="00D57BF0">
        <w:t xml:space="preserve"> million in the </w:t>
      </w:r>
      <w:r>
        <w:t>2012-13</w:t>
      </w:r>
      <w:r w:rsidRPr="00D57BF0">
        <w:t xml:space="preserve"> estimated outcome from the original budget is mainly due to</w:t>
      </w:r>
      <w:r>
        <w:t xml:space="preserve"> </w:t>
      </w:r>
      <w:r w:rsidR="00092600">
        <w:t xml:space="preserve">the </w:t>
      </w:r>
      <w:proofErr w:type="spellStart"/>
      <w:r w:rsidRPr="00092600">
        <w:t>reprofiling</w:t>
      </w:r>
      <w:proofErr w:type="spellEnd"/>
      <w:r w:rsidRPr="00092600">
        <w:t xml:space="preserve"> of capital works projects to 2013-14;</w:t>
      </w:r>
      <w:r>
        <w:t xml:space="preserve"> and</w:t>
      </w:r>
    </w:p>
    <w:p w:rsidR="005B2326" w:rsidRDefault="005B2326" w:rsidP="005B2326">
      <w:pPr>
        <w:pStyle w:val="BodyTextIndent2"/>
        <w:keepNext w:val="0"/>
        <w:keepLines w:val="0"/>
        <w:ind w:hanging="357"/>
      </w:pPr>
      <w:proofErr w:type="gramStart"/>
      <w:r w:rsidRPr="00D57BF0">
        <w:t>the</w:t>
      </w:r>
      <w:proofErr w:type="gramEnd"/>
      <w:r w:rsidRPr="00D57BF0">
        <w:t xml:space="preserve"> increase of </w:t>
      </w:r>
      <w:r>
        <w:t xml:space="preserve">$4.640 </w:t>
      </w:r>
      <w:r w:rsidRPr="00D57BF0">
        <w:t xml:space="preserve">million in the </w:t>
      </w:r>
      <w:r>
        <w:t>2013-14</w:t>
      </w:r>
      <w:r w:rsidRPr="00D57BF0">
        <w:t xml:space="preserve"> Budget from the </w:t>
      </w:r>
      <w:r>
        <w:t>2012-13</w:t>
      </w:r>
      <w:r w:rsidRPr="00D57BF0">
        <w:t xml:space="preserve"> estimated outcome is mainly due to </w:t>
      </w:r>
      <w:r w:rsidR="005D6D6D">
        <w:t xml:space="preserve">the </w:t>
      </w:r>
      <w:r w:rsidRPr="005D6D6D">
        <w:t>completion of capital works and asset purchases</w:t>
      </w:r>
      <w:r w:rsidRPr="00D57BF0">
        <w:t>.</w:t>
      </w:r>
    </w:p>
    <w:p w:rsidR="005B2326" w:rsidRPr="00D57BF0" w:rsidRDefault="005B2326" w:rsidP="005B2326">
      <w:pPr>
        <w:pStyle w:val="BodyTextIndent"/>
        <w:keepNext w:val="0"/>
        <w:keepLines w:val="0"/>
        <w:ind w:hanging="357"/>
      </w:pPr>
      <w:r w:rsidRPr="00D57BF0">
        <w:t>grants and purchased services:</w:t>
      </w:r>
    </w:p>
    <w:p w:rsidR="005B2326" w:rsidRPr="008007D7" w:rsidRDefault="005B2326" w:rsidP="005B2326">
      <w:pPr>
        <w:pStyle w:val="BodyTextIndent2"/>
        <w:keepNext w:val="0"/>
        <w:keepLines w:val="0"/>
        <w:ind w:hanging="357"/>
      </w:pPr>
      <w:r>
        <w:t>the in</w:t>
      </w:r>
      <w:r w:rsidRPr="00D57BF0">
        <w:t>crease of $</w:t>
      </w:r>
      <w:r>
        <w:t>1.769</w:t>
      </w:r>
      <w:r w:rsidRPr="00D57BF0">
        <w:t xml:space="preserve"> million in the </w:t>
      </w:r>
      <w:r>
        <w:t>2012-13</w:t>
      </w:r>
      <w:r w:rsidRPr="00D57BF0">
        <w:t xml:space="preserve"> estimated outcome from the original budget is mainly due to </w:t>
      </w:r>
      <w:r>
        <w:t xml:space="preserve">the Commonwealth contribution for the National Disaster Resilience Program ($0.669 million), </w:t>
      </w:r>
      <w:r w:rsidRPr="00D57BF0">
        <w:t>realignment to supplies and services expense</w:t>
      </w:r>
      <w:r>
        <w:t xml:space="preserve"> </w:t>
      </w:r>
      <w:r w:rsidRPr="008007D7">
        <w:t>($0.598 million), and net rollovers of program funding ($0.502 million); and</w:t>
      </w:r>
    </w:p>
    <w:p w:rsidR="005B2326" w:rsidRPr="008007D7" w:rsidRDefault="005B2326" w:rsidP="005B2326">
      <w:pPr>
        <w:pStyle w:val="BodyTextIndent2"/>
        <w:keepNext w:val="0"/>
        <w:keepLines w:val="0"/>
        <w:ind w:hanging="357"/>
      </w:pPr>
      <w:proofErr w:type="gramStart"/>
      <w:r w:rsidRPr="008007D7">
        <w:t>the</w:t>
      </w:r>
      <w:proofErr w:type="gramEnd"/>
      <w:r w:rsidRPr="008007D7">
        <w:t xml:space="preserve"> increase of $0.672 million in the 2013-14 Budget from the 2012-13 estimated outcome is mainly due to </w:t>
      </w:r>
      <w:r w:rsidR="008007D7" w:rsidRPr="008007D7">
        <w:t>the step up of funding for 2012</w:t>
      </w:r>
      <w:r w:rsidR="008007D7" w:rsidRPr="008007D7">
        <w:noBreakHyphen/>
        <w:t>13 initiatives.</w:t>
      </w:r>
    </w:p>
    <w:p w:rsidR="005B2326" w:rsidRDefault="005B2326" w:rsidP="005B2326">
      <w:pPr>
        <w:pStyle w:val="Heading4"/>
        <w:keepNext w:val="0"/>
        <w:keepLines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Balance Sheet</w:t>
      </w:r>
    </w:p>
    <w:p w:rsidR="005B2326" w:rsidRDefault="005B2326" w:rsidP="005B2326">
      <w:pPr>
        <w:pStyle w:val="BodyTextIndent"/>
      </w:pPr>
      <w:r w:rsidRPr="00D57BF0">
        <w:t xml:space="preserve">cash and cash equivalents:  </w:t>
      </w:r>
    </w:p>
    <w:p w:rsidR="005B2326" w:rsidRPr="008007D7" w:rsidRDefault="005B2326" w:rsidP="005B2326">
      <w:pPr>
        <w:pStyle w:val="BodyTextIndent2"/>
        <w:keepNext w:val="0"/>
        <w:keepLines w:val="0"/>
        <w:ind w:hanging="357"/>
      </w:pPr>
      <w:r w:rsidRPr="00D57BF0">
        <w:t>the increase of $</w:t>
      </w:r>
      <w:r>
        <w:t>3.232</w:t>
      </w:r>
      <w:r w:rsidRPr="00D57BF0">
        <w:t xml:space="preserve"> million in the </w:t>
      </w:r>
      <w:r>
        <w:t>2012-13</w:t>
      </w:r>
      <w:r w:rsidRPr="00D57BF0">
        <w:t xml:space="preserve"> estimated outcome from the original </w:t>
      </w:r>
      <w:r w:rsidRPr="008007D7">
        <w:t>budget is mainly due to the flow-on effects of the 2011-12 audited outcome; and</w:t>
      </w:r>
    </w:p>
    <w:p w:rsidR="005B2326" w:rsidRPr="008007D7" w:rsidRDefault="005B2326" w:rsidP="005B2326">
      <w:pPr>
        <w:pStyle w:val="BodyTextIndent2"/>
        <w:keepNext w:val="0"/>
        <w:keepLines w:val="0"/>
        <w:ind w:hanging="357"/>
      </w:pPr>
      <w:proofErr w:type="gramStart"/>
      <w:r w:rsidRPr="008007D7">
        <w:t>the</w:t>
      </w:r>
      <w:proofErr w:type="gramEnd"/>
      <w:r w:rsidRPr="008007D7">
        <w:t xml:space="preserve"> increase of $1.583 million in the 2013-14 Budget from the 2012-13 estimated outcome is due to </w:t>
      </w:r>
      <w:r w:rsidR="008007D7" w:rsidRPr="008007D7">
        <w:t>changes in cash flow timing between financial years.</w:t>
      </w:r>
    </w:p>
    <w:p w:rsidR="005B2326" w:rsidRPr="00D57BF0" w:rsidRDefault="005B2326" w:rsidP="005B2326">
      <w:pPr>
        <w:pStyle w:val="BodyTextIndent"/>
        <w:keepNext w:val="0"/>
        <w:keepLines w:val="0"/>
      </w:pPr>
      <w:proofErr w:type="gramStart"/>
      <w:r w:rsidRPr="00D57BF0">
        <w:t>other</w:t>
      </w:r>
      <w:proofErr w:type="gramEnd"/>
      <w:r w:rsidRPr="00D57BF0">
        <w:t xml:space="preserve"> current assets:  the </w:t>
      </w:r>
      <w:r>
        <w:t>de</w:t>
      </w:r>
      <w:r w:rsidRPr="00D57BF0">
        <w:t>crease of $</w:t>
      </w:r>
      <w:r>
        <w:t>1.368</w:t>
      </w:r>
      <w:r w:rsidRPr="00D57BF0">
        <w:t xml:space="preserve"> million in the </w:t>
      </w:r>
      <w:r>
        <w:t>2012-13</w:t>
      </w:r>
      <w:r w:rsidRPr="00D57BF0">
        <w:t xml:space="preserve"> estimated outcome from the original budget is due to the </w:t>
      </w:r>
      <w:r>
        <w:t>2011-12</w:t>
      </w:r>
      <w:r w:rsidRPr="00D57BF0">
        <w:t xml:space="preserve"> audited outcome flow-on effects.</w:t>
      </w:r>
    </w:p>
    <w:p w:rsidR="005B2326" w:rsidRPr="00D57BF0" w:rsidRDefault="005B2326" w:rsidP="005B2326">
      <w:pPr>
        <w:pStyle w:val="BodyTextIndent"/>
        <w:keepNext w:val="0"/>
        <w:keepLines w:val="0"/>
      </w:pPr>
      <w:proofErr w:type="spellStart"/>
      <w:r w:rsidRPr="00D57BF0">
        <w:t>non current</w:t>
      </w:r>
      <w:proofErr w:type="spellEnd"/>
      <w:r w:rsidRPr="00D57BF0">
        <w:t xml:space="preserve"> assets:</w:t>
      </w:r>
    </w:p>
    <w:p w:rsidR="005B2326" w:rsidRPr="00D57BF0" w:rsidRDefault="005B2326" w:rsidP="005B2326">
      <w:pPr>
        <w:pStyle w:val="BodyTextIndent2"/>
        <w:keepNext w:val="0"/>
        <w:keepLines w:val="0"/>
      </w:pPr>
      <w:r w:rsidRPr="00D57BF0">
        <w:t xml:space="preserve">the </w:t>
      </w:r>
      <w:r>
        <w:t>de</w:t>
      </w:r>
      <w:r w:rsidRPr="00D57BF0">
        <w:t>crease of $</w:t>
      </w:r>
      <w:r>
        <w:t>1.181</w:t>
      </w:r>
      <w:r w:rsidRPr="00D57BF0">
        <w:t xml:space="preserve"> million in the </w:t>
      </w:r>
      <w:r>
        <w:t>2012-13</w:t>
      </w:r>
      <w:r w:rsidRPr="00D57BF0">
        <w:t xml:space="preserve"> estimated outcome from the original budget is </w:t>
      </w:r>
      <w:r>
        <w:t xml:space="preserve">mainly </w:t>
      </w:r>
      <w:r w:rsidRPr="00D57BF0">
        <w:t xml:space="preserve">due to net </w:t>
      </w:r>
      <w:r>
        <w:t>2011-12</w:t>
      </w:r>
      <w:r w:rsidRPr="00D57BF0">
        <w:t xml:space="preserve"> audited outcome flow-on effects </w:t>
      </w:r>
      <w:r w:rsidR="005D6D6D">
        <w:t xml:space="preserve">and </w:t>
      </w:r>
      <w:r w:rsidRPr="00D57BF0">
        <w:t>capital project rollovers; and</w:t>
      </w:r>
    </w:p>
    <w:p w:rsidR="005B2326" w:rsidRPr="004A60D9" w:rsidRDefault="005B2326" w:rsidP="005B2326">
      <w:pPr>
        <w:pStyle w:val="BodyTextIndent2"/>
        <w:keepNext w:val="0"/>
        <w:keepLines w:val="0"/>
      </w:pPr>
      <w:proofErr w:type="gramStart"/>
      <w:r w:rsidRPr="004A60D9">
        <w:t>the</w:t>
      </w:r>
      <w:proofErr w:type="gramEnd"/>
      <w:r w:rsidRPr="004A60D9">
        <w:t xml:space="preserve"> increase of $19.627 million in the 2013-14 Budget from the 2012-13 estimated outcome is mainly due to </w:t>
      </w:r>
      <w:r w:rsidR="005D6D6D" w:rsidRPr="004A60D9">
        <w:t xml:space="preserve">new initiatives </w:t>
      </w:r>
      <w:r w:rsidR="00EF75CB" w:rsidRPr="004A60D9">
        <w:t>and the re-profiling of capital works to the 2013-14 financial year.</w:t>
      </w:r>
    </w:p>
    <w:p w:rsidR="005B2326" w:rsidRPr="00D57BF0" w:rsidRDefault="005B2326" w:rsidP="005B2326">
      <w:pPr>
        <w:pStyle w:val="BodyTextIndent"/>
        <w:keepNext w:val="0"/>
        <w:keepLines w:val="0"/>
      </w:pPr>
      <w:proofErr w:type="gramStart"/>
      <w:r w:rsidRPr="00D57BF0">
        <w:t>payables</w:t>
      </w:r>
      <w:proofErr w:type="gramEnd"/>
      <w:r w:rsidRPr="00D57BF0">
        <w:t>:  the increase of $</w:t>
      </w:r>
      <w:r>
        <w:t>0.930</w:t>
      </w:r>
      <w:r w:rsidRPr="00D57BF0">
        <w:t xml:space="preserve"> million in the </w:t>
      </w:r>
      <w:r>
        <w:t>2012-13</w:t>
      </w:r>
      <w:r w:rsidRPr="00D57BF0">
        <w:t xml:space="preserve"> estimated outcome from the original budget is mainly due to </w:t>
      </w:r>
      <w:r>
        <w:t>the 2011-12</w:t>
      </w:r>
      <w:r w:rsidRPr="00D57BF0">
        <w:t xml:space="preserve"> audited outcome</w:t>
      </w:r>
      <w:r>
        <w:t xml:space="preserve"> flow on effect</w:t>
      </w:r>
      <w:r w:rsidRPr="00D57BF0">
        <w:t>.</w:t>
      </w:r>
    </w:p>
    <w:p w:rsidR="005B2326" w:rsidRPr="00D57BF0" w:rsidRDefault="005B2326" w:rsidP="005B2326">
      <w:pPr>
        <w:pStyle w:val="BodyTextIndent"/>
        <w:keepNext w:val="0"/>
        <w:keepLines w:val="0"/>
      </w:pPr>
      <w:proofErr w:type="gramStart"/>
      <w:r w:rsidRPr="00D57BF0">
        <w:t>current</w:t>
      </w:r>
      <w:proofErr w:type="gramEnd"/>
      <w:r w:rsidRPr="00D57BF0">
        <w:t xml:space="preserve"> and </w:t>
      </w:r>
      <w:proofErr w:type="spellStart"/>
      <w:r w:rsidRPr="00D57BF0">
        <w:t>non current</w:t>
      </w:r>
      <w:proofErr w:type="spellEnd"/>
      <w:r w:rsidRPr="00D57BF0">
        <w:t xml:space="preserve"> employee benefits: the increase of $</w:t>
      </w:r>
      <w:r>
        <w:t>5.430</w:t>
      </w:r>
      <w:r w:rsidRPr="00D57BF0">
        <w:t xml:space="preserve"> million in the </w:t>
      </w:r>
      <w:r>
        <w:t>2012</w:t>
      </w:r>
      <w:r>
        <w:noBreakHyphen/>
        <w:t>13</w:t>
      </w:r>
      <w:r w:rsidRPr="00D57BF0">
        <w:t xml:space="preserve"> estimated outcome</w:t>
      </w:r>
      <w:r>
        <w:t xml:space="preserve"> from the original budget is mainly due to </w:t>
      </w:r>
      <w:r>
        <w:rPr>
          <w:bCs/>
        </w:rPr>
        <w:t xml:space="preserve">the </w:t>
      </w:r>
      <w:r>
        <w:t>2011-12</w:t>
      </w:r>
      <w:r w:rsidRPr="00D57BF0">
        <w:t xml:space="preserve"> </w:t>
      </w:r>
      <w:r w:rsidRPr="00D57BF0">
        <w:lastRenderedPageBreak/>
        <w:t>audited outcome flow</w:t>
      </w:r>
      <w:r>
        <w:t xml:space="preserve">-on effects ($6.009 million), and </w:t>
      </w:r>
      <w:r w:rsidRPr="00673149">
        <w:rPr>
          <w:bCs/>
        </w:rPr>
        <w:t>impact of the discount rate on the long service leave liability</w:t>
      </w:r>
      <w:r w:rsidRPr="00D57BF0">
        <w:t xml:space="preserve"> ($</w:t>
      </w:r>
      <w:r>
        <w:t>0.579 million)</w:t>
      </w:r>
      <w:r w:rsidRPr="00D57BF0">
        <w:t>.</w:t>
      </w:r>
    </w:p>
    <w:p w:rsidR="005B2326" w:rsidRPr="00D57BF0" w:rsidRDefault="005B2326" w:rsidP="005B2326">
      <w:pPr>
        <w:pStyle w:val="BodyTextIndent"/>
        <w:keepNext w:val="0"/>
        <w:keepLines w:val="0"/>
      </w:pPr>
      <w:proofErr w:type="gramStart"/>
      <w:r w:rsidRPr="00D57BF0">
        <w:t>other</w:t>
      </w:r>
      <w:proofErr w:type="gramEnd"/>
      <w:r w:rsidRPr="00D57BF0">
        <w:t xml:space="preserve"> current and </w:t>
      </w:r>
      <w:proofErr w:type="spellStart"/>
      <w:r w:rsidRPr="00D57BF0">
        <w:t>non current</w:t>
      </w:r>
      <w:proofErr w:type="spellEnd"/>
      <w:r w:rsidRPr="00D57BF0">
        <w:t xml:space="preserve"> provisions:  the </w:t>
      </w:r>
      <w:r>
        <w:t>decrease of $3.064 million</w:t>
      </w:r>
      <w:r w:rsidRPr="00D57BF0">
        <w:t xml:space="preserve"> in the </w:t>
      </w:r>
      <w:r>
        <w:t>2012-13</w:t>
      </w:r>
      <w:r w:rsidRPr="00D57BF0">
        <w:t xml:space="preserve"> estimated outcome from the original budget is </w:t>
      </w:r>
      <w:r>
        <w:t xml:space="preserve">mainly </w:t>
      </w:r>
      <w:r w:rsidRPr="00D57BF0">
        <w:t xml:space="preserve">due to the </w:t>
      </w:r>
      <w:r w:rsidR="004D346F">
        <w:t>2011</w:t>
      </w:r>
      <w:r w:rsidR="004D346F">
        <w:noBreakHyphen/>
      </w:r>
      <w:r>
        <w:t>12</w:t>
      </w:r>
      <w:r w:rsidRPr="00D57BF0">
        <w:t xml:space="preserve"> audited outcome flow</w:t>
      </w:r>
      <w:r>
        <w:t>-</w:t>
      </w:r>
      <w:r w:rsidRPr="00D57BF0">
        <w:t>on effects.</w:t>
      </w:r>
    </w:p>
    <w:p w:rsidR="005B2326" w:rsidRPr="00D57BF0" w:rsidRDefault="005B2326" w:rsidP="005B2326">
      <w:pPr>
        <w:pStyle w:val="BodyTextIndent"/>
        <w:keepNext w:val="0"/>
        <w:keepLines w:val="0"/>
      </w:pPr>
      <w:proofErr w:type="gramStart"/>
      <w:r w:rsidRPr="00D57BF0">
        <w:t>other</w:t>
      </w:r>
      <w:proofErr w:type="gramEnd"/>
      <w:r w:rsidRPr="00D57BF0">
        <w:t xml:space="preserve"> current liabilities:  the increase of $</w:t>
      </w:r>
      <w:r>
        <w:t>2.154</w:t>
      </w:r>
      <w:r w:rsidRPr="00D57BF0">
        <w:t xml:space="preserve"> million in the </w:t>
      </w:r>
      <w:r w:rsidR="004D346F">
        <w:t>2012</w:t>
      </w:r>
      <w:r w:rsidR="004D346F">
        <w:noBreakHyphen/>
      </w:r>
      <w:r>
        <w:t>13</w:t>
      </w:r>
      <w:r w:rsidRPr="00D57BF0">
        <w:t xml:space="preserve"> estimated outcome from the original budget is mainly due to the </w:t>
      </w:r>
      <w:r w:rsidR="004D346F">
        <w:t>2011</w:t>
      </w:r>
      <w:r w:rsidR="004D346F">
        <w:noBreakHyphen/>
      </w:r>
      <w:r>
        <w:t>12</w:t>
      </w:r>
      <w:r w:rsidRPr="00D57BF0">
        <w:t xml:space="preserve"> audited outcome flow</w:t>
      </w:r>
      <w:r w:rsidRPr="00D57BF0">
        <w:noBreakHyphen/>
      </w:r>
      <w:proofErr w:type="spellStart"/>
      <w:r w:rsidRPr="00D57BF0">
        <w:t>on</w:t>
      </w:r>
      <w:proofErr w:type="spellEnd"/>
      <w:r w:rsidRPr="00D57BF0">
        <w:t xml:space="preserve"> effects.</w:t>
      </w:r>
    </w:p>
    <w:p w:rsidR="005B2326" w:rsidRDefault="005B2326" w:rsidP="005B2326">
      <w:pPr>
        <w:pStyle w:val="Heading4"/>
        <w:keepNext w:val="0"/>
        <w:keepLines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Statement of Changes in Equity</w:t>
      </w:r>
    </w:p>
    <w:p w:rsidR="005B2326" w:rsidRPr="0002720A" w:rsidRDefault="005B2326" w:rsidP="005B2326">
      <w:pPr>
        <w:pStyle w:val="BodyTextIndent"/>
      </w:pPr>
      <w:proofErr w:type="gramStart"/>
      <w:r w:rsidRPr="00D57BF0">
        <w:t>capital</w:t>
      </w:r>
      <w:proofErr w:type="gramEnd"/>
      <w:r w:rsidRPr="00D57BF0">
        <w:t xml:space="preserve"> injections:</w:t>
      </w:r>
      <w:r>
        <w:t xml:space="preserve">  </w:t>
      </w:r>
      <w:r w:rsidRPr="00D57BF0">
        <w:t>the increase of $</w:t>
      </w:r>
      <w:r>
        <w:t xml:space="preserve">14.182 </w:t>
      </w:r>
      <w:r w:rsidRPr="00D57BF0">
        <w:t xml:space="preserve">million in the </w:t>
      </w:r>
      <w:r>
        <w:t>2</w:t>
      </w:r>
      <w:r w:rsidR="004D346F">
        <w:t>013</w:t>
      </w:r>
      <w:r w:rsidR="004D346F">
        <w:noBreakHyphen/>
      </w:r>
      <w:r>
        <w:t>14</w:t>
      </w:r>
      <w:r w:rsidRPr="00D57BF0">
        <w:t xml:space="preserve"> Budget from the </w:t>
      </w:r>
      <w:r>
        <w:t>2012</w:t>
      </w:r>
      <w:r w:rsidR="004D346F">
        <w:noBreakHyphen/>
      </w:r>
      <w:r>
        <w:t>13</w:t>
      </w:r>
      <w:r w:rsidRPr="00D57BF0">
        <w:t xml:space="preserve"> estimated outcome is mainly due to </w:t>
      </w:r>
      <w:r w:rsidRPr="0002720A">
        <w:t>the rollover of capital projects from 2012</w:t>
      </w:r>
      <w:r w:rsidR="004D346F">
        <w:noBreakHyphen/>
      </w:r>
      <w:r w:rsidRPr="0002720A">
        <w:t>13 and new funding for the 2013</w:t>
      </w:r>
      <w:r w:rsidR="004D346F">
        <w:noBreakHyphen/>
      </w:r>
      <w:r w:rsidRPr="0002720A">
        <w:t>14 capital program.</w:t>
      </w:r>
    </w:p>
    <w:p w:rsidR="005B2326" w:rsidRDefault="005B2326" w:rsidP="005B2326">
      <w:pPr>
        <w:pStyle w:val="Heading4"/>
        <w:keepNext w:val="0"/>
        <w:keepLines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452B66">
        <w:t>Cash Flow Statement</w:t>
      </w:r>
    </w:p>
    <w:p w:rsidR="00BA7B95" w:rsidRDefault="005B2326" w:rsidP="005B2326">
      <w:pPr>
        <w:pStyle w:val="BodyText"/>
        <w:keepNext w:val="0"/>
        <w:keepLines w:val="0"/>
      </w:pPr>
      <w:r w:rsidRPr="0002720A">
        <w:t>Variations in the statement are explained in the notes above.</w:t>
      </w:r>
    </w:p>
    <w:p w:rsidR="00BA7B95" w:rsidRDefault="00BA7B95">
      <w:r>
        <w:br w:type="page"/>
      </w:r>
    </w:p>
    <w:tbl>
      <w:tblPr>
        <w:tblW w:w="9356" w:type="dxa"/>
        <w:tblLook w:val="04A0"/>
      </w:tblPr>
      <w:tblGrid>
        <w:gridCol w:w="1049"/>
        <w:gridCol w:w="2384"/>
        <w:gridCol w:w="1102"/>
        <w:gridCol w:w="1050"/>
        <w:gridCol w:w="621"/>
        <w:gridCol w:w="1050"/>
        <w:gridCol w:w="1050"/>
        <w:gridCol w:w="1050"/>
      </w:tblGrid>
      <w:tr w:rsidR="00BA7B95" w:rsidTr="00EB5C27">
        <w:trPr>
          <w:tblHeader/>
        </w:trPr>
        <w:tc>
          <w:tcPr>
            <w:tcW w:w="9392" w:type="dxa"/>
            <w:gridSpan w:val="8"/>
            <w:tcBorders>
              <w:top w:val="nil"/>
              <w:left w:val="nil"/>
              <w:bottom w:val="nil"/>
              <w:right w:val="nil"/>
            </w:tcBorders>
            <w:shd w:val="clear" w:color="000000" w:fill="FFFFFF"/>
            <w:hideMark/>
          </w:tcPr>
          <w:p w:rsidR="00BA7B95" w:rsidRDefault="00BA7B95" w:rsidP="00EB5C27">
            <w:pPr>
              <w:jc w:val="center"/>
              <w:rPr>
                <w:rFonts w:ascii="Arial" w:hAnsi="Arial" w:cs="Arial"/>
                <w:b/>
                <w:bCs/>
                <w:szCs w:val="24"/>
              </w:rPr>
            </w:pPr>
            <w:bookmarkStart w:id="16" w:name="RANGE!A1:H32"/>
            <w:r>
              <w:rPr>
                <w:rFonts w:ascii="Arial" w:hAnsi="Arial" w:cs="Arial"/>
                <w:b/>
                <w:bCs/>
              </w:rPr>
              <w:lastRenderedPageBreak/>
              <w:t>Justice and Community Safety Directorate</w:t>
            </w:r>
            <w:bookmarkEnd w:id="16"/>
          </w:p>
        </w:tc>
      </w:tr>
      <w:tr w:rsidR="00BA7B95" w:rsidTr="00EB5C27">
        <w:trPr>
          <w:tblHeader/>
        </w:trPr>
        <w:tc>
          <w:tcPr>
            <w:tcW w:w="9392" w:type="dxa"/>
            <w:gridSpan w:val="8"/>
            <w:tcBorders>
              <w:top w:val="nil"/>
              <w:left w:val="nil"/>
              <w:bottom w:val="nil"/>
              <w:right w:val="nil"/>
            </w:tcBorders>
            <w:shd w:val="clear" w:color="000000" w:fill="FFFFFF"/>
            <w:hideMark/>
          </w:tcPr>
          <w:p w:rsidR="00BA7B95" w:rsidRDefault="00BA7B95" w:rsidP="00EB5C27">
            <w:pPr>
              <w:jc w:val="center"/>
              <w:rPr>
                <w:rFonts w:ascii="Arial" w:hAnsi="Arial" w:cs="Arial"/>
                <w:b/>
                <w:bCs/>
                <w:szCs w:val="24"/>
              </w:rPr>
            </w:pPr>
            <w:r>
              <w:rPr>
                <w:rFonts w:ascii="Arial" w:hAnsi="Arial" w:cs="Arial"/>
                <w:b/>
                <w:bCs/>
              </w:rPr>
              <w:t>Statement of Income and Expenses on Behalf of the Territory</w:t>
            </w:r>
          </w:p>
        </w:tc>
      </w:tr>
      <w:tr w:rsidR="00BA7B95" w:rsidTr="00EB5C27">
        <w:trPr>
          <w:tblHeader/>
        </w:trPr>
        <w:tc>
          <w:tcPr>
            <w:tcW w:w="1054" w:type="dxa"/>
            <w:tcBorders>
              <w:top w:val="single" w:sz="4" w:space="0" w:color="auto"/>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hideMark/>
          </w:tcPr>
          <w:p w:rsidR="00BA7B95" w:rsidRDefault="00BA7B95" w:rsidP="00EB5C27">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2016-17</w:t>
            </w:r>
          </w:p>
        </w:tc>
      </w:tr>
      <w:tr w:rsidR="00BA7B95" w:rsidTr="00EB5C27">
        <w:trPr>
          <w:tblHeader/>
        </w:trPr>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proofErr w:type="spellStart"/>
            <w:r>
              <w:rPr>
                <w:b/>
                <w:bCs/>
                <w:sz w:val="18"/>
                <w:szCs w:val="18"/>
              </w:rPr>
              <w:t>Var</w:t>
            </w:r>
            <w:proofErr w:type="spellEnd"/>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Estimate</w:t>
            </w:r>
          </w:p>
        </w:tc>
      </w:tr>
      <w:tr w:rsidR="00BA7B95" w:rsidTr="00EB5C27">
        <w:trPr>
          <w:tblHeader/>
        </w:trPr>
        <w:tc>
          <w:tcPr>
            <w:tcW w:w="1054" w:type="dxa"/>
            <w:tcBorders>
              <w:top w:val="nil"/>
              <w:left w:val="nil"/>
              <w:bottom w:val="single" w:sz="4" w:space="0" w:color="auto"/>
              <w:right w:val="nil"/>
            </w:tcBorders>
            <w:shd w:val="clear" w:color="000000" w:fill="FFFFFF"/>
            <w:hideMark/>
          </w:tcPr>
          <w:p w:rsidR="00BA7B95" w:rsidRDefault="00BA7B95" w:rsidP="00EB5C27">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hideMark/>
          </w:tcPr>
          <w:p w:rsidR="00BA7B95" w:rsidRDefault="00BA7B95" w:rsidP="00EB5C27">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hideMark/>
          </w:tcPr>
          <w:p w:rsidR="00BA7B95" w:rsidRDefault="00BA7B95" w:rsidP="00EB5C2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BA7B95" w:rsidRDefault="00BA7B95" w:rsidP="00EB5C27">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hideMark/>
          </w:tcPr>
          <w:p w:rsidR="00BA7B95" w:rsidRDefault="00BA7B95" w:rsidP="00EB5C27">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hideMark/>
          </w:tcPr>
          <w:p w:rsidR="00BA7B95" w:rsidRDefault="00BA7B95" w:rsidP="00EB5C2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BA7B95" w:rsidRDefault="00BA7B95" w:rsidP="00EB5C2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BA7B95" w:rsidRDefault="00BA7B95" w:rsidP="00EB5C27">
            <w:pPr>
              <w:ind w:left="-283"/>
              <w:jc w:val="right"/>
              <w:rPr>
                <w:b/>
                <w:bCs/>
                <w:sz w:val="18"/>
                <w:szCs w:val="18"/>
              </w:rPr>
            </w:pPr>
            <w:r>
              <w:rPr>
                <w:b/>
                <w:bCs/>
                <w:sz w:val="18"/>
                <w:szCs w:val="18"/>
              </w:rPr>
              <w:t>$'000</w:t>
            </w:r>
          </w:p>
        </w:tc>
      </w:tr>
      <w:tr w:rsidR="00BA7B95" w:rsidTr="00EB5C27">
        <w:trPr>
          <w:tblHeader/>
        </w:trPr>
        <w:tc>
          <w:tcPr>
            <w:tcW w:w="1054" w:type="dxa"/>
            <w:tcBorders>
              <w:top w:val="nil"/>
              <w:left w:val="nil"/>
              <w:bottom w:val="nil"/>
              <w:right w:val="nil"/>
            </w:tcBorders>
            <w:shd w:val="clear" w:color="000000" w:fill="FFFFFF"/>
            <w:hideMark/>
          </w:tcPr>
          <w:p w:rsidR="00BA7B95" w:rsidRDefault="00BA7B95" w:rsidP="00EB5C27">
            <w:pPr>
              <w:ind w:left="-283"/>
              <w:jc w:val="right"/>
              <w:rPr>
                <w:b/>
                <w:bCs/>
                <w:i/>
                <w:iCs/>
                <w:sz w:val="18"/>
                <w:szCs w:val="18"/>
              </w:rPr>
            </w:pPr>
            <w:r>
              <w:rPr>
                <w:b/>
                <w:bCs/>
                <w:i/>
                <w:iCs/>
                <w:sz w:val="18"/>
                <w:szCs w:val="18"/>
              </w:rPr>
              <w:t> </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BA7B95" w:rsidRDefault="00BA7B95" w:rsidP="00EB5C27">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i/>
                <w:iCs/>
                <w:sz w:val="18"/>
                <w:szCs w:val="18"/>
              </w:rPr>
            </w:pPr>
            <w:r>
              <w:rPr>
                <w:b/>
                <w:bCs/>
                <w:i/>
                <w:iCs/>
                <w:sz w:val="18"/>
                <w:szCs w:val="18"/>
              </w:rPr>
              <w:t> </w:t>
            </w:r>
          </w:p>
        </w:tc>
        <w:tc>
          <w:tcPr>
            <w:tcW w:w="624" w:type="dxa"/>
            <w:tcBorders>
              <w:top w:val="nil"/>
              <w:left w:val="nil"/>
              <w:bottom w:val="nil"/>
              <w:right w:val="nil"/>
            </w:tcBorders>
            <w:shd w:val="clear" w:color="000000" w:fill="FFFFFF"/>
            <w:hideMark/>
          </w:tcPr>
          <w:p w:rsidR="00BA7B95" w:rsidRDefault="00BA7B95" w:rsidP="00EB5C27">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i/>
                <w:iCs/>
                <w:sz w:val="18"/>
                <w:szCs w:val="18"/>
              </w:rPr>
            </w:pPr>
            <w:r>
              <w:rPr>
                <w:b/>
                <w:bCs/>
                <w:i/>
                <w:iCs/>
                <w:sz w:val="18"/>
                <w:szCs w:val="18"/>
              </w:rPr>
              <w:t> </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Income</w:t>
            </w:r>
          </w:p>
        </w:tc>
        <w:tc>
          <w:tcPr>
            <w:tcW w:w="1106"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Revenue</w:t>
            </w:r>
          </w:p>
        </w:tc>
        <w:tc>
          <w:tcPr>
            <w:tcW w:w="1106"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151,497</w:t>
            </w:r>
          </w:p>
        </w:tc>
        <w:tc>
          <w:tcPr>
            <w:tcW w:w="2392" w:type="dxa"/>
            <w:tcBorders>
              <w:top w:val="nil"/>
              <w:left w:val="nil"/>
              <w:bottom w:val="nil"/>
              <w:right w:val="nil"/>
            </w:tcBorders>
            <w:shd w:val="clear" w:color="000000" w:fill="FFFFFF"/>
            <w:hideMark/>
          </w:tcPr>
          <w:p w:rsidR="00BA7B95" w:rsidRDefault="00BA7B95" w:rsidP="00EB5C27">
            <w:pPr>
              <w:rPr>
                <w:sz w:val="18"/>
                <w:szCs w:val="18"/>
              </w:rPr>
            </w:pPr>
            <w:r>
              <w:rPr>
                <w:sz w:val="18"/>
                <w:szCs w:val="18"/>
              </w:rPr>
              <w:t xml:space="preserve">Payment for Expenses on </w:t>
            </w:r>
            <w:r>
              <w:rPr>
                <w:sz w:val="18"/>
                <w:szCs w:val="18"/>
              </w:rPr>
              <w:br/>
              <w:t xml:space="preserve">   behalf of Territory</w:t>
            </w:r>
          </w:p>
        </w:tc>
        <w:tc>
          <w:tcPr>
            <w:tcW w:w="1106"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151,497</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155,525</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158,005</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159,158</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161,670</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164,682</w:t>
            </w:r>
          </w:p>
        </w:tc>
        <w:tc>
          <w:tcPr>
            <w:tcW w:w="2392" w:type="dxa"/>
            <w:tcBorders>
              <w:top w:val="nil"/>
              <w:left w:val="nil"/>
              <w:bottom w:val="nil"/>
              <w:right w:val="nil"/>
            </w:tcBorders>
            <w:shd w:val="clear" w:color="000000" w:fill="FFFFFF"/>
            <w:hideMark/>
          </w:tcPr>
          <w:p w:rsidR="00BA7B95" w:rsidRDefault="00BA7B95" w:rsidP="00EB5C27">
            <w:pPr>
              <w:rPr>
                <w:sz w:val="18"/>
                <w:szCs w:val="18"/>
              </w:rPr>
            </w:pPr>
            <w:r>
              <w:rPr>
                <w:sz w:val="18"/>
                <w:szCs w:val="18"/>
              </w:rPr>
              <w:t>Taxes, Fees and Fines</w:t>
            </w:r>
          </w:p>
        </w:tc>
        <w:tc>
          <w:tcPr>
            <w:tcW w:w="1106"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167,506</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177,958</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xml:space="preserve">6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185,475</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192,955</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200,741</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19,483</w:t>
            </w:r>
          </w:p>
        </w:tc>
        <w:tc>
          <w:tcPr>
            <w:tcW w:w="2392" w:type="dxa"/>
            <w:tcBorders>
              <w:top w:val="nil"/>
              <w:left w:val="nil"/>
              <w:bottom w:val="nil"/>
              <w:right w:val="nil"/>
            </w:tcBorders>
            <w:shd w:val="clear" w:color="000000" w:fill="FFFFFF"/>
            <w:hideMark/>
          </w:tcPr>
          <w:p w:rsidR="00BA7B95" w:rsidRDefault="00BA7B95" w:rsidP="00EB5C27">
            <w:pPr>
              <w:rPr>
                <w:sz w:val="18"/>
                <w:szCs w:val="18"/>
              </w:rPr>
            </w:pPr>
            <w:r>
              <w:rPr>
                <w:sz w:val="18"/>
                <w:szCs w:val="18"/>
              </w:rPr>
              <w:t xml:space="preserve">User Charges - Non ACT </w:t>
            </w:r>
            <w:r>
              <w:rPr>
                <w:sz w:val="18"/>
                <w:szCs w:val="18"/>
              </w:rPr>
              <w:br/>
              <w:t xml:space="preserve">   Government</w:t>
            </w:r>
          </w:p>
        </w:tc>
        <w:tc>
          <w:tcPr>
            <w:tcW w:w="1106"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17,103</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20,316</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xml:space="preserve">19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21,047</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21,804</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22,590</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1,594</w:t>
            </w:r>
          </w:p>
        </w:tc>
        <w:tc>
          <w:tcPr>
            <w:tcW w:w="2392" w:type="dxa"/>
            <w:tcBorders>
              <w:top w:val="nil"/>
              <w:left w:val="nil"/>
              <w:bottom w:val="nil"/>
              <w:right w:val="nil"/>
            </w:tcBorders>
            <w:shd w:val="clear" w:color="000000" w:fill="FFFFFF"/>
            <w:hideMark/>
          </w:tcPr>
          <w:p w:rsidR="00BA7B95" w:rsidRDefault="00BA7B95" w:rsidP="00EB5C27">
            <w:pPr>
              <w:rPr>
                <w:sz w:val="18"/>
                <w:szCs w:val="18"/>
              </w:rPr>
            </w:pPr>
            <w:r>
              <w:rPr>
                <w:sz w:val="18"/>
                <w:szCs w:val="18"/>
              </w:rPr>
              <w:t>Other Revenue</w:t>
            </w:r>
          </w:p>
        </w:tc>
        <w:tc>
          <w:tcPr>
            <w:tcW w:w="1106"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2,763</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1,645</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xml:space="preserve">-40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1,710</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1,778</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1,849</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337,256</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Total Revenue</w:t>
            </w:r>
          </w:p>
        </w:tc>
        <w:tc>
          <w:tcPr>
            <w:tcW w:w="1106"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338,869</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355,444</w:t>
            </w:r>
          </w:p>
        </w:tc>
        <w:tc>
          <w:tcPr>
            <w:tcW w:w="62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 xml:space="preserve">5 </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366,237</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375,695</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386,850</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337,256</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Total Income</w:t>
            </w:r>
          </w:p>
        </w:tc>
        <w:tc>
          <w:tcPr>
            <w:tcW w:w="1106"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338,869</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355,444</w:t>
            </w:r>
          </w:p>
        </w:tc>
        <w:tc>
          <w:tcPr>
            <w:tcW w:w="62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 xml:space="preserve">5 </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366,237</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375,695</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386,850</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 xml:space="preserve">Expenses  </w:t>
            </w:r>
          </w:p>
        </w:tc>
        <w:tc>
          <w:tcPr>
            <w:tcW w:w="1106"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688</w:t>
            </w:r>
          </w:p>
        </w:tc>
        <w:tc>
          <w:tcPr>
            <w:tcW w:w="2392" w:type="dxa"/>
            <w:tcBorders>
              <w:top w:val="nil"/>
              <w:left w:val="nil"/>
              <w:bottom w:val="nil"/>
              <w:right w:val="nil"/>
            </w:tcBorders>
            <w:shd w:val="clear" w:color="000000" w:fill="FFFFFF"/>
            <w:hideMark/>
          </w:tcPr>
          <w:p w:rsidR="00BA7B95" w:rsidRDefault="00BA7B95" w:rsidP="00EB5C27">
            <w:pPr>
              <w:rPr>
                <w:sz w:val="18"/>
                <w:szCs w:val="18"/>
              </w:rPr>
            </w:pPr>
            <w:r>
              <w:rPr>
                <w:sz w:val="18"/>
                <w:szCs w:val="18"/>
              </w:rPr>
              <w:t>Employee Expenses</w:t>
            </w:r>
          </w:p>
        </w:tc>
        <w:tc>
          <w:tcPr>
            <w:tcW w:w="1106"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688</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688</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688</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697</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705</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150,809</w:t>
            </w:r>
          </w:p>
        </w:tc>
        <w:tc>
          <w:tcPr>
            <w:tcW w:w="2392" w:type="dxa"/>
            <w:tcBorders>
              <w:top w:val="nil"/>
              <w:left w:val="nil"/>
              <w:bottom w:val="nil"/>
              <w:right w:val="nil"/>
            </w:tcBorders>
            <w:shd w:val="clear" w:color="000000" w:fill="FFFFFF"/>
            <w:hideMark/>
          </w:tcPr>
          <w:p w:rsidR="00BA7B95" w:rsidRDefault="00BA7B95" w:rsidP="00EB5C27">
            <w:pPr>
              <w:rPr>
                <w:sz w:val="18"/>
                <w:szCs w:val="18"/>
              </w:rPr>
            </w:pPr>
            <w:r>
              <w:rPr>
                <w:sz w:val="18"/>
                <w:szCs w:val="18"/>
              </w:rPr>
              <w:t>Supplies and Services</w:t>
            </w:r>
          </w:p>
        </w:tc>
        <w:tc>
          <w:tcPr>
            <w:tcW w:w="1106"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150,809</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154,837</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157,317</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158,461</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160,965</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2,247</w:t>
            </w:r>
          </w:p>
        </w:tc>
        <w:tc>
          <w:tcPr>
            <w:tcW w:w="2392" w:type="dxa"/>
            <w:tcBorders>
              <w:top w:val="nil"/>
              <w:left w:val="nil"/>
              <w:bottom w:val="nil"/>
              <w:right w:val="nil"/>
            </w:tcBorders>
            <w:shd w:val="clear" w:color="000000" w:fill="FFFFFF"/>
            <w:hideMark/>
          </w:tcPr>
          <w:p w:rsidR="00BA7B95" w:rsidRDefault="00BA7B95" w:rsidP="00EB5C27">
            <w:pPr>
              <w:rPr>
                <w:sz w:val="18"/>
                <w:szCs w:val="18"/>
              </w:rPr>
            </w:pPr>
            <w:r>
              <w:rPr>
                <w:sz w:val="18"/>
                <w:szCs w:val="18"/>
              </w:rPr>
              <w:t xml:space="preserve">Depreciation and </w:t>
            </w:r>
            <w:r>
              <w:rPr>
                <w:sz w:val="18"/>
                <w:szCs w:val="18"/>
              </w:rPr>
              <w:br/>
              <w:t xml:space="preserve">   Amortisation</w:t>
            </w:r>
          </w:p>
        </w:tc>
        <w:tc>
          <w:tcPr>
            <w:tcW w:w="1106"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2,247</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2,310</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2,310</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2,310</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2,310</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1,164</w:t>
            </w:r>
          </w:p>
        </w:tc>
        <w:tc>
          <w:tcPr>
            <w:tcW w:w="2392" w:type="dxa"/>
            <w:tcBorders>
              <w:top w:val="nil"/>
              <w:left w:val="nil"/>
              <w:bottom w:val="nil"/>
              <w:right w:val="nil"/>
            </w:tcBorders>
            <w:shd w:val="clear" w:color="000000" w:fill="FFFFFF"/>
            <w:hideMark/>
          </w:tcPr>
          <w:p w:rsidR="00BA7B95" w:rsidRDefault="00BA7B95" w:rsidP="00EB5C27">
            <w:pPr>
              <w:rPr>
                <w:sz w:val="18"/>
                <w:szCs w:val="18"/>
              </w:rPr>
            </w:pPr>
            <w:r>
              <w:rPr>
                <w:sz w:val="18"/>
                <w:szCs w:val="18"/>
              </w:rPr>
              <w:t>Other Expenses</w:t>
            </w:r>
          </w:p>
        </w:tc>
        <w:tc>
          <w:tcPr>
            <w:tcW w:w="1106"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1,164</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1,164</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1,164</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1,164</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1,164</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184,909</w:t>
            </w:r>
          </w:p>
        </w:tc>
        <w:tc>
          <w:tcPr>
            <w:tcW w:w="2392" w:type="dxa"/>
            <w:tcBorders>
              <w:top w:val="nil"/>
              <w:left w:val="nil"/>
              <w:bottom w:val="nil"/>
              <w:right w:val="nil"/>
            </w:tcBorders>
            <w:shd w:val="clear" w:color="000000" w:fill="FFFFFF"/>
            <w:hideMark/>
          </w:tcPr>
          <w:p w:rsidR="00BA7B95" w:rsidRDefault="00BA7B95" w:rsidP="00EB5C27">
            <w:pPr>
              <w:rPr>
                <w:sz w:val="18"/>
                <w:szCs w:val="18"/>
              </w:rPr>
            </w:pPr>
            <w:r>
              <w:rPr>
                <w:sz w:val="18"/>
                <w:szCs w:val="18"/>
              </w:rPr>
              <w:t>Transfer Expenses</w:t>
            </w:r>
          </w:p>
        </w:tc>
        <w:tc>
          <w:tcPr>
            <w:tcW w:w="1106"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186,522</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199,069</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xml:space="preserve">7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207,382</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215,687</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224,330</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339,817</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Total Ordinary Expenses</w:t>
            </w:r>
          </w:p>
        </w:tc>
        <w:tc>
          <w:tcPr>
            <w:tcW w:w="1106"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341,430</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358,068</w:t>
            </w:r>
          </w:p>
        </w:tc>
        <w:tc>
          <w:tcPr>
            <w:tcW w:w="62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 xml:space="preserve">5 </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368,861</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378,319</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389,474</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A7B95" w:rsidRDefault="00BA7B95" w:rsidP="00EB5C27">
            <w:pPr>
              <w:rPr>
                <w:sz w:val="18"/>
                <w:szCs w:val="18"/>
              </w:rPr>
            </w:pPr>
            <w:r>
              <w:rPr>
                <w:sz w:val="18"/>
                <w:szCs w:val="18"/>
              </w:rPr>
              <w:t> </w:t>
            </w:r>
          </w:p>
        </w:tc>
        <w:tc>
          <w:tcPr>
            <w:tcW w:w="1106"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-2,561</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Operating Result</w:t>
            </w:r>
          </w:p>
        </w:tc>
        <w:tc>
          <w:tcPr>
            <w:tcW w:w="1106"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-2,561</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-2,624</w:t>
            </w:r>
          </w:p>
        </w:tc>
        <w:tc>
          <w:tcPr>
            <w:tcW w:w="62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 xml:space="preserve">-2 </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-2,624</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-2,624</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-2,624</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 </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-2,561</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Total Comprehensive</w:t>
            </w:r>
            <w:r>
              <w:rPr>
                <w:b/>
                <w:bCs/>
                <w:sz w:val="18"/>
                <w:szCs w:val="18"/>
              </w:rPr>
              <w:br/>
              <w:t xml:space="preserve">   Income</w:t>
            </w:r>
          </w:p>
        </w:tc>
        <w:tc>
          <w:tcPr>
            <w:tcW w:w="1106"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-2,561</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-2,624</w:t>
            </w:r>
          </w:p>
        </w:tc>
        <w:tc>
          <w:tcPr>
            <w:tcW w:w="62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 xml:space="preserve">-2 </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-2,624</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-2,624</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-2,624</w:t>
            </w:r>
          </w:p>
        </w:tc>
      </w:tr>
      <w:tr w:rsidR="00BA7B95" w:rsidTr="00EB5C27">
        <w:tc>
          <w:tcPr>
            <w:tcW w:w="1054" w:type="dxa"/>
            <w:tcBorders>
              <w:top w:val="nil"/>
              <w:left w:val="nil"/>
              <w:bottom w:val="single" w:sz="4" w:space="0" w:color="auto"/>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BA7B95" w:rsidRDefault="00BA7B95" w:rsidP="00EB5C27">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BA7B95" w:rsidRDefault="00BA7B95" w:rsidP="00EB5C27">
            <w:pPr>
              <w:ind w:left="-283"/>
              <w:jc w:val="right"/>
              <w:rPr>
                <w:sz w:val="18"/>
                <w:szCs w:val="18"/>
              </w:rPr>
            </w:pPr>
            <w:r>
              <w:rPr>
                <w:sz w:val="18"/>
                <w:szCs w:val="18"/>
              </w:rPr>
              <w:t> </w:t>
            </w:r>
          </w:p>
        </w:tc>
      </w:tr>
    </w:tbl>
    <w:p w:rsidR="00BA7B95" w:rsidRDefault="00BA7B95"/>
    <w:p w:rsidR="00BA7B95" w:rsidRDefault="00BA7B95">
      <w:r>
        <w:br w:type="page"/>
      </w:r>
    </w:p>
    <w:tbl>
      <w:tblPr>
        <w:tblW w:w="9356" w:type="dxa"/>
        <w:tblLook w:val="04A0"/>
      </w:tblPr>
      <w:tblGrid>
        <w:gridCol w:w="1054"/>
        <w:gridCol w:w="2392"/>
        <w:gridCol w:w="1106"/>
        <w:gridCol w:w="1054"/>
        <w:gridCol w:w="624"/>
        <w:gridCol w:w="1054"/>
        <w:gridCol w:w="1054"/>
        <w:gridCol w:w="1054"/>
      </w:tblGrid>
      <w:tr w:rsidR="00BA7B95" w:rsidTr="00EB5C27">
        <w:trPr>
          <w:tblHeader/>
        </w:trPr>
        <w:tc>
          <w:tcPr>
            <w:tcW w:w="9392" w:type="dxa"/>
            <w:gridSpan w:val="8"/>
            <w:tcBorders>
              <w:top w:val="nil"/>
              <w:left w:val="nil"/>
              <w:bottom w:val="nil"/>
              <w:right w:val="nil"/>
            </w:tcBorders>
            <w:shd w:val="clear" w:color="000000" w:fill="FFFFFF"/>
            <w:noWrap/>
            <w:vAlign w:val="bottom"/>
            <w:hideMark/>
          </w:tcPr>
          <w:p w:rsidR="00BA7B95" w:rsidRDefault="00BA7B95" w:rsidP="00EB5C27">
            <w:pPr>
              <w:jc w:val="center"/>
              <w:rPr>
                <w:rFonts w:ascii="Arial" w:hAnsi="Arial" w:cs="Arial"/>
                <w:b/>
                <w:bCs/>
                <w:szCs w:val="24"/>
              </w:rPr>
            </w:pPr>
            <w:bookmarkStart w:id="17" w:name="RANGE!A1:H38"/>
            <w:r>
              <w:rPr>
                <w:rFonts w:ascii="Arial" w:hAnsi="Arial" w:cs="Arial"/>
                <w:b/>
                <w:bCs/>
              </w:rPr>
              <w:lastRenderedPageBreak/>
              <w:t>Justice and Community Safety Directorate</w:t>
            </w:r>
            <w:bookmarkEnd w:id="17"/>
          </w:p>
        </w:tc>
      </w:tr>
      <w:tr w:rsidR="00BA7B95" w:rsidTr="00EB5C27">
        <w:trPr>
          <w:tblHeader/>
        </w:trPr>
        <w:tc>
          <w:tcPr>
            <w:tcW w:w="9392" w:type="dxa"/>
            <w:gridSpan w:val="8"/>
            <w:tcBorders>
              <w:top w:val="nil"/>
              <w:left w:val="nil"/>
              <w:bottom w:val="nil"/>
              <w:right w:val="nil"/>
            </w:tcBorders>
            <w:shd w:val="clear" w:color="000000" w:fill="FFFFFF"/>
            <w:noWrap/>
            <w:vAlign w:val="bottom"/>
            <w:hideMark/>
          </w:tcPr>
          <w:p w:rsidR="00BA7B95" w:rsidRDefault="00BA7B95" w:rsidP="00EB5C27">
            <w:pPr>
              <w:jc w:val="center"/>
              <w:rPr>
                <w:rFonts w:ascii="Arial" w:hAnsi="Arial" w:cs="Arial"/>
                <w:b/>
                <w:bCs/>
                <w:szCs w:val="24"/>
              </w:rPr>
            </w:pPr>
            <w:r>
              <w:rPr>
                <w:rFonts w:ascii="Arial" w:hAnsi="Arial" w:cs="Arial"/>
                <w:b/>
                <w:bCs/>
              </w:rPr>
              <w:t>Statement of Assets and Liabilities on Behalf of the Territory</w:t>
            </w:r>
          </w:p>
        </w:tc>
      </w:tr>
      <w:tr w:rsidR="00BA7B95" w:rsidTr="00EB5C27">
        <w:trPr>
          <w:tblHeader/>
        </w:trPr>
        <w:tc>
          <w:tcPr>
            <w:tcW w:w="1054" w:type="dxa"/>
            <w:tcBorders>
              <w:top w:val="single" w:sz="4" w:space="0" w:color="auto"/>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BA7B95" w:rsidRDefault="00BA7B95" w:rsidP="00EB5C27">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Estimate</w:t>
            </w:r>
          </w:p>
        </w:tc>
      </w:tr>
      <w:tr w:rsidR="00BA7B95" w:rsidTr="00EB5C27">
        <w:trPr>
          <w:tblHeader/>
        </w:trPr>
        <w:tc>
          <w:tcPr>
            <w:tcW w:w="1054" w:type="dxa"/>
            <w:tcBorders>
              <w:top w:val="nil"/>
              <w:left w:val="nil"/>
              <w:bottom w:val="nil"/>
              <w:right w:val="nil"/>
            </w:tcBorders>
            <w:shd w:val="clear" w:color="000000" w:fill="FFFFFF"/>
            <w:hideMark/>
          </w:tcPr>
          <w:p w:rsidR="00BA7B95" w:rsidRDefault="00BA7B95" w:rsidP="00EB5C27">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BA7B95" w:rsidRDefault="00BA7B95" w:rsidP="00EB5C27">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BA7B95" w:rsidRDefault="00BA7B95" w:rsidP="00EB5C27">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BA7B95" w:rsidRDefault="00BA7B95" w:rsidP="00EB5C27">
            <w:pPr>
              <w:ind w:left="-283"/>
              <w:jc w:val="right"/>
              <w:rPr>
                <w:b/>
                <w:bCs/>
                <w:sz w:val="16"/>
                <w:szCs w:val="16"/>
              </w:rPr>
            </w:pPr>
            <w:proofErr w:type="spellStart"/>
            <w:r>
              <w:rPr>
                <w:b/>
                <w:bCs/>
                <w:sz w:val="16"/>
                <w:szCs w:val="16"/>
              </w:rPr>
              <w:t>Var</w:t>
            </w:r>
            <w:proofErr w:type="spellEnd"/>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6"/>
                <w:szCs w:val="16"/>
              </w:rPr>
            </w:pPr>
            <w:r>
              <w:rPr>
                <w:b/>
                <w:bCs/>
                <w:sz w:val="16"/>
                <w:szCs w:val="16"/>
              </w:rPr>
              <w:t>as at 30/6/17</w:t>
            </w:r>
          </w:p>
        </w:tc>
      </w:tr>
      <w:tr w:rsidR="00BA7B95" w:rsidTr="00EB5C27">
        <w:trPr>
          <w:tblHeader/>
        </w:trPr>
        <w:tc>
          <w:tcPr>
            <w:tcW w:w="1054" w:type="dxa"/>
            <w:tcBorders>
              <w:top w:val="nil"/>
              <w:left w:val="nil"/>
              <w:bottom w:val="single" w:sz="4" w:space="0" w:color="auto"/>
              <w:right w:val="nil"/>
            </w:tcBorders>
            <w:shd w:val="clear" w:color="000000" w:fill="FFFFFF"/>
            <w:noWrap/>
            <w:hideMark/>
          </w:tcPr>
          <w:p w:rsidR="00BA7B95" w:rsidRDefault="00BA7B95" w:rsidP="00EB5C27">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BA7B95" w:rsidRDefault="00BA7B95" w:rsidP="00EB5C27">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BA7B95" w:rsidRDefault="00BA7B95" w:rsidP="00EB5C2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BA7B95" w:rsidRDefault="00BA7B95" w:rsidP="00EB5C27">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BA7B95" w:rsidRDefault="00BA7B95" w:rsidP="00EB5C27">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BA7B95" w:rsidRDefault="00BA7B95" w:rsidP="00EB5C2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BA7B95" w:rsidRDefault="00BA7B95" w:rsidP="00EB5C2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BA7B95" w:rsidRDefault="00BA7B95" w:rsidP="00EB5C27">
            <w:pPr>
              <w:ind w:left="-283"/>
              <w:jc w:val="right"/>
              <w:rPr>
                <w:b/>
                <w:bCs/>
                <w:sz w:val="18"/>
                <w:szCs w:val="18"/>
              </w:rPr>
            </w:pPr>
            <w:r>
              <w:rPr>
                <w:b/>
                <w:bCs/>
                <w:sz w:val="18"/>
                <w:szCs w:val="18"/>
              </w:rPr>
              <w:t>$'000</w:t>
            </w:r>
          </w:p>
        </w:tc>
      </w:tr>
      <w:tr w:rsidR="00BA7B95" w:rsidTr="00EB5C27">
        <w:trPr>
          <w:tblHeader/>
        </w:trPr>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A7B95" w:rsidRDefault="00BA7B95" w:rsidP="00EB5C2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i/>
                <w:iCs/>
                <w:sz w:val="18"/>
                <w:szCs w:val="18"/>
              </w:rPr>
            </w:pPr>
            <w:r>
              <w:rPr>
                <w:i/>
                <w:iCs/>
                <w:sz w:val="18"/>
                <w:szCs w:val="18"/>
              </w:rPr>
              <w:t> </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i/>
                <w:iCs/>
                <w:sz w:val="18"/>
                <w:szCs w:val="18"/>
              </w:rPr>
            </w:pPr>
            <w:r>
              <w:rPr>
                <w:i/>
                <w:iCs/>
                <w:sz w:val="18"/>
                <w:szCs w:val="18"/>
              </w:rPr>
              <w:t> </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Current Assets</w:t>
            </w:r>
          </w:p>
        </w:tc>
        <w:tc>
          <w:tcPr>
            <w:tcW w:w="1106"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 </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1,082</w:t>
            </w:r>
          </w:p>
        </w:tc>
        <w:tc>
          <w:tcPr>
            <w:tcW w:w="2392" w:type="dxa"/>
            <w:tcBorders>
              <w:top w:val="nil"/>
              <w:left w:val="nil"/>
              <w:bottom w:val="nil"/>
              <w:right w:val="nil"/>
            </w:tcBorders>
            <w:shd w:val="clear" w:color="000000" w:fill="FFFFFF"/>
            <w:hideMark/>
          </w:tcPr>
          <w:p w:rsidR="00BA7B95" w:rsidRDefault="00BA7B95" w:rsidP="00EB5C27">
            <w:pPr>
              <w:rPr>
                <w:sz w:val="18"/>
                <w:szCs w:val="18"/>
              </w:rPr>
            </w:pPr>
            <w:r>
              <w:rPr>
                <w:sz w:val="18"/>
                <w:szCs w:val="18"/>
              </w:rPr>
              <w:t>Cash and Cash Equivalents</w:t>
            </w:r>
          </w:p>
        </w:tc>
        <w:tc>
          <w:tcPr>
            <w:tcW w:w="1106"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1,128</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1,128</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1,128</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1,128</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1,128</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8,475</w:t>
            </w:r>
          </w:p>
        </w:tc>
        <w:tc>
          <w:tcPr>
            <w:tcW w:w="2392" w:type="dxa"/>
            <w:tcBorders>
              <w:top w:val="nil"/>
              <w:left w:val="nil"/>
              <w:bottom w:val="nil"/>
              <w:right w:val="nil"/>
            </w:tcBorders>
            <w:shd w:val="clear" w:color="000000" w:fill="FFFFFF"/>
            <w:hideMark/>
          </w:tcPr>
          <w:p w:rsidR="00BA7B95" w:rsidRDefault="00BA7B95" w:rsidP="00EB5C27">
            <w:pPr>
              <w:rPr>
                <w:sz w:val="18"/>
                <w:szCs w:val="18"/>
              </w:rPr>
            </w:pPr>
            <w:r>
              <w:rPr>
                <w:sz w:val="18"/>
                <w:szCs w:val="18"/>
              </w:rPr>
              <w:t>Receivables</w:t>
            </w:r>
          </w:p>
        </w:tc>
        <w:tc>
          <w:tcPr>
            <w:tcW w:w="1106"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9,308</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9,000</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8,692</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8,384</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8,076</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A7B95" w:rsidRDefault="00BA7B95" w:rsidP="00EB5C27">
            <w:pPr>
              <w:rPr>
                <w:sz w:val="18"/>
                <w:szCs w:val="18"/>
              </w:rPr>
            </w:pPr>
            <w:r>
              <w:rPr>
                <w:sz w:val="18"/>
                <w:szCs w:val="18"/>
              </w:rPr>
              <w:t> </w:t>
            </w:r>
          </w:p>
        </w:tc>
        <w:tc>
          <w:tcPr>
            <w:tcW w:w="1106"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9,557</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Total Current Assets</w:t>
            </w:r>
          </w:p>
        </w:tc>
        <w:tc>
          <w:tcPr>
            <w:tcW w:w="1106"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10,436</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10,128</w:t>
            </w:r>
          </w:p>
        </w:tc>
        <w:tc>
          <w:tcPr>
            <w:tcW w:w="62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9,820</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9,512</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9,204</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Non Current Assets</w:t>
            </w:r>
          </w:p>
        </w:tc>
        <w:tc>
          <w:tcPr>
            <w:tcW w:w="1106"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83,828</w:t>
            </w:r>
          </w:p>
        </w:tc>
        <w:tc>
          <w:tcPr>
            <w:tcW w:w="2392" w:type="dxa"/>
            <w:tcBorders>
              <w:top w:val="nil"/>
              <w:left w:val="nil"/>
              <w:bottom w:val="nil"/>
              <w:right w:val="nil"/>
            </w:tcBorders>
            <w:shd w:val="clear" w:color="000000" w:fill="FFFFFF"/>
            <w:hideMark/>
          </w:tcPr>
          <w:p w:rsidR="00BA7B95" w:rsidRDefault="00BA7B95" w:rsidP="00EB5C27">
            <w:pPr>
              <w:rPr>
                <w:sz w:val="18"/>
                <w:szCs w:val="18"/>
              </w:rPr>
            </w:pPr>
            <w:r>
              <w:rPr>
                <w:sz w:val="18"/>
                <w:szCs w:val="18"/>
              </w:rPr>
              <w:t>Property, Plant and</w:t>
            </w:r>
            <w:r>
              <w:rPr>
                <w:sz w:val="18"/>
                <w:szCs w:val="18"/>
              </w:rPr>
              <w:br/>
              <w:t xml:space="preserve">   Equipment</w:t>
            </w:r>
          </w:p>
        </w:tc>
        <w:tc>
          <w:tcPr>
            <w:tcW w:w="1106"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81,547</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79,541</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77,477</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75,419</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73,367</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A7B95" w:rsidRDefault="00BA7B95" w:rsidP="00EB5C27">
            <w:pPr>
              <w:rPr>
                <w:sz w:val="18"/>
                <w:szCs w:val="18"/>
              </w:rPr>
            </w:pPr>
            <w:r>
              <w:rPr>
                <w:sz w:val="18"/>
                <w:szCs w:val="18"/>
              </w:rPr>
              <w:t> </w:t>
            </w:r>
          </w:p>
        </w:tc>
        <w:tc>
          <w:tcPr>
            <w:tcW w:w="1106"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83,828</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Total Non Current Assets</w:t>
            </w:r>
          </w:p>
        </w:tc>
        <w:tc>
          <w:tcPr>
            <w:tcW w:w="1106"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81,547</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79,541</w:t>
            </w:r>
          </w:p>
        </w:tc>
        <w:tc>
          <w:tcPr>
            <w:tcW w:w="62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 xml:space="preserve">-2 </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77,477</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75,419</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73,367</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A7B95" w:rsidRDefault="00BA7B95" w:rsidP="00EB5C27">
            <w:pPr>
              <w:rPr>
                <w:sz w:val="18"/>
                <w:szCs w:val="18"/>
              </w:rPr>
            </w:pPr>
            <w:r>
              <w:rPr>
                <w:sz w:val="18"/>
                <w:szCs w:val="18"/>
              </w:rPr>
              <w:t> </w:t>
            </w:r>
          </w:p>
        </w:tc>
        <w:tc>
          <w:tcPr>
            <w:tcW w:w="1106"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93,385</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TOTAL ASSETS</w:t>
            </w:r>
          </w:p>
        </w:tc>
        <w:tc>
          <w:tcPr>
            <w:tcW w:w="1106"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91,983</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89,669</w:t>
            </w:r>
          </w:p>
        </w:tc>
        <w:tc>
          <w:tcPr>
            <w:tcW w:w="62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87,297</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84,931</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82,571</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Current Liabilities</w:t>
            </w:r>
          </w:p>
        </w:tc>
        <w:tc>
          <w:tcPr>
            <w:tcW w:w="1106"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 </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931</w:t>
            </w:r>
          </w:p>
        </w:tc>
        <w:tc>
          <w:tcPr>
            <w:tcW w:w="2392" w:type="dxa"/>
            <w:tcBorders>
              <w:top w:val="nil"/>
              <w:left w:val="nil"/>
              <w:bottom w:val="nil"/>
              <w:right w:val="nil"/>
            </w:tcBorders>
            <w:shd w:val="clear" w:color="000000" w:fill="FFFFFF"/>
            <w:hideMark/>
          </w:tcPr>
          <w:p w:rsidR="00BA7B95" w:rsidRDefault="00BA7B95" w:rsidP="00EB5C27">
            <w:pPr>
              <w:rPr>
                <w:sz w:val="18"/>
                <w:szCs w:val="18"/>
              </w:rPr>
            </w:pPr>
            <w:r>
              <w:rPr>
                <w:sz w:val="18"/>
                <w:szCs w:val="18"/>
              </w:rPr>
              <w:t>Payables</w:t>
            </w:r>
          </w:p>
        </w:tc>
        <w:tc>
          <w:tcPr>
            <w:tcW w:w="1106"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906</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912</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918</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924</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930</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10</w:t>
            </w:r>
          </w:p>
        </w:tc>
        <w:tc>
          <w:tcPr>
            <w:tcW w:w="2392" w:type="dxa"/>
            <w:tcBorders>
              <w:top w:val="nil"/>
              <w:left w:val="nil"/>
              <w:bottom w:val="nil"/>
              <w:right w:val="nil"/>
            </w:tcBorders>
            <w:shd w:val="clear" w:color="000000" w:fill="FFFFFF"/>
            <w:hideMark/>
          </w:tcPr>
          <w:p w:rsidR="00BA7B95" w:rsidRDefault="00BA7B95" w:rsidP="00EB5C27">
            <w:pPr>
              <w:rPr>
                <w:sz w:val="18"/>
                <w:szCs w:val="18"/>
              </w:rPr>
            </w:pPr>
            <w:r>
              <w:rPr>
                <w:sz w:val="18"/>
                <w:szCs w:val="18"/>
              </w:rPr>
              <w:t>Employee Benefits</w:t>
            </w:r>
          </w:p>
        </w:tc>
        <w:tc>
          <w:tcPr>
            <w:tcW w:w="1106"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19</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19</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19</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19</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19</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9,702</w:t>
            </w:r>
          </w:p>
        </w:tc>
        <w:tc>
          <w:tcPr>
            <w:tcW w:w="2392" w:type="dxa"/>
            <w:tcBorders>
              <w:top w:val="nil"/>
              <w:left w:val="nil"/>
              <w:bottom w:val="nil"/>
              <w:right w:val="nil"/>
            </w:tcBorders>
            <w:shd w:val="clear" w:color="000000" w:fill="FFFFFF"/>
            <w:hideMark/>
          </w:tcPr>
          <w:p w:rsidR="00BA7B95" w:rsidRDefault="00BA7B95" w:rsidP="00EB5C27">
            <w:pPr>
              <w:rPr>
                <w:sz w:val="18"/>
                <w:szCs w:val="18"/>
              </w:rPr>
            </w:pPr>
            <w:r>
              <w:rPr>
                <w:sz w:val="18"/>
                <w:szCs w:val="18"/>
              </w:rPr>
              <w:t>Other Liabilities</w:t>
            </w:r>
          </w:p>
        </w:tc>
        <w:tc>
          <w:tcPr>
            <w:tcW w:w="1106"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10,697</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10,697</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10,697</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10,697</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10,697</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A7B95" w:rsidRDefault="00BA7B95" w:rsidP="00EB5C27">
            <w:pPr>
              <w:rPr>
                <w:sz w:val="18"/>
                <w:szCs w:val="18"/>
              </w:rPr>
            </w:pPr>
            <w:r>
              <w:rPr>
                <w:sz w:val="18"/>
                <w:szCs w:val="18"/>
              </w:rPr>
              <w:t> </w:t>
            </w:r>
          </w:p>
        </w:tc>
        <w:tc>
          <w:tcPr>
            <w:tcW w:w="1106"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10,643</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Total Current Liabilities</w:t>
            </w:r>
          </w:p>
        </w:tc>
        <w:tc>
          <w:tcPr>
            <w:tcW w:w="1106"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11,622</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11,628</w:t>
            </w:r>
          </w:p>
        </w:tc>
        <w:tc>
          <w:tcPr>
            <w:tcW w:w="62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11,634</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11,640</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11,646</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A7B95" w:rsidRDefault="00BA7B95" w:rsidP="00EB5C27">
            <w:pPr>
              <w:rPr>
                <w:sz w:val="18"/>
                <w:szCs w:val="18"/>
              </w:rPr>
            </w:pPr>
            <w:r>
              <w:rPr>
                <w:sz w:val="18"/>
                <w:szCs w:val="18"/>
              </w:rPr>
              <w:t> </w:t>
            </w:r>
          </w:p>
        </w:tc>
        <w:tc>
          <w:tcPr>
            <w:tcW w:w="1106"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10,643</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TOTAL LIABILITIES</w:t>
            </w:r>
          </w:p>
        </w:tc>
        <w:tc>
          <w:tcPr>
            <w:tcW w:w="1106"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11,622</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11,628</w:t>
            </w:r>
          </w:p>
        </w:tc>
        <w:tc>
          <w:tcPr>
            <w:tcW w:w="62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11,634</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11,640</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11,646</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A7B95" w:rsidRDefault="00BA7B95" w:rsidP="00EB5C27">
            <w:pPr>
              <w:rPr>
                <w:sz w:val="18"/>
                <w:szCs w:val="18"/>
              </w:rPr>
            </w:pPr>
            <w:r>
              <w:rPr>
                <w:sz w:val="18"/>
                <w:szCs w:val="18"/>
              </w:rPr>
              <w:t> </w:t>
            </w:r>
          </w:p>
        </w:tc>
        <w:tc>
          <w:tcPr>
            <w:tcW w:w="1106"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82,742</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NET ASSETS</w:t>
            </w:r>
          </w:p>
        </w:tc>
        <w:tc>
          <w:tcPr>
            <w:tcW w:w="1106"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80,361</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78,041</w:t>
            </w:r>
          </w:p>
        </w:tc>
        <w:tc>
          <w:tcPr>
            <w:tcW w:w="62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75,663</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73,291</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70,925</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BA7B95" w:rsidRDefault="00BA7B95" w:rsidP="00EB5C27">
            <w:pPr>
              <w:rPr>
                <w:sz w:val="18"/>
                <w:szCs w:val="18"/>
              </w:rPr>
            </w:pPr>
            <w:r>
              <w:rPr>
                <w:b/>
                <w:bCs/>
                <w:sz w:val="18"/>
                <w:szCs w:val="18"/>
              </w:rPr>
              <w:t>REPRESENTED BY FUNDS EMPLOYED</w:t>
            </w:r>
            <w:r>
              <w:rPr>
                <w:sz w:val="18"/>
                <w:szCs w:val="18"/>
              </w:rPr>
              <w:t xml:space="preserve">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59,494</w:t>
            </w:r>
          </w:p>
        </w:tc>
        <w:tc>
          <w:tcPr>
            <w:tcW w:w="2392" w:type="dxa"/>
            <w:tcBorders>
              <w:top w:val="nil"/>
              <w:left w:val="nil"/>
              <w:bottom w:val="nil"/>
              <w:right w:val="nil"/>
            </w:tcBorders>
            <w:shd w:val="clear" w:color="000000" w:fill="FFFFFF"/>
            <w:hideMark/>
          </w:tcPr>
          <w:p w:rsidR="00BA7B95" w:rsidRDefault="00BA7B95" w:rsidP="00EB5C27">
            <w:pPr>
              <w:rPr>
                <w:sz w:val="18"/>
                <w:szCs w:val="18"/>
              </w:rPr>
            </w:pPr>
            <w:r>
              <w:rPr>
                <w:sz w:val="18"/>
                <w:szCs w:val="18"/>
              </w:rPr>
              <w:t>Accumulated Funds</w:t>
            </w:r>
          </w:p>
        </w:tc>
        <w:tc>
          <w:tcPr>
            <w:tcW w:w="1106"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59,334</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57,014</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xml:space="preserve">-4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54,636</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52,264</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49,898</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23,248</w:t>
            </w:r>
          </w:p>
        </w:tc>
        <w:tc>
          <w:tcPr>
            <w:tcW w:w="2392" w:type="dxa"/>
            <w:tcBorders>
              <w:top w:val="nil"/>
              <w:left w:val="nil"/>
              <w:bottom w:val="nil"/>
              <w:right w:val="nil"/>
            </w:tcBorders>
            <w:shd w:val="clear" w:color="000000" w:fill="FFFFFF"/>
            <w:hideMark/>
          </w:tcPr>
          <w:p w:rsidR="00BA7B95" w:rsidRDefault="00BA7B95" w:rsidP="00EB5C27">
            <w:pPr>
              <w:rPr>
                <w:sz w:val="18"/>
                <w:szCs w:val="18"/>
              </w:rPr>
            </w:pPr>
            <w:r>
              <w:rPr>
                <w:sz w:val="18"/>
                <w:szCs w:val="18"/>
              </w:rPr>
              <w:t>Reserves</w:t>
            </w:r>
          </w:p>
        </w:tc>
        <w:tc>
          <w:tcPr>
            <w:tcW w:w="1106"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21,028</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21,028</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21,028</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21,028</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21,028</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A7B95" w:rsidRDefault="00BA7B95" w:rsidP="00EB5C27">
            <w:pPr>
              <w:ind w:left="-283"/>
              <w:jc w:val="right"/>
              <w:rPr>
                <w:sz w:val="18"/>
                <w:szCs w:val="18"/>
              </w:rPr>
            </w:pPr>
            <w:r>
              <w:rPr>
                <w:sz w:val="18"/>
                <w:szCs w:val="18"/>
              </w:rPr>
              <w:t> </w:t>
            </w:r>
          </w:p>
        </w:tc>
      </w:tr>
      <w:tr w:rsidR="00BA7B95" w:rsidTr="00EB5C27">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82,742</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TOTAL FUNDS EMPLOYED</w:t>
            </w:r>
          </w:p>
        </w:tc>
        <w:tc>
          <w:tcPr>
            <w:tcW w:w="1106"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80,362</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78,042</w:t>
            </w:r>
          </w:p>
        </w:tc>
        <w:tc>
          <w:tcPr>
            <w:tcW w:w="62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75,664</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73,292</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70,926</w:t>
            </w:r>
          </w:p>
        </w:tc>
      </w:tr>
      <w:tr w:rsidR="00BA7B95" w:rsidTr="00EB5C27">
        <w:tc>
          <w:tcPr>
            <w:tcW w:w="1054" w:type="dxa"/>
            <w:tcBorders>
              <w:top w:val="nil"/>
              <w:left w:val="nil"/>
              <w:bottom w:val="single" w:sz="4" w:space="0" w:color="auto"/>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BA7B95" w:rsidRDefault="00BA7B95" w:rsidP="00EB5C27">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BA7B95" w:rsidRDefault="00BA7B95" w:rsidP="00EB5C27">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BA7B95" w:rsidRDefault="00BA7B95" w:rsidP="00EB5C27">
            <w:pPr>
              <w:ind w:left="-283"/>
              <w:jc w:val="right"/>
              <w:rPr>
                <w:sz w:val="18"/>
                <w:szCs w:val="18"/>
              </w:rPr>
            </w:pPr>
            <w:r>
              <w:rPr>
                <w:sz w:val="18"/>
                <w:szCs w:val="18"/>
              </w:rPr>
              <w:t> </w:t>
            </w:r>
          </w:p>
        </w:tc>
      </w:tr>
    </w:tbl>
    <w:p w:rsidR="00BA7B95" w:rsidRDefault="00BA7B95"/>
    <w:p w:rsidR="00BA7B95" w:rsidRDefault="00BA7B95">
      <w:r>
        <w:br w:type="page"/>
      </w:r>
    </w:p>
    <w:tbl>
      <w:tblPr>
        <w:tblW w:w="9356" w:type="dxa"/>
        <w:tblLook w:val="04A0"/>
      </w:tblPr>
      <w:tblGrid>
        <w:gridCol w:w="1054"/>
        <w:gridCol w:w="2392"/>
        <w:gridCol w:w="1106"/>
        <w:gridCol w:w="1054"/>
        <w:gridCol w:w="624"/>
        <w:gridCol w:w="1054"/>
        <w:gridCol w:w="1054"/>
        <w:gridCol w:w="1054"/>
      </w:tblGrid>
      <w:tr w:rsidR="00BA7B95" w:rsidTr="00EB5C27">
        <w:trPr>
          <w:tblHeader/>
        </w:trPr>
        <w:tc>
          <w:tcPr>
            <w:tcW w:w="9392" w:type="dxa"/>
            <w:gridSpan w:val="8"/>
            <w:tcBorders>
              <w:top w:val="nil"/>
              <w:left w:val="nil"/>
              <w:bottom w:val="nil"/>
              <w:right w:val="nil"/>
            </w:tcBorders>
            <w:shd w:val="clear" w:color="000000" w:fill="FFFFFF"/>
            <w:noWrap/>
            <w:vAlign w:val="bottom"/>
            <w:hideMark/>
          </w:tcPr>
          <w:p w:rsidR="00BA7B95" w:rsidRDefault="00BA7B95" w:rsidP="00EB5C27">
            <w:pPr>
              <w:jc w:val="center"/>
              <w:rPr>
                <w:rFonts w:ascii="Arial" w:hAnsi="Arial" w:cs="Arial"/>
                <w:b/>
                <w:bCs/>
                <w:szCs w:val="24"/>
              </w:rPr>
            </w:pPr>
            <w:r>
              <w:rPr>
                <w:rFonts w:ascii="Arial" w:hAnsi="Arial" w:cs="Arial"/>
                <w:b/>
                <w:bCs/>
              </w:rPr>
              <w:lastRenderedPageBreak/>
              <w:t>Justice and Community Safety Directorate</w:t>
            </w:r>
          </w:p>
        </w:tc>
      </w:tr>
      <w:tr w:rsidR="00BA7B95" w:rsidTr="00EB5C27">
        <w:trPr>
          <w:tblHeader/>
        </w:trPr>
        <w:tc>
          <w:tcPr>
            <w:tcW w:w="9392" w:type="dxa"/>
            <w:gridSpan w:val="8"/>
            <w:tcBorders>
              <w:top w:val="nil"/>
              <w:left w:val="nil"/>
              <w:bottom w:val="nil"/>
              <w:right w:val="nil"/>
            </w:tcBorders>
            <w:shd w:val="clear" w:color="000000" w:fill="FFFFFF"/>
            <w:noWrap/>
            <w:vAlign w:val="bottom"/>
            <w:hideMark/>
          </w:tcPr>
          <w:p w:rsidR="00BA7B95" w:rsidRDefault="00BA7B95" w:rsidP="00EB5C27">
            <w:pPr>
              <w:jc w:val="center"/>
              <w:rPr>
                <w:rFonts w:ascii="Arial" w:hAnsi="Arial" w:cs="Arial"/>
                <w:b/>
                <w:bCs/>
                <w:szCs w:val="24"/>
              </w:rPr>
            </w:pPr>
            <w:r>
              <w:rPr>
                <w:rFonts w:ascii="Arial" w:hAnsi="Arial" w:cs="Arial"/>
                <w:b/>
                <w:bCs/>
              </w:rPr>
              <w:t>Statement of Changes in Equity on Behalf of the Territory</w:t>
            </w:r>
          </w:p>
        </w:tc>
      </w:tr>
      <w:tr w:rsidR="00BA7B95" w:rsidTr="00EB5C27">
        <w:trPr>
          <w:tblHeader/>
        </w:trPr>
        <w:tc>
          <w:tcPr>
            <w:tcW w:w="1054" w:type="dxa"/>
            <w:tcBorders>
              <w:top w:val="single" w:sz="4" w:space="0" w:color="auto"/>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BA7B95" w:rsidRDefault="00BA7B95" w:rsidP="00EB5C27">
            <w:pPr>
              <w:rPr>
                <w:b/>
                <w:bCs/>
                <w:sz w:val="18"/>
                <w:szCs w:val="18"/>
              </w:rPr>
            </w:pPr>
            <w:r>
              <w:rPr>
                <w:b/>
                <w:bCs/>
                <w:sz w:val="18"/>
                <w:szCs w:val="18"/>
              </w:rPr>
              <w:t xml:space="preserve"> </w:t>
            </w:r>
          </w:p>
        </w:tc>
        <w:tc>
          <w:tcPr>
            <w:tcW w:w="1106" w:type="dxa"/>
            <w:tcBorders>
              <w:top w:val="single" w:sz="4" w:space="0" w:color="auto"/>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Estimate</w:t>
            </w:r>
          </w:p>
        </w:tc>
      </w:tr>
      <w:tr w:rsidR="00BA7B95" w:rsidTr="00EB5C27">
        <w:trPr>
          <w:tblHeader/>
        </w:trPr>
        <w:tc>
          <w:tcPr>
            <w:tcW w:w="1054" w:type="dxa"/>
            <w:tcBorders>
              <w:top w:val="nil"/>
              <w:left w:val="nil"/>
              <w:bottom w:val="nil"/>
              <w:right w:val="nil"/>
            </w:tcBorders>
            <w:shd w:val="clear" w:color="000000" w:fill="FFFFFF"/>
            <w:hideMark/>
          </w:tcPr>
          <w:p w:rsidR="00BA7B95" w:rsidRDefault="00BA7B95" w:rsidP="00EB5C27">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BA7B95" w:rsidRDefault="00BA7B95" w:rsidP="00EB5C27">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BA7B95" w:rsidRDefault="00BA7B95" w:rsidP="00EB5C27">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BA7B95" w:rsidRDefault="00BA7B95" w:rsidP="00EB5C27">
            <w:pPr>
              <w:ind w:left="-283"/>
              <w:jc w:val="right"/>
              <w:rPr>
                <w:b/>
                <w:bCs/>
                <w:sz w:val="16"/>
                <w:szCs w:val="16"/>
              </w:rPr>
            </w:pPr>
            <w:proofErr w:type="spellStart"/>
            <w:r>
              <w:rPr>
                <w:b/>
                <w:bCs/>
                <w:sz w:val="16"/>
                <w:szCs w:val="16"/>
              </w:rPr>
              <w:t>Var</w:t>
            </w:r>
            <w:proofErr w:type="spellEnd"/>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6"/>
                <w:szCs w:val="16"/>
              </w:rPr>
            </w:pPr>
            <w:r>
              <w:rPr>
                <w:b/>
                <w:bCs/>
                <w:sz w:val="16"/>
                <w:szCs w:val="16"/>
              </w:rPr>
              <w:t>as at 30/6/17</w:t>
            </w:r>
          </w:p>
        </w:tc>
      </w:tr>
      <w:tr w:rsidR="00BA7B95" w:rsidTr="00EB5C27">
        <w:trPr>
          <w:tblHeader/>
        </w:trPr>
        <w:tc>
          <w:tcPr>
            <w:tcW w:w="1054" w:type="dxa"/>
            <w:tcBorders>
              <w:top w:val="nil"/>
              <w:left w:val="nil"/>
              <w:bottom w:val="single" w:sz="4" w:space="0" w:color="auto"/>
              <w:right w:val="nil"/>
            </w:tcBorders>
            <w:shd w:val="clear" w:color="000000" w:fill="FFFFFF"/>
            <w:noWrap/>
            <w:hideMark/>
          </w:tcPr>
          <w:p w:rsidR="00BA7B95" w:rsidRDefault="00BA7B95" w:rsidP="00EB5C27">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BA7B95" w:rsidRDefault="00BA7B95" w:rsidP="00EB5C27">
            <w:pPr>
              <w:rPr>
                <w:sz w:val="18"/>
                <w:szCs w:val="18"/>
              </w:rPr>
            </w:pPr>
            <w:r>
              <w:rPr>
                <w:sz w:val="18"/>
                <w:szCs w:val="18"/>
              </w:rPr>
              <w:t xml:space="preserve"> </w:t>
            </w:r>
          </w:p>
        </w:tc>
        <w:tc>
          <w:tcPr>
            <w:tcW w:w="1106" w:type="dxa"/>
            <w:tcBorders>
              <w:top w:val="nil"/>
              <w:left w:val="nil"/>
              <w:bottom w:val="single" w:sz="4" w:space="0" w:color="auto"/>
              <w:right w:val="nil"/>
            </w:tcBorders>
            <w:shd w:val="clear" w:color="000000" w:fill="FFFFFF"/>
            <w:noWrap/>
            <w:hideMark/>
          </w:tcPr>
          <w:p w:rsidR="00BA7B95" w:rsidRDefault="00BA7B95" w:rsidP="00EB5C2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BA7B95" w:rsidRDefault="00BA7B95" w:rsidP="00EB5C27">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BA7B95" w:rsidRDefault="00BA7B95" w:rsidP="00EB5C27">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BA7B95" w:rsidRDefault="00BA7B95" w:rsidP="00EB5C2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BA7B95" w:rsidRDefault="00BA7B95" w:rsidP="00EB5C2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BA7B95" w:rsidRDefault="00BA7B95" w:rsidP="00EB5C27">
            <w:pPr>
              <w:ind w:left="-283"/>
              <w:jc w:val="right"/>
              <w:rPr>
                <w:b/>
                <w:bCs/>
                <w:sz w:val="18"/>
                <w:szCs w:val="18"/>
              </w:rPr>
            </w:pPr>
            <w:r>
              <w:rPr>
                <w:b/>
                <w:bCs/>
                <w:sz w:val="18"/>
                <w:szCs w:val="18"/>
              </w:rPr>
              <w:t>$'000</w:t>
            </w:r>
          </w:p>
        </w:tc>
      </w:tr>
      <w:tr w:rsidR="00BA7B95" w:rsidTr="00EB5C27">
        <w:trPr>
          <w:tblHeader/>
        </w:trPr>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A7B95" w:rsidRDefault="00BA7B95" w:rsidP="00EB5C2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r>
      <w:tr w:rsidR="00BA7B95" w:rsidTr="00EB5C27">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A7B95" w:rsidRDefault="00BA7B95" w:rsidP="00EB5C27">
            <w:pPr>
              <w:rPr>
                <w:b/>
                <w:bCs/>
                <w:sz w:val="18"/>
                <w:szCs w:val="18"/>
              </w:rPr>
            </w:pPr>
            <w:r>
              <w:rPr>
                <w:b/>
                <w:bCs/>
                <w:sz w:val="18"/>
                <w:szCs w:val="18"/>
              </w:rPr>
              <w:t>Opening Equity</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r>
      <w:tr w:rsidR="00BA7B95" w:rsidTr="00EB5C27">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A7B95" w:rsidRDefault="00BA7B95" w:rsidP="00EB5C2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r>
      <w:tr w:rsidR="00BA7B95" w:rsidTr="00EB5C27">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60,721</w:t>
            </w:r>
          </w:p>
        </w:tc>
        <w:tc>
          <w:tcPr>
            <w:tcW w:w="2392" w:type="dxa"/>
            <w:tcBorders>
              <w:top w:val="nil"/>
              <w:left w:val="nil"/>
              <w:bottom w:val="nil"/>
              <w:right w:val="nil"/>
            </w:tcBorders>
            <w:shd w:val="clear" w:color="000000" w:fill="FFFFFF"/>
            <w:noWrap/>
            <w:hideMark/>
          </w:tcPr>
          <w:p w:rsidR="00BA7B95" w:rsidRDefault="00BA7B95" w:rsidP="00EB5C27">
            <w:pPr>
              <w:rPr>
                <w:sz w:val="18"/>
                <w:szCs w:val="18"/>
              </w:rPr>
            </w:pPr>
            <w:r>
              <w:rPr>
                <w:sz w:val="18"/>
                <w:szCs w:val="18"/>
              </w:rPr>
              <w:t>Opening Accumulated Funds</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60,907</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59,334</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57,014</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54,636</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52,264</w:t>
            </w:r>
          </w:p>
        </w:tc>
      </w:tr>
      <w:tr w:rsidR="00BA7B95" w:rsidTr="00EB5C27">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23,248</w:t>
            </w:r>
          </w:p>
        </w:tc>
        <w:tc>
          <w:tcPr>
            <w:tcW w:w="2392" w:type="dxa"/>
            <w:tcBorders>
              <w:top w:val="nil"/>
              <w:left w:val="nil"/>
              <w:bottom w:val="nil"/>
              <w:right w:val="nil"/>
            </w:tcBorders>
            <w:shd w:val="clear" w:color="000000" w:fill="FFFFFF"/>
            <w:hideMark/>
          </w:tcPr>
          <w:p w:rsidR="00BA7B95" w:rsidRDefault="00BA7B95" w:rsidP="00EB5C27">
            <w:pPr>
              <w:rPr>
                <w:sz w:val="18"/>
                <w:szCs w:val="18"/>
              </w:rPr>
            </w:pPr>
            <w:r>
              <w:rPr>
                <w:sz w:val="18"/>
                <w:szCs w:val="18"/>
              </w:rPr>
              <w:t>Opening Asset Revaluation</w:t>
            </w:r>
            <w:r>
              <w:rPr>
                <w:sz w:val="18"/>
                <w:szCs w:val="18"/>
              </w:rPr>
              <w:br/>
              <w:t xml:space="preserve">   Reserve</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21,028</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21,028</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21,028</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21,028</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21,028</w:t>
            </w:r>
          </w:p>
        </w:tc>
      </w:tr>
      <w:tr w:rsidR="00BA7B95" w:rsidTr="00EB5C27">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A7B95" w:rsidRDefault="00BA7B95" w:rsidP="00EB5C2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r>
      <w:tr w:rsidR="00BA7B95" w:rsidTr="00EB5C27">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83,969</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Balance at the Start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81,935</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80,362</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xml:space="preserve">-2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78,042</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75,664</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73,292</w:t>
            </w:r>
          </w:p>
        </w:tc>
      </w:tr>
      <w:tr w:rsidR="00BA7B95" w:rsidTr="00EB5C27">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BA7B95" w:rsidRDefault="00BA7B95" w:rsidP="00EB5C2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r>
      <w:tr w:rsidR="00BA7B95" w:rsidTr="00EB5C27">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A7B95" w:rsidRDefault="00BA7B95" w:rsidP="00EB5C27">
            <w:pPr>
              <w:rPr>
                <w:b/>
                <w:bCs/>
                <w:sz w:val="18"/>
                <w:szCs w:val="18"/>
              </w:rPr>
            </w:pPr>
            <w:r>
              <w:rPr>
                <w:b/>
                <w:bCs/>
                <w:sz w:val="18"/>
                <w:szCs w:val="18"/>
              </w:rPr>
              <w:t>Comprehensive Income</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r>
      <w:tr w:rsidR="00BA7B95" w:rsidTr="00EB5C27">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A7B95" w:rsidRDefault="00BA7B95" w:rsidP="00EB5C27">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r>
      <w:tr w:rsidR="00BA7B95" w:rsidTr="00EB5C27">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-2,561</w:t>
            </w:r>
          </w:p>
        </w:tc>
        <w:tc>
          <w:tcPr>
            <w:tcW w:w="2392" w:type="dxa"/>
            <w:tcBorders>
              <w:top w:val="nil"/>
              <w:left w:val="nil"/>
              <w:bottom w:val="nil"/>
              <w:right w:val="nil"/>
            </w:tcBorders>
            <w:shd w:val="clear" w:color="000000" w:fill="FFFFFF"/>
            <w:hideMark/>
          </w:tcPr>
          <w:p w:rsidR="00BA7B95" w:rsidRDefault="00BA7B95" w:rsidP="00EB5C27">
            <w:pPr>
              <w:rPr>
                <w:sz w:val="18"/>
                <w:szCs w:val="18"/>
              </w:rPr>
            </w:pPr>
            <w:r>
              <w:rPr>
                <w:sz w:val="18"/>
                <w:szCs w:val="18"/>
              </w:rPr>
              <w:t>Operating Result for the</w:t>
            </w:r>
            <w:r>
              <w:rPr>
                <w:sz w:val="18"/>
                <w:szCs w:val="18"/>
              </w:rPr>
              <w:br/>
              <w:t xml:space="preserve">   Period</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-2,561</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-2,624</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-2,624</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-2,624</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-2,624</w:t>
            </w:r>
          </w:p>
        </w:tc>
      </w:tr>
      <w:tr w:rsidR="00BA7B95" w:rsidTr="00EB5C27">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A7B95" w:rsidRDefault="00BA7B95" w:rsidP="00EB5C2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rFonts w:ascii="Arial" w:hAnsi="Arial" w:cs="Arial"/>
                <w:sz w:val="16"/>
                <w:szCs w:val="16"/>
              </w:rPr>
            </w:pPr>
            <w:r>
              <w:rPr>
                <w:rFonts w:ascii="Arial" w:hAnsi="Arial" w:cs="Arial"/>
                <w:sz w:val="16"/>
                <w:szCs w:val="16"/>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r>
      <w:tr w:rsidR="00BA7B95" w:rsidTr="00EB5C27">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-2,561</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Total Comprehensive</w:t>
            </w:r>
            <w:r>
              <w:rPr>
                <w:b/>
                <w:bCs/>
                <w:sz w:val="18"/>
                <w:szCs w:val="18"/>
              </w:rPr>
              <w:br/>
              <w:t xml:space="preserve">   Income</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-2,561</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-2,624</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xml:space="preserve">-2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-2,624</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-2,624</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-2,624</w:t>
            </w:r>
          </w:p>
        </w:tc>
      </w:tr>
      <w:tr w:rsidR="00BA7B95" w:rsidTr="00EB5C27">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A7B95" w:rsidRDefault="00BA7B95" w:rsidP="00EB5C2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r>
      <w:tr w:rsidR="00BA7B95" w:rsidTr="00EB5C27">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BA7B95" w:rsidRDefault="00BA7B95" w:rsidP="00EB5C27">
            <w:pPr>
              <w:rPr>
                <w:b/>
                <w:bCs/>
                <w:sz w:val="18"/>
                <w:szCs w:val="18"/>
              </w:rPr>
            </w:pPr>
            <w:r>
              <w:rPr>
                <w:b/>
                <w:bCs/>
                <w:sz w:val="18"/>
                <w:szCs w:val="18"/>
              </w:rPr>
              <w:t>Total Movement in Reserves</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0</w:t>
            </w:r>
          </w:p>
        </w:tc>
      </w:tr>
      <w:tr w:rsidR="00BA7B95" w:rsidTr="00EB5C27">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A7B95" w:rsidRDefault="00BA7B95" w:rsidP="00EB5C2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r>
      <w:tr w:rsidR="00BA7B95" w:rsidTr="00EB5C27">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 xml:space="preserve">Transactions Involving Owners </w:t>
            </w:r>
          </w:p>
          <w:p w:rsidR="00BA7B95" w:rsidRDefault="00BA7B95" w:rsidP="00EB5C27">
            <w:pPr>
              <w:rPr>
                <w:b/>
                <w:bCs/>
                <w:sz w:val="18"/>
                <w:szCs w:val="18"/>
              </w:rPr>
            </w:pPr>
            <w:r>
              <w:rPr>
                <w:b/>
                <w:bCs/>
                <w:sz w:val="18"/>
                <w:szCs w:val="18"/>
              </w:rPr>
              <w:t>Affecting Accumulated Funds</w:t>
            </w:r>
          </w:p>
          <w:p w:rsidR="00BA7B95" w:rsidRDefault="00BA7B95" w:rsidP="00EB5C2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r>
      <w:tr w:rsidR="00BA7B95" w:rsidTr="00EB5C27">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1,334</w:t>
            </w:r>
          </w:p>
        </w:tc>
        <w:tc>
          <w:tcPr>
            <w:tcW w:w="2392" w:type="dxa"/>
            <w:tcBorders>
              <w:top w:val="nil"/>
              <w:left w:val="nil"/>
              <w:bottom w:val="nil"/>
              <w:right w:val="nil"/>
            </w:tcBorders>
            <w:shd w:val="clear" w:color="000000" w:fill="FFFFFF"/>
            <w:noWrap/>
            <w:hideMark/>
          </w:tcPr>
          <w:p w:rsidR="00BA7B95" w:rsidRDefault="00BA7B95" w:rsidP="00EB5C27">
            <w:pPr>
              <w:rPr>
                <w:sz w:val="18"/>
                <w:szCs w:val="18"/>
              </w:rPr>
            </w:pPr>
            <w:r>
              <w:rPr>
                <w:sz w:val="18"/>
                <w:szCs w:val="18"/>
              </w:rPr>
              <w:t>Capital Injections</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988</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304</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xml:space="preserve">-69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246</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252</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258</w:t>
            </w:r>
          </w:p>
        </w:tc>
      </w:tr>
      <w:tr w:rsidR="00BA7B95" w:rsidTr="00EB5C27">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A7B95" w:rsidRDefault="00BA7B95" w:rsidP="00EB5C2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r>
      <w:tr w:rsidR="00BA7B95" w:rsidTr="00EB5C27">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1,334</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Total Transactions Involving</w:t>
            </w:r>
            <w:r>
              <w:rPr>
                <w:b/>
                <w:bCs/>
                <w:sz w:val="18"/>
                <w:szCs w:val="18"/>
              </w:rPr>
              <w:br/>
              <w:t xml:space="preserve">   Owners Affecting</w:t>
            </w:r>
            <w:r>
              <w:rPr>
                <w:b/>
                <w:bCs/>
                <w:sz w:val="18"/>
                <w:szCs w:val="18"/>
              </w:rPr>
              <w:br/>
              <w:t xml:space="preserve">   Accumulated Funds</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988</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304</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xml:space="preserve">-69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246</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252</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258</w:t>
            </w:r>
          </w:p>
        </w:tc>
      </w:tr>
      <w:tr w:rsidR="00BA7B95" w:rsidTr="00EB5C27">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BA7B95" w:rsidRDefault="00BA7B95" w:rsidP="00EB5C2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r>
      <w:tr w:rsidR="00BA7B95" w:rsidTr="00EB5C27">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BA7B95" w:rsidRDefault="00BA7B95" w:rsidP="00EB5C27">
            <w:pPr>
              <w:rPr>
                <w:b/>
                <w:bCs/>
                <w:sz w:val="18"/>
                <w:szCs w:val="18"/>
              </w:rPr>
            </w:pPr>
            <w:r>
              <w:rPr>
                <w:b/>
                <w:bCs/>
                <w:sz w:val="18"/>
                <w:szCs w:val="18"/>
              </w:rPr>
              <w:t>Closing Equity</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r>
      <w:tr w:rsidR="00BA7B95" w:rsidTr="00EB5C27">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BA7B95" w:rsidRDefault="00BA7B95" w:rsidP="00EB5C2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r>
      <w:tr w:rsidR="00BA7B95" w:rsidTr="00EB5C27">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59,494</w:t>
            </w:r>
          </w:p>
        </w:tc>
        <w:tc>
          <w:tcPr>
            <w:tcW w:w="2392" w:type="dxa"/>
            <w:tcBorders>
              <w:top w:val="nil"/>
              <w:left w:val="nil"/>
              <w:bottom w:val="nil"/>
              <w:right w:val="nil"/>
            </w:tcBorders>
            <w:shd w:val="clear" w:color="000000" w:fill="FFFFFF"/>
            <w:noWrap/>
            <w:hideMark/>
          </w:tcPr>
          <w:p w:rsidR="00BA7B95" w:rsidRDefault="00BA7B95" w:rsidP="00EB5C27">
            <w:pPr>
              <w:rPr>
                <w:sz w:val="18"/>
                <w:szCs w:val="18"/>
              </w:rPr>
            </w:pPr>
            <w:r>
              <w:rPr>
                <w:sz w:val="18"/>
                <w:szCs w:val="18"/>
              </w:rPr>
              <w:t>Closing Accumulated Funds</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59,334</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57,014</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xml:space="preserve">-4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54,636</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52,264</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49,898</w:t>
            </w:r>
          </w:p>
        </w:tc>
      </w:tr>
      <w:tr w:rsidR="00BA7B95" w:rsidTr="00EB5C27">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23,248</w:t>
            </w:r>
          </w:p>
        </w:tc>
        <w:tc>
          <w:tcPr>
            <w:tcW w:w="2392" w:type="dxa"/>
            <w:tcBorders>
              <w:top w:val="nil"/>
              <w:left w:val="nil"/>
              <w:bottom w:val="nil"/>
              <w:right w:val="nil"/>
            </w:tcBorders>
            <w:shd w:val="clear" w:color="000000" w:fill="FFFFFF"/>
            <w:hideMark/>
          </w:tcPr>
          <w:p w:rsidR="00BA7B95" w:rsidRDefault="00BA7B95" w:rsidP="00EB5C27">
            <w:pPr>
              <w:rPr>
                <w:sz w:val="18"/>
                <w:szCs w:val="18"/>
              </w:rPr>
            </w:pPr>
            <w:r>
              <w:rPr>
                <w:sz w:val="18"/>
                <w:szCs w:val="18"/>
              </w:rPr>
              <w:t>Closing Asset Revaluation</w:t>
            </w:r>
            <w:r>
              <w:rPr>
                <w:sz w:val="18"/>
                <w:szCs w:val="18"/>
              </w:rPr>
              <w:br/>
              <w:t xml:space="preserve">   Reserve</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21,028</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21,028</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21,028</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21,028</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21,028</w:t>
            </w:r>
          </w:p>
        </w:tc>
      </w:tr>
      <w:tr w:rsidR="00BA7B95" w:rsidTr="00EB5C27">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A7B95" w:rsidRDefault="00BA7B95" w:rsidP="00EB5C2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r>
      <w:tr w:rsidR="00BA7B95" w:rsidTr="00EB5C27">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82,742</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Balance at the End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80,362</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78,042</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75,664</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73,292</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70,926</w:t>
            </w:r>
          </w:p>
        </w:tc>
      </w:tr>
      <w:tr w:rsidR="00BA7B95" w:rsidTr="00EB5C27">
        <w:tc>
          <w:tcPr>
            <w:tcW w:w="1054" w:type="dxa"/>
            <w:tcBorders>
              <w:top w:val="nil"/>
              <w:left w:val="nil"/>
              <w:bottom w:val="single" w:sz="4" w:space="0" w:color="auto"/>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2392" w:type="dxa"/>
            <w:tcBorders>
              <w:top w:val="nil"/>
              <w:left w:val="nil"/>
              <w:bottom w:val="single" w:sz="4" w:space="0" w:color="auto"/>
              <w:right w:val="nil"/>
            </w:tcBorders>
            <w:shd w:val="clear" w:color="000000" w:fill="FFFFFF"/>
            <w:noWrap/>
            <w:hideMark/>
          </w:tcPr>
          <w:p w:rsidR="00BA7B95" w:rsidRDefault="00BA7B95" w:rsidP="00EB5C27">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624" w:type="dxa"/>
            <w:tcBorders>
              <w:top w:val="nil"/>
              <w:left w:val="nil"/>
              <w:bottom w:val="single" w:sz="4" w:space="0" w:color="auto"/>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r>
    </w:tbl>
    <w:p w:rsidR="00BA7B95" w:rsidRDefault="00BA7B95"/>
    <w:p w:rsidR="00BA7B95" w:rsidRDefault="00BA7B95">
      <w:r>
        <w:br w:type="page"/>
      </w:r>
    </w:p>
    <w:tbl>
      <w:tblPr>
        <w:tblW w:w="9356" w:type="dxa"/>
        <w:tblLook w:val="04A0"/>
      </w:tblPr>
      <w:tblGrid>
        <w:gridCol w:w="1054"/>
        <w:gridCol w:w="2392"/>
        <w:gridCol w:w="1106"/>
        <w:gridCol w:w="1054"/>
        <w:gridCol w:w="624"/>
        <w:gridCol w:w="1054"/>
        <w:gridCol w:w="1054"/>
        <w:gridCol w:w="1054"/>
      </w:tblGrid>
      <w:tr w:rsidR="00BA7B95" w:rsidTr="00BA7B95">
        <w:trPr>
          <w:tblHeader/>
        </w:trPr>
        <w:tc>
          <w:tcPr>
            <w:tcW w:w="9392" w:type="dxa"/>
            <w:gridSpan w:val="8"/>
            <w:tcBorders>
              <w:top w:val="nil"/>
              <w:left w:val="nil"/>
              <w:bottom w:val="nil"/>
              <w:right w:val="nil"/>
            </w:tcBorders>
            <w:shd w:val="clear" w:color="000000" w:fill="FFFFFF"/>
            <w:noWrap/>
            <w:vAlign w:val="bottom"/>
            <w:hideMark/>
          </w:tcPr>
          <w:p w:rsidR="00BA7B95" w:rsidRDefault="00BA7B95" w:rsidP="00EB5C27">
            <w:pPr>
              <w:jc w:val="center"/>
              <w:rPr>
                <w:rFonts w:ascii="Arial" w:hAnsi="Arial" w:cs="Arial"/>
                <w:b/>
                <w:bCs/>
                <w:szCs w:val="24"/>
              </w:rPr>
            </w:pPr>
            <w:bookmarkStart w:id="18" w:name="RANGE!A1:H44"/>
            <w:r>
              <w:rPr>
                <w:rFonts w:ascii="Arial" w:hAnsi="Arial" w:cs="Arial"/>
                <w:b/>
                <w:bCs/>
              </w:rPr>
              <w:lastRenderedPageBreak/>
              <w:t>Justice and Community Safety Directorate</w:t>
            </w:r>
            <w:bookmarkEnd w:id="18"/>
          </w:p>
        </w:tc>
      </w:tr>
      <w:tr w:rsidR="00BA7B95" w:rsidTr="00BA7B95">
        <w:trPr>
          <w:tblHeader/>
        </w:trPr>
        <w:tc>
          <w:tcPr>
            <w:tcW w:w="9392" w:type="dxa"/>
            <w:gridSpan w:val="8"/>
            <w:tcBorders>
              <w:top w:val="nil"/>
              <w:left w:val="nil"/>
              <w:bottom w:val="nil"/>
              <w:right w:val="nil"/>
            </w:tcBorders>
            <w:shd w:val="clear" w:color="000000" w:fill="FFFFFF"/>
            <w:noWrap/>
            <w:vAlign w:val="bottom"/>
            <w:hideMark/>
          </w:tcPr>
          <w:p w:rsidR="00BA7B95" w:rsidRDefault="00BA7B95" w:rsidP="00EB5C27">
            <w:pPr>
              <w:jc w:val="center"/>
              <w:rPr>
                <w:rFonts w:ascii="Arial" w:hAnsi="Arial" w:cs="Arial"/>
                <w:b/>
                <w:bCs/>
                <w:szCs w:val="24"/>
              </w:rPr>
            </w:pPr>
            <w:r>
              <w:rPr>
                <w:rFonts w:ascii="Arial" w:hAnsi="Arial" w:cs="Arial"/>
                <w:b/>
                <w:bCs/>
              </w:rPr>
              <w:t>Statement of Cash Flows on Behalf of the Territory</w:t>
            </w:r>
          </w:p>
        </w:tc>
      </w:tr>
      <w:tr w:rsidR="00BA7B95" w:rsidTr="00BA7B95">
        <w:trPr>
          <w:tblHeader/>
        </w:trPr>
        <w:tc>
          <w:tcPr>
            <w:tcW w:w="1054" w:type="dxa"/>
            <w:tcBorders>
              <w:top w:val="single" w:sz="4" w:space="0" w:color="auto"/>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noWrap/>
            <w:hideMark/>
          </w:tcPr>
          <w:p w:rsidR="00BA7B95" w:rsidRDefault="00BA7B95" w:rsidP="00EB5C27">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2016-17</w:t>
            </w:r>
          </w:p>
        </w:tc>
      </w:tr>
      <w:tr w:rsidR="00BA7B95" w:rsidTr="00BA7B95">
        <w:trPr>
          <w:tblHeader/>
        </w:trPr>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noWrap/>
            <w:hideMark/>
          </w:tcPr>
          <w:p w:rsidR="00BA7B95" w:rsidRDefault="00BA7B95" w:rsidP="00EB5C2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BA7B95" w:rsidRDefault="00BA7B95" w:rsidP="00EB5C27">
            <w:pPr>
              <w:ind w:left="-283"/>
              <w:jc w:val="right"/>
              <w:rPr>
                <w:b/>
                <w:bCs/>
                <w:sz w:val="18"/>
                <w:szCs w:val="18"/>
              </w:rPr>
            </w:pPr>
            <w:proofErr w:type="spellStart"/>
            <w:r>
              <w:rPr>
                <w:b/>
                <w:bCs/>
                <w:sz w:val="18"/>
                <w:szCs w:val="18"/>
              </w:rPr>
              <w:t>Var</w:t>
            </w:r>
            <w:proofErr w:type="spellEnd"/>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Estimate</w:t>
            </w:r>
          </w:p>
        </w:tc>
      </w:tr>
      <w:tr w:rsidR="00BA7B95" w:rsidTr="00BA7B95">
        <w:trPr>
          <w:tblHeader/>
        </w:trPr>
        <w:tc>
          <w:tcPr>
            <w:tcW w:w="1054" w:type="dxa"/>
            <w:tcBorders>
              <w:top w:val="nil"/>
              <w:left w:val="nil"/>
              <w:bottom w:val="single" w:sz="4" w:space="0" w:color="auto"/>
              <w:right w:val="nil"/>
            </w:tcBorders>
            <w:shd w:val="clear" w:color="000000" w:fill="FFFFFF"/>
            <w:noWrap/>
            <w:hideMark/>
          </w:tcPr>
          <w:p w:rsidR="00BA7B95" w:rsidRDefault="00BA7B95" w:rsidP="00EB5C27">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BA7B95" w:rsidRDefault="00BA7B95" w:rsidP="00EB5C27">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BA7B95" w:rsidRDefault="00BA7B95" w:rsidP="00EB5C2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BA7B95" w:rsidRDefault="00BA7B95" w:rsidP="00EB5C27">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BA7B95" w:rsidRDefault="00BA7B95" w:rsidP="00EB5C27">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BA7B95" w:rsidRDefault="00BA7B95" w:rsidP="00EB5C2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BA7B95" w:rsidRDefault="00BA7B95" w:rsidP="00EB5C2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BA7B95" w:rsidRDefault="00BA7B95" w:rsidP="00EB5C27">
            <w:pPr>
              <w:ind w:left="-283"/>
              <w:jc w:val="right"/>
              <w:rPr>
                <w:b/>
                <w:bCs/>
                <w:sz w:val="18"/>
                <w:szCs w:val="18"/>
              </w:rPr>
            </w:pPr>
            <w:r>
              <w:rPr>
                <w:b/>
                <w:bCs/>
                <w:sz w:val="18"/>
                <w:szCs w:val="18"/>
              </w:rPr>
              <w:t>$'000</w:t>
            </w:r>
          </w:p>
        </w:tc>
      </w:tr>
      <w:tr w:rsidR="00BA7B95" w:rsidTr="00BA7B95">
        <w:trPr>
          <w:tblHeader/>
        </w:trPr>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BA7B95" w:rsidRDefault="00BA7B95" w:rsidP="00EB5C2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r>
      <w:tr w:rsidR="00BA7B95" w:rsidTr="00BA7B95">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BA7B95" w:rsidRDefault="00BA7B95" w:rsidP="00EB5C27">
            <w:pPr>
              <w:rPr>
                <w:sz w:val="18"/>
                <w:szCs w:val="18"/>
              </w:rPr>
            </w:pPr>
            <w:r>
              <w:rPr>
                <w:b/>
                <w:bCs/>
                <w:sz w:val="18"/>
                <w:szCs w:val="18"/>
              </w:rPr>
              <w:t>CASH FLOWS FROM OPERATING ACTIVITIES</w:t>
            </w:r>
            <w:r>
              <w:rPr>
                <w:sz w:val="18"/>
                <w:szCs w:val="18"/>
              </w:rPr>
              <w:t xml:space="preserve">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r>
      <w:tr w:rsidR="00BA7B95" w:rsidTr="00BA7B95">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A7B95" w:rsidRDefault="00BA7B95" w:rsidP="00EB5C27">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r>
      <w:tr w:rsidR="00BA7B95" w:rsidTr="00BA7B95">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A7B95" w:rsidRDefault="00BA7B95" w:rsidP="00EB5C27">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r>
      <w:tr w:rsidR="00BA7B95" w:rsidTr="00BA7B95">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151,497</w:t>
            </w:r>
          </w:p>
        </w:tc>
        <w:tc>
          <w:tcPr>
            <w:tcW w:w="2392" w:type="dxa"/>
            <w:tcBorders>
              <w:top w:val="nil"/>
              <w:left w:val="nil"/>
              <w:bottom w:val="nil"/>
              <w:right w:val="nil"/>
            </w:tcBorders>
            <w:shd w:val="clear" w:color="000000" w:fill="FFFFFF"/>
            <w:hideMark/>
          </w:tcPr>
          <w:p w:rsidR="00BA7B95" w:rsidRDefault="00BA7B95" w:rsidP="00EB5C27">
            <w:pPr>
              <w:rPr>
                <w:sz w:val="18"/>
                <w:szCs w:val="18"/>
              </w:rPr>
            </w:pPr>
            <w:r>
              <w:rPr>
                <w:sz w:val="18"/>
                <w:szCs w:val="18"/>
              </w:rPr>
              <w:t>Cash from Government for</w:t>
            </w:r>
            <w:r>
              <w:rPr>
                <w:sz w:val="18"/>
                <w:szCs w:val="18"/>
              </w:rPr>
              <w:br/>
              <w:t xml:space="preserve">   EBT</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151,497</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155,525</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158,005</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159,158</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161,670</w:t>
            </w:r>
          </w:p>
        </w:tc>
      </w:tr>
      <w:tr w:rsidR="00BA7B95" w:rsidTr="00BA7B95">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164,682</w:t>
            </w:r>
          </w:p>
        </w:tc>
        <w:tc>
          <w:tcPr>
            <w:tcW w:w="2392" w:type="dxa"/>
            <w:tcBorders>
              <w:top w:val="nil"/>
              <w:left w:val="nil"/>
              <w:bottom w:val="nil"/>
              <w:right w:val="nil"/>
            </w:tcBorders>
            <w:shd w:val="clear" w:color="000000" w:fill="FFFFFF"/>
            <w:noWrap/>
            <w:hideMark/>
          </w:tcPr>
          <w:p w:rsidR="00BA7B95" w:rsidRDefault="00BA7B95" w:rsidP="00EB5C27">
            <w:pPr>
              <w:rPr>
                <w:sz w:val="18"/>
                <w:szCs w:val="18"/>
              </w:rPr>
            </w:pPr>
            <w:r>
              <w:rPr>
                <w:sz w:val="18"/>
                <w:szCs w:val="18"/>
              </w:rPr>
              <w:t>Taxes, Fees and Fines</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167,506</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177,958</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xml:space="preserve">6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185,475</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192,955</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200,741</w:t>
            </w:r>
          </w:p>
        </w:tc>
      </w:tr>
      <w:tr w:rsidR="00BA7B95" w:rsidTr="00BA7B95">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18,633</w:t>
            </w:r>
          </w:p>
        </w:tc>
        <w:tc>
          <w:tcPr>
            <w:tcW w:w="2392" w:type="dxa"/>
            <w:tcBorders>
              <w:top w:val="nil"/>
              <w:left w:val="nil"/>
              <w:bottom w:val="nil"/>
              <w:right w:val="nil"/>
            </w:tcBorders>
            <w:shd w:val="clear" w:color="000000" w:fill="FFFFFF"/>
            <w:noWrap/>
            <w:hideMark/>
          </w:tcPr>
          <w:p w:rsidR="00BA7B95" w:rsidRDefault="00BA7B95" w:rsidP="00EB5C27">
            <w:pPr>
              <w:rPr>
                <w:sz w:val="18"/>
                <w:szCs w:val="18"/>
              </w:rPr>
            </w:pPr>
            <w:r>
              <w:rPr>
                <w:sz w:val="18"/>
                <w:szCs w:val="18"/>
              </w:rPr>
              <w:t>User Charges</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16,253</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20,096</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xml:space="preserve">24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20,827</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21,584</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22,370</w:t>
            </w:r>
          </w:p>
        </w:tc>
      </w:tr>
      <w:tr w:rsidR="00BA7B95" w:rsidTr="00BA7B95">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2,110</w:t>
            </w:r>
          </w:p>
        </w:tc>
        <w:tc>
          <w:tcPr>
            <w:tcW w:w="2392" w:type="dxa"/>
            <w:tcBorders>
              <w:top w:val="nil"/>
              <w:left w:val="nil"/>
              <w:bottom w:val="nil"/>
              <w:right w:val="nil"/>
            </w:tcBorders>
            <w:shd w:val="clear" w:color="000000" w:fill="FFFFFF"/>
            <w:noWrap/>
            <w:hideMark/>
          </w:tcPr>
          <w:p w:rsidR="00BA7B95" w:rsidRDefault="00BA7B95" w:rsidP="00EB5C27">
            <w:pPr>
              <w:rPr>
                <w:sz w:val="18"/>
                <w:szCs w:val="18"/>
              </w:rPr>
            </w:pPr>
            <w:r>
              <w:rPr>
                <w:sz w:val="18"/>
                <w:szCs w:val="18"/>
              </w:rPr>
              <w:t>Other Receipts</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3,279</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2,161</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xml:space="preserve">-34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2,226</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2,294</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2,365</w:t>
            </w:r>
          </w:p>
        </w:tc>
      </w:tr>
      <w:tr w:rsidR="00BA7B95" w:rsidTr="00BA7B95">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336,922</w:t>
            </w:r>
          </w:p>
        </w:tc>
        <w:tc>
          <w:tcPr>
            <w:tcW w:w="2392" w:type="dxa"/>
            <w:tcBorders>
              <w:top w:val="nil"/>
              <w:left w:val="nil"/>
              <w:bottom w:val="nil"/>
              <w:right w:val="nil"/>
            </w:tcBorders>
            <w:shd w:val="clear" w:color="000000" w:fill="FFFFFF"/>
            <w:noWrap/>
            <w:hideMark/>
          </w:tcPr>
          <w:p w:rsidR="00BA7B95" w:rsidRDefault="00BA7B95" w:rsidP="00EB5C27">
            <w:pPr>
              <w:rPr>
                <w:b/>
                <w:bCs/>
                <w:sz w:val="18"/>
                <w:szCs w:val="18"/>
              </w:rPr>
            </w:pPr>
            <w:r>
              <w:rPr>
                <w:b/>
                <w:bCs/>
                <w:sz w:val="18"/>
                <w:szCs w:val="18"/>
              </w:rPr>
              <w:t>Operating Receipts</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338,535</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355,740</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xml:space="preserve">5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366,533</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375,991</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387,146</w:t>
            </w:r>
          </w:p>
        </w:tc>
      </w:tr>
      <w:tr w:rsidR="00BA7B95" w:rsidTr="00BA7B95">
        <w:tc>
          <w:tcPr>
            <w:tcW w:w="1054" w:type="dxa"/>
            <w:tcBorders>
              <w:top w:val="nil"/>
              <w:left w:val="nil"/>
              <w:bottom w:val="nil"/>
              <w:right w:val="nil"/>
            </w:tcBorders>
            <w:shd w:val="clear" w:color="000000" w:fill="FFFFFF"/>
            <w:noWrap/>
            <w:hideMark/>
          </w:tcPr>
          <w:p w:rsidR="00BA7B95" w:rsidRDefault="00BA7B95" w:rsidP="00EB5C27">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BA7B95" w:rsidRDefault="00BA7B95" w:rsidP="00EB5C27">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color w:val="0000FF"/>
                <w:sz w:val="18"/>
                <w:szCs w:val="18"/>
              </w:rPr>
            </w:pPr>
            <w:r>
              <w:rPr>
                <w:color w:val="0000FF"/>
                <w:sz w:val="18"/>
                <w:szCs w:val="18"/>
              </w:rPr>
              <w:t> </w:t>
            </w:r>
          </w:p>
        </w:tc>
      </w:tr>
      <w:tr w:rsidR="00BA7B95" w:rsidTr="00BA7B95">
        <w:tc>
          <w:tcPr>
            <w:tcW w:w="1054" w:type="dxa"/>
            <w:tcBorders>
              <w:top w:val="nil"/>
              <w:left w:val="nil"/>
              <w:bottom w:val="nil"/>
              <w:right w:val="nil"/>
            </w:tcBorders>
            <w:shd w:val="clear" w:color="000000" w:fill="FFFFFF"/>
            <w:noWrap/>
            <w:hideMark/>
          </w:tcPr>
          <w:p w:rsidR="00BA7B95" w:rsidRDefault="00BA7B95" w:rsidP="00EB5C27">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BA7B95" w:rsidRDefault="00BA7B95" w:rsidP="00EB5C27">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color w:val="0000FF"/>
                <w:sz w:val="18"/>
                <w:szCs w:val="18"/>
              </w:rPr>
            </w:pPr>
            <w:r>
              <w:rPr>
                <w:color w:val="0000FF"/>
                <w:sz w:val="18"/>
                <w:szCs w:val="18"/>
              </w:rPr>
              <w:t> </w:t>
            </w:r>
          </w:p>
        </w:tc>
      </w:tr>
      <w:tr w:rsidR="00BA7B95" w:rsidTr="00BA7B95">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688</w:t>
            </w:r>
          </w:p>
        </w:tc>
        <w:tc>
          <w:tcPr>
            <w:tcW w:w="2392" w:type="dxa"/>
            <w:tcBorders>
              <w:top w:val="nil"/>
              <w:left w:val="nil"/>
              <w:bottom w:val="nil"/>
              <w:right w:val="nil"/>
            </w:tcBorders>
            <w:shd w:val="clear" w:color="000000" w:fill="FFFFFF"/>
            <w:noWrap/>
            <w:hideMark/>
          </w:tcPr>
          <w:p w:rsidR="00BA7B95" w:rsidRDefault="00BA7B95" w:rsidP="00EB5C27">
            <w:pPr>
              <w:rPr>
                <w:sz w:val="18"/>
                <w:szCs w:val="18"/>
              </w:rPr>
            </w:pPr>
            <w:r>
              <w:rPr>
                <w:sz w:val="18"/>
                <w:szCs w:val="18"/>
              </w:rPr>
              <w:t>Related to Employees</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688</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688</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688</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697</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705</w:t>
            </w:r>
          </w:p>
        </w:tc>
      </w:tr>
      <w:tr w:rsidR="00BA7B95" w:rsidTr="00BA7B95">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150,809</w:t>
            </w:r>
          </w:p>
        </w:tc>
        <w:tc>
          <w:tcPr>
            <w:tcW w:w="2392" w:type="dxa"/>
            <w:tcBorders>
              <w:top w:val="nil"/>
              <w:left w:val="nil"/>
              <w:bottom w:val="nil"/>
              <w:right w:val="nil"/>
            </w:tcBorders>
            <w:shd w:val="clear" w:color="000000" w:fill="FFFFFF"/>
            <w:hideMark/>
          </w:tcPr>
          <w:p w:rsidR="00BA7B95" w:rsidRDefault="00BA7B95" w:rsidP="00EB5C27">
            <w:pPr>
              <w:rPr>
                <w:sz w:val="18"/>
                <w:szCs w:val="18"/>
              </w:rPr>
            </w:pPr>
            <w:r>
              <w:rPr>
                <w:sz w:val="18"/>
                <w:szCs w:val="18"/>
              </w:rPr>
              <w:t>Related to Supplies and</w:t>
            </w:r>
            <w:r>
              <w:rPr>
                <w:sz w:val="18"/>
                <w:szCs w:val="18"/>
              </w:rPr>
              <w:br/>
              <w:t xml:space="preserve">   Services</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150,809</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156,942</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xml:space="preserve">4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159,422</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160,566</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163,070</w:t>
            </w:r>
          </w:p>
        </w:tc>
      </w:tr>
      <w:tr w:rsidR="00BA7B95" w:rsidTr="00BA7B95">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516</w:t>
            </w:r>
          </w:p>
        </w:tc>
        <w:tc>
          <w:tcPr>
            <w:tcW w:w="2392" w:type="dxa"/>
            <w:tcBorders>
              <w:top w:val="nil"/>
              <w:left w:val="nil"/>
              <w:bottom w:val="nil"/>
              <w:right w:val="nil"/>
            </w:tcBorders>
            <w:shd w:val="clear" w:color="000000" w:fill="FFFFFF"/>
            <w:noWrap/>
            <w:hideMark/>
          </w:tcPr>
          <w:p w:rsidR="00BA7B95" w:rsidRDefault="00BA7B95" w:rsidP="00EB5C27">
            <w:pPr>
              <w:rPr>
                <w:sz w:val="18"/>
                <w:szCs w:val="18"/>
              </w:rPr>
            </w:pPr>
            <w:r>
              <w:rPr>
                <w:sz w:val="18"/>
                <w:szCs w:val="18"/>
              </w:rPr>
              <w:t>Other</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516</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516</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516</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516</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516</w:t>
            </w:r>
          </w:p>
        </w:tc>
      </w:tr>
      <w:tr w:rsidR="00BA7B95" w:rsidTr="00BA7B95">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184,909</w:t>
            </w:r>
          </w:p>
        </w:tc>
        <w:tc>
          <w:tcPr>
            <w:tcW w:w="2392" w:type="dxa"/>
            <w:tcBorders>
              <w:top w:val="nil"/>
              <w:left w:val="nil"/>
              <w:bottom w:val="nil"/>
              <w:right w:val="nil"/>
            </w:tcBorders>
            <w:shd w:val="clear" w:color="000000" w:fill="FFFFFF"/>
            <w:hideMark/>
          </w:tcPr>
          <w:p w:rsidR="00BA7B95" w:rsidRDefault="00BA7B95" w:rsidP="00EB5C27">
            <w:pPr>
              <w:rPr>
                <w:sz w:val="18"/>
                <w:szCs w:val="18"/>
              </w:rPr>
            </w:pPr>
            <w:r>
              <w:rPr>
                <w:sz w:val="18"/>
                <w:szCs w:val="18"/>
              </w:rPr>
              <w:t>Territory Receipts to</w:t>
            </w:r>
            <w:r>
              <w:rPr>
                <w:sz w:val="18"/>
                <w:szCs w:val="18"/>
              </w:rPr>
              <w:br/>
              <w:t xml:space="preserve">   Government</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186,522</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197,594</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xml:space="preserve">6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205,907</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214,212</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222,855</w:t>
            </w:r>
          </w:p>
        </w:tc>
      </w:tr>
      <w:tr w:rsidR="00BA7B95" w:rsidTr="00BA7B95">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336,922</w:t>
            </w:r>
          </w:p>
        </w:tc>
        <w:tc>
          <w:tcPr>
            <w:tcW w:w="2392" w:type="dxa"/>
            <w:tcBorders>
              <w:top w:val="nil"/>
              <w:left w:val="nil"/>
              <w:bottom w:val="nil"/>
              <w:right w:val="nil"/>
            </w:tcBorders>
            <w:shd w:val="clear" w:color="000000" w:fill="FFFFFF"/>
            <w:noWrap/>
            <w:hideMark/>
          </w:tcPr>
          <w:p w:rsidR="00BA7B95" w:rsidRDefault="00BA7B95" w:rsidP="00EB5C27">
            <w:pPr>
              <w:rPr>
                <w:b/>
                <w:bCs/>
                <w:sz w:val="18"/>
                <w:szCs w:val="18"/>
              </w:rPr>
            </w:pPr>
            <w:r>
              <w:rPr>
                <w:b/>
                <w:bCs/>
                <w:sz w:val="18"/>
                <w:szCs w:val="18"/>
              </w:rPr>
              <w:t>Operating Payments</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338,535</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355,740</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xml:space="preserve">5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366,533</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375,991</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387,146</w:t>
            </w:r>
          </w:p>
        </w:tc>
      </w:tr>
      <w:tr w:rsidR="00BA7B95" w:rsidTr="00BA7B95">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A7B95" w:rsidRDefault="00BA7B95" w:rsidP="00EB5C2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r>
      <w:tr w:rsidR="00BA7B95" w:rsidTr="00BA7B95">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NET CASH INFLOW/</w:t>
            </w:r>
            <w:r>
              <w:rPr>
                <w:b/>
                <w:bCs/>
                <w:sz w:val="18"/>
                <w:szCs w:val="18"/>
              </w:rPr>
              <w:br/>
              <w:t xml:space="preserve">   (OUTFLOW) FROM</w:t>
            </w:r>
            <w:r>
              <w:rPr>
                <w:b/>
                <w:bCs/>
                <w:sz w:val="18"/>
                <w:szCs w:val="18"/>
              </w:rPr>
              <w:br/>
              <w:t xml:space="preserve">   OPERATING ACTIVITIES</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0</w:t>
            </w:r>
          </w:p>
        </w:tc>
      </w:tr>
      <w:tr w:rsidR="00BA7B95" w:rsidTr="00BA7B95">
        <w:tc>
          <w:tcPr>
            <w:tcW w:w="1054" w:type="dxa"/>
            <w:tcBorders>
              <w:top w:val="nil"/>
              <w:left w:val="nil"/>
              <w:bottom w:val="nil"/>
              <w:right w:val="nil"/>
            </w:tcBorders>
            <w:shd w:val="clear" w:color="000000" w:fill="FFFFFF"/>
            <w:noWrap/>
            <w:hideMark/>
          </w:tcPr>
          <w:p w:rsidR="00BA7B95" w:rsidRDefault="00BA7B95" w:rsidP="00EB5C27">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BA7B95" w:rsidRDefault="00BA7B95" w:rsidP="00EB5C27">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color w:val="0000FF"/>
                <w:sz w:val="18"/>
                <w:szCs w:val="18"/>
              </w:rPr>
            </w:pPr>
            <w:r>
              <w:rPr>
                <w:color w:val="0000FF"/>
                <w:sz w:val="18"/>
                <w:szCs w:val="18"/>
              </w:rPr>
              <w:t> </w:t>
            </w:r>
          </w:p>
        </w:tc>
      </w:tr>
      <w:tr w:rsidR="00BA7B95" w:rsidTr="00BA7B95">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BA7B95" w:rsidRDefault="00BA7B95" w:rsidP="00EB5C27">
            <w:pPr>
              <w:rPr>
                <w:sz w:val="18"/>
                <w:szCs w:val="18"/>
              </w:rPr>
            </w:pPr>
            <w:r>
              <w:rPr>
                <w:b/>
                <w:bCs/>
                <w:sz w:val="18"/>
                <w:szCs w:val="18"/>
              </w:rPr>
              <w:t>CASH FLOWS FROM INVESTING ACTIVITIES</w:t>
            </w:r>
            <w:r>
              <w:rPr>
                <w:sz w:val="18"/>
                <w:szCs w:val="18"/>
              </w:rPr>
              <w:t xml:space="preserve">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r>
      <w:tr w:rsidR="00BA7B95" w:rsidTr="00BA7B95">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A7B95" w:rsidRDefault="00BA7B95" w:rsidP="00EB5C27">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r>
      <w:tr w:rsidR="00BA7B95" w:rsidTr="00BA7B95">
        <w:tc>
          <w:tcPr>
            <w:tcW w:w="1054" w:type="dxa"/>
            <w:tcBorders>
              <w:top w:val="nil"/>
              <w:left w:val="nil"/>
              <w:bottom w:val="nil"/>
              <w:right w:val="nil"/>
            </w:tcBorders>
            <w:shd w:val="clear" w:color="000000" w:fill="FFFFFF"/>
            <w:noWrap/>
            <w:hideMark/>
          </w:tcPr>
          <w:p w:rsidR="00BA7B95" w:rsidRDefault="00BA7B95" w:rsidP="00EB5C27">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BA7B95" w:rsidRDefault="00BA7B95" w:rsidP="00EB5C27">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color w:val="0000FF"/>
                <w:sz w:val="18"/>
                <w:szCs w:val="18"/>
              </w:rPr>
            </w:pPr>
            <w:r>
              <w:rPr>
                <w:color w:val="0000FF"/>
                <w:sz w:val="18"/>
                <w:szCs w:val="18"/>
              </w:rPr>
              <w:t> </w:t>
            </w:r>
          </w:p>
        </w:tc>
      </w:tr>
      <w:tr w:rsidR="00BA7B95" w:rsidTr="00BA7B95">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1,334</w:t>
            </w:r>
          </w:p>
        </w:tc>
        <w:tc>
          <w:tcPr>
            <w:tcW w:w="2392" w:type="dxa"/>
            <w:tcBorders>
              <w:top w:val="nil"/>
              <w:left w:val="nil"/>
              <w:bottom w:val="nil"/>
              <w:right w:val="nil"/>
            </w:tcBorders>
            <w:shd w:val="clear" w:color="000000" w:fill="FFFFFF"/>
            <w:hideMark/>
          </w:tcPr>
          <w:p w:rsidR="00BA7B95" w:rsidRDefault="00BA7B95" w:rsidP="00EB5C27">
            <w:pPr>
              <w:rPr>
                <w:sz w:val="18"/>
                <w:szCs w:val="18"/>
              </w:rPr>
            </w:pPr>
            <w:r>
              <w:rPr>
                <w:sz w:val="18"/>
                <w:szCs w:val="18"/>
              </w:rPr>
              <w:t>Purchase of Property, Plant</w:t>
            </w:r>
            <w:r>
              <w:rPr>
                <w:sz w:val="18"/>
                <w:szCs w:val="18"/>
              </w:rPr>
              <w:br/>
              <w:t xml:space="preserve">   and Equipment and</w:t>
            </w:r>
            <w:r>
              <w:rPr>
                <w:sz w:val="18"/>
                <w:szCs w:val="18"/>
              </w:rPr>
              <w:br/>
              <w:t xml:space="preserve">   Capital Works</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988</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304</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xml:space="preserve">-69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246</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252</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258</w:t>
            </w:r>
          </w:p>
        </w:tc>
      </w:tr>
      <w:tr w:rsidR="00BA7B95" w:rsidTr="00BA7B95">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1,334</w:t>
            </w:r>
          </w:p>
        </w:tc>
        <w:tc>
          <w:tcPr>
            <w:tcW w:w="2392" w:type="dxa"/>
            <w:tcBorders>
              <w:top w:val="nil"/>
              <w:left w:val="nil"/>
              <w:bottom w:val="nil"/>
              <w:right w:val="nil"/>
            </w:tcBorders>
            <w:shd w:val="clear" w:color="000000" w:fill="FFFFFF"/>
            <w:noWrap/>
            <w:hideMark/>
          </w:tcPr>
          <w:p w:rsidR="00BA7B95" w:rsidRDefault="00BA7B95" w:rsidP="00EB5C27">
            <w:pPr>
              <w:rPr>
                <w:b/>
                <w:bCs/>
                <w:sz w:val="18"/>
                <w:szCs w:val="18"/>
              </w:rPr>
            </w:pPr>
            <w:r>
              <w:rPr>
                <w:b/>
                <w:bCs/>
                <w:sz w:val="18"/>
                <w:szCs w:val="18"/>
              </w:rPr>
              <w:t>Investing Payments</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988</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304</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xml:space="preserve">-69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246</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252</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258</w:t>
            </w:r>
          </w:p>
        </w:tc>
      </w:tr>
      <w:tr w:rsidR="00BA7B95" w:rsidTr="00BA7B95">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A7B95" w:rsidRDefault="00BA7B95" w:rsidP="00EB5C2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r>
      <w:tr w:rsidR="00BA7B95" w:rsidTr="00BA7B95">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-1,334</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NET CASH INFLOW/</w:t>
            </w:r>
            <w:r>
              <w:rPr>
                <w:b/>
                <w:bCs/>
                <w:sz w:val="18"/>
                <w:szCs w:val="18"/>
              </w:rPr>
              <w:br/>
              <w:t xml:space="preserve">   (OUTFLOW) FROM</w:t>
            </w:r>
            <w:r>
              <w:rPr>
                <w:b/>
                <w:bCs/>
                <w:sz w:val="18"/>
                <w:szCs w:val="18"/>
              </w:rPr>
              <w:br/>
              <w:t xml:space="preserve">   INVESTING ACTIVITIES</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-988</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-304</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xml:space="preserve">69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-246</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-252</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-258</w:t>
            </w:r>
          </w:p>
        </w:tc>
      </w:tr>
      <w:tr w:rsidR="00BA7B95" w:rsidTr="00BA7B95">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A7B95" w:rsidRDefault="00BA7B95" w:rsidP="00EB5C27">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r>
      <w:tr w:rsidR="00BA7B95" w:rsidTr="00BA7B95">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BA7B95" w:rsidRDefault="00BA7B95" w:rsidP="00EB5C27">
            <w:pPr>
              <w:rPr>
                <w:sz w:val="18"/>
                <w:szCs w:val="18"/>
              </w:rPr>
            </w:pPr>
            <w:r>
              <w:rPr>
                <w:b/>
                <w:bCs/>
                <w:sz w:val="18"/>
                <w:szCs w:val="18"/>
              </w:rPr>
              <w:t>CASH FLOWS FROM FINANCING ACTIVITIES</w:t>
            </w:r>
            <w:r>
              <w:rPr>
                <w:sz w:val="18"/>
                <w:szCs w:val="18"/>
              </w:rPr>
              <w:t xml:space="preserve">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r>
      <w:tr w:rsidR="00BA7B95" w:rsidTr="00BA7B95">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A7B95" w:rsidRDefault="00BA7B95" w:rsidP="00EB5C27">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r>
      <w:tr w:rsidR="00BA7B95" w:rsidTr="00BA7B95">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A7B95" w:rsidRDefault="00BA7B95" w:rsidP="00EB5C27">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r>
      <w:tr w:rsidR="00BA7B95" w:rsidTr="00BA7B95">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1,334</w:t>
            </w:r>
          </w:p>
        </w:tc>
        <w:tc>
          <w:tcPr>
            <w:tcW w:w="2392" w:type="dxa"/>
            <w:tcBorders>
              <w:top w:val="nil"/>
              <w:left w:val="nil"/>
              <w:bottom w:val="nil"/>
              <w:right w:val="nil"/>
            </w:tcBorders>
            <w:shd w:val="clear" w:color="000000" w:fill="FFFFFF"/>
            <w:hideMark/>
          </w:tcPr>
          <w:p w:rsidR="00BA7B95" w:rsidRDefault="00BA7B95" w:rsidP="00EB5C27">
            <w:pPr>
              <w:rPr>
                <w:sz w:val="18"/>
                <w:szCs w:val="18"/>
              </w:rPr>
            </w:pPr>
            <w:r>
              <w:rPr>
                <w:sz w:val="18"/>
                <w:szCs w:val="18"/>
              </w:rPr>
              <w:t>Capital Injections from</w:t>
            </w:r>
            <w:r>
              <w:rPr>
                <w:sz w:val="18"/>
                <w:szCs w:val="18"/>
              </w:rPr>
              <w:br/>
              <w:t xml:space="preserve">   Government</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988</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304</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xml:space="preserve">-69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246</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252</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258</w:t>
            </w:r>
          </w:p>
        </w:tc>
      </w:tr>
      <w:tr w:rsidR="00BA7B95" w:rsidTr="00BA7B95">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1,334</w:t>
            </w:r>
          </w:p>
        </w:tc>
        <w:tc>
          <w:tcPr>
            <w:tcW w:w="2392" w:type="dxa"/>
            <w:tcBorders>
              <w:top w:val="nil"/>
              <w:left w:val="nil"/>
              <w:bottom w:val="nil"/>
              <w:right w:val="nil"/>
            </w:tcBorders>
            <w:shd w:val="clear" w:color="000000" w:fill="FFFFFF"/>
            <w:noWrap/>
            <w:hideMark/>
          </w:tcPr>
          <w:p w:rsidR="00BA7B95" w:rsidRDefault="00BA7B95" w:rsidP="00EB5C27">
            <w:pPr>
              <w:rPr>
                <w:b/>
                <w:bCs/>
                <w:sz w:val="18"/>
                <w:szCs w:val="18"/>
              </w:rPr>
            </w:pPr>
            <w:r>
              <w:rPr>
                <w:b/>
                <w:bCs/>
                <w:sz w:val="18"/>
                <w:szCs w:val="18"/>
              </w:rPr>
              <w:t>Financing Receipts</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988</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304</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xml:space="preserve">-69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246</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252</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258</w:t>
            </w:r>
          </w:p>
        </w:tc>
      </w:tr>
      <w:tr w:rsidR="00BA7B95" w:rsidTr="00BA7B95">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A7B95" w:rsidRDefault="00BA7B95" w:rsidP="00EB5C27">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r>
      <w:tr w:rsidR="00BA7B95" w:rsidTr="00BA7B95">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1,334</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NET CASH INFLOW/</w:t>
            </w:r>
            <w:r>
              <w:rPr>
                <w:b/>
                <w:bCs/>
                <w:sz w:val="18"/>
                <w:szCs w:val="18"/>
              </w:rPr>
              <w:br/>
              <w:t xml:space="preserve">   (OUTFLOW) FROM</w:t>
            </w:r>
            <w:r>
              <w:rPr>
                <w:b/>
                <w:bCs/>
                <w:sz w:val="18"/>
                <w:szCs w:val="18"/>
              </w:rPr>
              <w:br/>
              <w:t xml:space="preserve">   FINANCING ACTIVITIES</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988</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304</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xml:space="preserve">-69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246</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252</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258</w:t>
            </w:r>
          </w:p>
        </w:tc>
      </w:tr>
      <w:tr w:rsidR="00BA7B95" w:rsidTr="00BA7B95">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BA7B95" w:rsidRDefault="00BA7B95" w:rsidP="00EB5C2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r>
      <w:tr w:rsidR="00BA7B95" w:rsidTr="00BA7B95">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1,082</w:t>
            </w:r>
          </w:p>
        </w:tc>
        <w:tc>
          <w:tcPr>
            <w:tcW w:w="2392" w:type="dxa"/>
            <w:tcBorders>
              <w:top w:val="nil"/>
              <w:left w:val="nil"/>
              <w:bottom w:val="nil"/>
              <w:right w:val="nil"/>
            </w:tcBorders>
            <w:shd w:val="clear" w:color="000000" w:fill="FFFFFF"/>
            <w:hideMark/>
          </w:tcPr>
          <w:p w:rsidR="00BA7B95" w:rsidRDefault="00BA7B95" w:rsidP="00EB5C27">
            <w:pPr>
              <w:rPr>
                <w:b/>
                <w:bCs/>
                <w:sz w:val="18"/>
                <w:szCs w:val="18"/>
              </w:rPr>
            </w:pPr>
            <w:r>
              <w:rPr>
                <w:b/>
                <w:bCs/>
                <w:sz w:val="18"/>
                <w:szCs w:val="18"/>
              </w:rPr>
              <w:t>CASH AT THE BEGINNING OF</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1,128</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1,128</w:t>
            </w:r>
          </w:p>
        </w:tc>
        <w:tc>
          <w:tcPr>
            <w:tcW w:w="62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1,128</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1,128</w:t>
            </w:r>
          </w:p>
        </w:tc>
        <w:tc>
          <w:tcPr>
            <w:tcW w:w="1054" w:type="dxa"/>
            <w:tcBorders>
              <w:top w:val="nil"/>
              <w:left w:val="nil"/>
              <w:bottom w:val="nil"/>
              <w:right w:val="nil"/>
            </w:tcBorders>
            <w:shd w:val="clear" w:color="000000" w:fill="FFFFFF"/>
            <w:noWrap/>
            <w:hideMark/>
          </w:tcPr>
          <w:p w:rsidR="00BA7B95" w:rsidRDefault="00BA7B95" w:rsidP="00EB5C27">
            <w:pPr>
              <w:ind w:left="-283"/>
              <w:jc w:val="right"/>
              <w:rPr>
                <w:b/>
                <w:bCs/>
                <w:sz w:val="18"/>
                <w:szCs w:val="18"/>
              </w:rPr>
            </w:pPr>
            <w:r>
              <w:rPr>
                <w:b/>
                <w:bCs/>
                <w:sz w:val="18"/>
                <w:szCs w:val="18"/>
              </w:rPr>
              <w:t>1,128</w:t>
            </w:r>
          </w:p>
        </w:tc>
      </w:tr>
      <w:tr w:rsidR="00BA7B95" w:rsidTr="00BA7B95">
        <w:tc>
          <w:tcPr>
            <w:tcW w:w="1054" w:type="dxa"/>
            <w:tcBorders>
              <w:top w:val="nil"/>
              <w:left w:val="nil"/>
              <w:bottom w:val="nil"/>
              <w:right w:val="nil"/>
            </w:tcBorders>
            <w:shd w:val="clear" w:color="000000" w:fill="FFFFFF"/>
            <w:noWrap/>
            <w:hideMark/>
          </w:tcPr>
          <w:p w:rsidR="00BA7B95" w:rsidRDefault="00BA7B95" w:rsidP="00EB5C27">
            <w:pPr>
              <w:spacing w:before="60"/>
              <w:ind w:left="-283"/>
              <w:jc w:val="right"/>
              <w:rPr>
                <w:b/>
                <w:bCs/>
                <w:sz w:val="18"/>
                <w:szCs w:val="18"/>
              </w:rPr>
            </w:pPr>
            <w:r>
              <w:rPr>
                <w:b/>
                <w:bCs/>
                <w:sz w:val="18"/>
                <w:szCs w:val="18"/>
              </w:rPr>
              <w:t>1,082</w:t>
            </w:r>
          </w:p>
        </w:tc>
        <w:tc>
          <w:tcPr>
            <w:tcW w:w="2392" w:type="dxa"/>
            <w:tcBorders>
              <w:top w:val="nil"/>
              <w:left w:val="nil"/>
              <w:bottom w:val="nil"/>
              <w:right w:val="nil"/>
            </w:tcBorders>
            <w:shd w:val="clear" w:color="000000" w:fill="FFFFFF"/>
            <w:hideMark/>
          </w:tcPr>
          <w:p w:rsidR="00BA7B95" w:rsidRDefault="00BA7B95" w:rsidP="00EB5C27">
            <w:pPr>
              <w:spacing w:before="60"/>
              <w:rPr>
                <w:b/>
                <w:bCs/>
                <w:sz w:val="18"/>
                <w:szCs w:val="18"/>
              </w:rPr>
            </w:pPr>
            <w:r>
              <w:rPr>
                <w:b/>
                <w:bCs/>
                <w:sz w:val="18"/>
                <w:szCs w:val="18"/>
              </w:rPr>
              <w:t>CASH AT THE END OF</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BA7B95" w:rsidRDefault="00BA7B95" w:rsidP="00EB5C27">
            <w:pPr>
              <w:spacing w:before="60"/>
              <w:ind w:left="-283"/>
              <w:jc w:val="right"/>
              <w:rPr>
                <w:b/>
                <w:bCs/>
                <w:sz w:val="18"/>
                <w:szCs w:val="18"/>
              </w:rPr>
            </w:pPr>
            <w:r>
              <w:rPr>
                <w:b/>
                <w:bCs/>
                <w:sz w:val="18"/>
                <w:szCs w:val="18"/>
              </w:rPr>
              <w:t>1,128</w:t>
            </w:r>
          </w:p>
        </w:tc>
        <w:tc>
          <w:tcPr>
            <w:tcW w:w="1054" w:type="dxa"/>
            <w:tcBorders>
              <w:top w:val="nil"/>
              <w:left w:val="nil"/>
              <w:bottom w:val="nil"/>
              <w:right w:val="nil"/>
            </w:tcBorders>
            <w:shd w:val="clear" w:color="000000" w:fill="FFFFFF"/>
            <w:noWrap/>
            <w:hideMark/>
          </w:tcPr>
          <w:p w:rsidR="00BA7B95" w:rsidRDefault="00BA7B95" w:rsidP="00EB5C27">
            <w:pPr>
              <w:spacing w:before="60"/>
              <w:ind w:left="-283"/>
              <w:jc w:val="right"/>
              <w:rPr>
                <w:b/>
                <w:bCs/>
                <w:sz w:val="18"/>
                <w:szCs w:val="18"/>
              </w:rPr>
            </w:pPr>
            <w:r>
              <w:rPr>
                <w:b/>
                <w:bCs/>
                <w:sz w:val="18"/>
                <w:szCs w:val="18"/>
              </w:rPr>
              <w:t>1,128</w:t>
            </w:r>
          </w:p>
        </w:tc>
        <w:tc>
          <w:tcPr>
            <w:tcW w:w="624" w:type="dxa"/>
            <w:tcBorders>
              <w:top w:val="nil"/>
              <w:left w:val="nil"/>
              <w:bottom w:val="nil"/>
              <w:right w:val="nil"/>
            </w:tcBorders>
            <w:shd w:val="clear" w:color="000000" w:fill="FFFFFF"/>
            <w:noWrap/>
            <w:hideMark/>
          </w:tcPr>
          <w:p w:rsidR="00BA7B95" w:rsidRDefault="00BA7B95" w:rsidP="00EB5C27">
            <w:pPr>
              <w:spacing w:before="60"/>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BA7B95" w:rsidRDefault="00BA7B95" w:rsidP="00EB5C27">
            <w:pPr>
              <w:spacing w:before="60"/>
              <w:ind w:left="-283"/>
              <w:jc w:val="right"/>
              <w:rPr>
                <w:b/>
                <w:bCs/>
                <w:sz w:val="18"/>
                <w:szCs w:val="18"/>
              </w:rPr>
            </w:pPr>
            <w:r>
              <w:rPr>
                <w:b/>
                <w:bCs/>
                <w:sz w:val="18"/>
                <w:szCs w:val="18"/>
              </w:rPr>
              <w:t>1,128</w:t>
            </w:r>
          </w:p>
        </w:tc>
        <w:tc>
          <w:tcPr>
            <w:tcW w:w="1054" w:type="dxa"/>
            <w:tcBorders>
              <w:top w:val="nil"/>
              <w:left w:val="nil"/>
              <w:bottom w:val="nil"/>
              <w:right w:val="nil"/>
            </w:tcBorders>
            <w:shd w:val="clear" w:color="000000" w:fill="FFFFFF"/>
            <w:noWrap/>
            <w:hideMark/>
          </w:tcPr>
          <w:p w:rsidR="00BA7B95" w:rsidRDefault="00BA7B95" w:rsidP="00EB5C27">
            <w:pPr>
              <w:spacing w:before="60"/>
              <w:ind w:left="-283"/>
              <w:jc w:val="right"/>
              <w:rPr>
                <w:b/>
                <w:bCs/>
                <w:sz w:val="18"/>
                <w:szCs w:val="18"/>
              </w:rPr>
            </w:pPr>
            <w:r>
              <w:rPr>
                <w:b/>
                <w:bCs/>
                <w:sz w:val="18"/>
                <w:szCs w:val="18"/>
              </w:rPr>
              <w:t>1,128</w:t>
            </w:r>
          </w:p>
        </w:tc>
        <w:tc>
          <w:tcPr>
            <w:tcW w:w="1054" w:type="dxa"/>
            <w:tcBorders>
              <w:top w:val="nil"/>
              <w:left w:val="nil"/>
              <w:bottom w:val="nil"/>
              <w:right w:val="nil"/>
            </w:tcBorders>
            <w:shd w:val="clear" w:color="000000" w:fill="FFFFFF"/>
            <w:noWrap/>
            <w:hideMark/>
          </w:tcPr>
          <w:p w:rsidR="00BA7B95" w:rsidRDefault="00BA7B95" w:rsidP="00EB5C27">
            <w:pPr>
              <w:spacing w:before="60"/>
              <w:ind w:left="-283"/>
              <w:jc w:val="right"/>
              <w:rPr>
                <w:b/>
                <w:bCs/>
                <w:sz w:val="18"/>
                <w:szCs w:val="18"/>
              </w:rPr>
            </w:pPr>
            <w:r>
              <w:rPr>
                <w:b/>
                <w:bCs/>
                <w:sz w:val="18"/>
                <w:szCs w:val="18"/>
              </w:rPr>
              <w:t>1,128</w:t>
            </w:r>
          </w:p>
        </w:tc>
      </w:tr>
      <w:tr w:rsidR="00BA7B95" w:rsidTr="00BA7B95">
        <w:tc>
          <w:tcPr>
            <w:tcW w:w="1054" w:type="dxa"/>
            <w:tcBorders>
              <w:top w:val="nil"/>
              <w:left w:val="nil"/>
              <w:bottom w:val="single" w:sz="4" w:space="0" w:color="auto"/>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noWrap/>
            <w:hideMark/>
          </w:tcPr>
          <w:p w:rsidR="00BA7B95" w:rsidRDefault="00BA7B95" w:rsidP="00EB5C27">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hideMark/>
          </w:tcPr>
          <w:p w:rsidR="00BA7B95" w:rsidRDefault="00BA7B95" w:rsidP="00EB5C27">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hideMark/>
          </w:tcPr>
          <w:p w:rsidR="00BA7B95" w:rsidRDefault="00BA7B95" w:rsidP="00EB5C27">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hideMark/>
          </w:tcPr>
          <w:p w:rsidR="00BA7B95" w:rsidRDefault="00BA7B95" w:rsidP="00EB5C27">
            <w:pPr>
              <w:ind w:left="-283"/>
              <w:jc w:val="right"/>
              <w:rPr>
                <w:sz w:val="18"/>
                <w:szCs w:val="18"/>
              </w:rPr>
            </w:pPr>
            <w:r>
              <w:rPr>
                <w:sz w:val="18"/>
                <w:szCs w:val="18"/>
              </w:rPr>
              <w:t> </w:t>
            </w:r>
          </w:p>
        </w:tc>
      </w:tr>
    </w:tbl>
    <w:p w:rsidR="00BA7B95" w:rsidRDefault="00BA7B95"/>
    <w:p w:rsidR="00BA7B95" w:rsidRDefault="00BA7B95">
      <w:r>
        <w:br w:type="page"/>
      </w:r>
    </w:p>
    <w:p w:rsidR="005B2326" w:rsidRDefault="005B2326" w:rsidP="005B2326">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bookmarkStart w:id="19" w:name="Temp"/>
      <w:bookmarkEnd w:id="19"/>
      <w:r>
        <w:lastRenderedPageBreak/>
        <w:t>Notes to the Budget Statements</w:t>
      </w:r>
    </w:p>
    <w:p w:rsidR="005B2326" w:rsidRPr="00D57BF0" w:rsidRDefault="005B2326" w:rsidP="005B2326">
      <w:pPr>
        <w:pStyle w:val="Heading4"/>
      </w:pPr>
      <w:r w:rsidRPr="00D57BF0">
        <w:t>Statement of Income and Expenses on Behalf of the Territory</w:t>
      </w:r>
    </w:p>
    <w:p w:rsidR="005B2326" w:rsidRPr="00D57BF0" w:rsidRDefault="005B2326" w:rsidP="005B2326">
      <w:pPr>
        <w:pStyle w:val="BodyTextIndent"/>
      </w:pPr>
      <w:proofErr w:type="gramStart"/>
      <w:r w:rsidRPr="00D57BF0">
        <w:t>payment</w:t>
      </w:r>
      <w:proofErr w:type="gramEnd"/>
      <w:r w:rsidRPr="00D57BF0">
        <w:t xml:space="preserve"> for expenses on behalf of the Territory:  the increase of $</w:t>
      </w:r>
      <w:r>
        <w:t>4.028</w:t>
      </w:r>
      <w:r w:rsidRPr="00D57BF0">
        <w:t xml:space="preserve"> million in the  </w:t>
      </w:r>
      <w:r>
        <w:t>2013-14</w:t>
      </w:r>
      <w:r w:rsidRPr="00D57BF0">
        <w:t xml:space="preserve"> Budget from the </w:t>
      </w:r>
      <w:r>
        <w:t>2012-13</w:t>
      </w:r>
      <w:r w:rsidRPr="00D57BF0">
        <w:t xml:space="preserve"> estimated outcome is mainly due to</w:t>
      </w:r>
      <w:r>
        <w:t xml:space="preserve"> revised wage parameters ($3.807</w:t>
      </w:r>
      <w:r w:rsidRPr="00D57BF0">
        <w:t xml:space="preserve"> million)</w:t>
      </w:r>
      <w:r>
        <w:t xml:space="preserve">, </w:t>
      </w:r>
      <w:r w:rsidR="00A35AE8">
        <w:t xml:space="preserve">the </w:t>
      </w:r>
      <w:r>
        <w:t xml:space="preserve">2013-14 </w:t>
      </w:r>
      <w:r w:rsidRPr="006501AC">
        <w:t>More Police Safer Roads</w:t>
      </w:r>
      <w:r w:rsidR="00A35AE8">
        <w:t xml:space="preserve"> initiative ($1.202 million) and </w:t>
      </w:r>
      <w:r>
        <w:t>2013-14 Eastman Inquiry funding ($0.354 million), partiall</w:t>
      </w:r>
      <w:r w:rsidR="00A9659D">
        <w:t>y offset by savings initiatives.</w:t>
      </w:r>
    </w:p>
    <w:p w:rsidR="005B2326" w:rsidRPr="00D57BF0" w:rsidRDefault="005B2326" w:rsidP="005B2326">
      <w:pPr>
        <w:pStyle w:val="BodyTextIndent"/>
      </w:pPr>
      <w:r w:rsidRPr="00D57BF0">
        <w:t>taxes, fees and fines:</w:t>
      </w:r>
    </w:p>
    <w:p w:rsidR="005B2326" w:rsidRPr="00D57BF0" w:rsidRDefault="005B2326" w:rsidP="005B2326">
      <w:pPr>
        <w:pStyle w:val="BodyTextIndent2"/>
      </w:pPr>
      <w:r w:rsidRPr="00D57BF0">
        <w:t xml:space="preserve">the </w:t>
      </w:r>
      <w:r>
        <w:t>increase</w:t>
      </w:r>
      <w:r w:rsidRPr="00D57BF0">
        <w:t xml:space="preserve"> of $</w:t>
      </w:r>
      <w:r>
        <w:t>2.824</w:t>
      </w:r>
      <w:r w:rsidRPr="00D57BF0">
        <w:t xml:space="preserve"> million in the </w:t>
      </w:r>
      <w:r>
        <w:t>2012-13</w:t>
      </w:r>
      <w:r w:rsidRPr="00D57BF0">
        <w:t xml:space="preserve"> estimated outcome from the original budget is mainly due to </w:t>
      </w:r>
      <w:r>
        <w:t>higher</w:t>
      </w:r>
      <w:r w:rsidRPr="00D57BF0">
        <w:t xml:space="preserve"> than estimated revenue from </w:t>
      </w:r>
      <w:r>
        <w:t xml:space="preserve">fees and </w:t>
      </w:r>
      <w:r w:rsidRPr="00D57BF0">
        <w:t>fines</w:t>
      </w:r>
      <w:r>
        <w:t>,</w:t>
      </w:r>
      <w:r w:rsidRPr="00D57BF0">
        <w:t xml:space="preserve"> predominantly </w:t>
      </w:r>
      <w:r>
        <w:t>motor vehicle registration fees ($1.978 million), fees for regula</w:t>
      </w:r>
      <w:r w:rsidR="00A35AE8">
        <w:t xml:space="preserve">tory services ($1.043 million) and </w:t>
      </w:r>
      <w:r>
        <w:t>parking fines ($0.583 million), partially offset by</w:t>
      </w:r>
      <w:r w:rsidR="00A35AE8">
        <w:t xml:space="preserve"> lower than expected taxi licenc</w:t>
      </w:r>
      <w:r>
        <w:t xml:space="preserve">es revenue ($0.592 million) and court imposed fines  </w:t>
      </w:r>
      <w:r>
        <w:br/>
        <w:t xml:space="preserve">($0.188 million); </w:t>
      </w:r>
      <w:r w:rsidRPr="00D57BF0">
        <w:t>and</w:t>
      </w:r>
    </w:p>
    <w:p w:rsidR="005B2326" w:rsidRPr="00D57BF0" w:rsidRDefault="005B2326" w:rsidP="005B2326">
      <w:pPr>
        <w:pStyle w:val="BodyTextIndent2"/>
      </w:pPr>
      <w:proofErr w:type="gramStart"/>
      <w:r>
        <w:t>the</w:t>
      </w:r>
      <w:proofErr w:type="gramEnd"/>
      <w:r>
        <w:t xml:space="preserve"> increase of $10.452</w:t>
      </w:r>
      <w:r w:rsidRPr="00D57BF0">
        <w:t xml:space="preserve"> million in the </w:t>
      </w:r>
      <w:r>
        <w:t>2013-14</w:t>
      </w:r>
      <w:r w:rsidRPr="00D57BF0">
        <w:t xml:space="preserve"> Budget from the </w:t>
      </w:r>
      <w:r>
        <w:t>2012-13</w:t>
      </w:r>
      <w:r w:rsidRPr="00D57BF0">
        <w:t xml:space="preserve"> estimated outcome is mainly due to new initiatives ($</w:t>
      </w:r>
      <w:r w:rsidR="00AE07FA">
        <w:t>5.447</w:t>
      </w:r>
      <w:r w:rsidRPr="00D57BF0">
        <w:t xml:space="preserve"> million), indexation and other net adjustments ($</w:t>
      </w:r>
      <w:r w:rsidR="00491B0A">
        <w:t>5.005</w:t>
      </w:r>
      <w:r>
        <w:t xml:space="preserve"> </w:t>
      </w:r>
      <w:r w:rsidRPr="00D57BF0">
        <w:t>million).</w:t>
      </w:r>
    </w:p>
    <w:p w:rsidR="005B2326" w:rsidRPr="00D57BF0" w:rsidRDefault="005B2326" w:rsidP="005B2326">
      <w:pPr>
        <w:pStyle w:val="BodyTextIndent"/>
      </w:pPr>
      <w:r w:rsidRPr="00D57BF0">
        <w:t>user charges – non ACT Government:</w:t>
      </w:r>
    </w:p>
    <w:p w:rsidR="005B2326" w:rsidRPr="00D57BF0" w:rsidRDefault="005B2326" w:rsidP="005B2326">
      <w:pPr>
        <w:pStyle w:val="BodyTextIndent2"/>
      </w:pPr>
      <w:r w:rsidRPr="00D57BF0">
        <w:t>the decrease of $</w:t>
      </w:r>
      <w:r>
        <w:t>2.380</w:t>
      </w:r>
      <w:r w:rsidRPr="00D57BF0">
        <w:t xml:space="preserve"> million in the </w:t>
      </w:r>
      <w:r>
        <w:t>2012-13</w:t>
      </w:r>
      <w:r w:rsidRPr="00D57BF0">
        <w:t xml:space="preserve"> estimated outcome from the original budget is mainly due to lower than expected parking fees revenue; and</w:t>
      </w:r>
    </w:p>
    <w:p w:rsidR="005B2326" w:rsidRDefault="005B2326" w:rsidP="005B2326">
      <w:pPr>
        <w:pStyle w:val="BodyTextIndent2"/>
      </w:pPr>
      <w:proofErr w:type="gramStart"/>
      <w:r w:rsidRPr="00D57BF0">
        <w:t>the</w:t>
      </w:r>
      <w:proofErr w:type="gramEnd"/>
      <w:r w:rsidRPr="00D57BF0">
        <w:t xml:space="preserve"> increase of $3.</w:t>
      </w:r>
      <w:r>
        <w:t>213</w:t>
      </w:r>
      <w:r w:rsidRPr="00D57BF0">
        <w:t xml:space="preserve"> million in the </w:t>
      </w:r>
      <w:r>
        <w:t>2013-14</w:t>
      </w:r>
      <w:r w:rsidRPr="00D57BF0">
        <w:t xml:space="preserve"> Budget from the </w:t>
      </w:r>
      <w:r>
        <w:t>2012-13</w:t>
      </w:r>
      <w:r w:rsidRPr="00D57BF0">
        <w:t xml:space="preserve"> estimated outcome is mainly due to </w:t>
      </w:r>
      <w:r>
        <w:t>increases in parking fees</w:t>
      </w:r>
      <w:r w:rsidRPr="00D57BF0">
        <w:t>.</w:t>
      </w:r>
    </w:p>
    <w:p w:rsidR="005B2326" w:rsidRDefault="005B2326" w:rsidP="005B2326">
      <w:pPr>
        <w:pStyle w:val="BodyTextIndent"/>
      </w:pPr>
      <w:r>
        <w:t>other revenue:</w:t>
      </w:r>
    </w:p>
    <w:p w:rsidR="005B2326" w:rsidRDefault="005B2326" w:rsidP="005B2326">
      <w:pPr>
        <w:pStyle w:val="BodyTextIndent2"/>
      </w:pPr>
      <w:r>
        <w:t>the increase of $1.169 million in the 2012-13 estimated outcome from the original budget is mainly due to higher than expected recovery of disbursements f</w:t>
      </w:r>
      <w:r w:rsidR="00B146F2">
        <w:t>or matters covered by insurance; and</w:t>
      </w:r>
    </w:p>
    <w:p w:rsidR="005B2326" w:rsidRPr="00FC54C9" w:rsidRDefault="005B2326" w:rsidP="005B2326">
      <w:pPr>
        <w:pStyle w:val="BodyTextIndent2"/>
      </w:pPr>
      <w:proofErr w:type="gramStart"/>
      <w:r>
        <w:t>the</w:t>
      </w:r>
      <w:proofErr w:type="gramEnd"/>
      <w:r>
        <w:t xml:space="preserve"> decrease of $1.118 million in the 2013-14 Budget from the 2012-13 estimated outc</w:t>
      </w:r>
      <w:r w:rsidR="004E6018">
        <w:t>ome is mainly due to cessation of</w:t>
      </w:r>
      <w:r>
        <w:t xml:space="preserve"> insurance recovery revenue in 2012-13.</w:t>
      </w:r>
    </w:p>
    <w:p w:rsidR="005B2326" w:rsidRPr="00D57BF0" w:rsidRDefault="005B2326" w:rsidP="005B2326">
      <w:pPr>
        <w:pStyle w:val="BodyTextIndent"/>
      </w:pPr>
      <w:proofErr w:type="gramStart"/>
      <w:r w:rsidRPr="00D57BF0">
        <w:t>supplies</w:t>
      </w:r>
      <w:proofErr w:type="gramEnd"/>
      <w:r w:rsidRPr="00D57BF0">
        <w:t xml:space="preserve"> and services:  the increase of $</w:t>
      </w:r>
      <w:r>
        <w:t>4.028</w:t>
      </w:r>
      <w:r w:rsidRPr="00D57BF0">
        <w:t xml:space="preserve"> million in the </w:t>
      </w:r>
      <w:r>
        <w:t>2013-14</w:t>
      </w:r>
      <w:r w:rsidRPr="00D57BF0">
        <w:t xml:space="preserve"> Budget from the </w:t>
      </w:r>
      <w:r>
        <w:t>2012-13</w:t>
      </w:r>
      <w:r w:rsidRPr="00D57BF0">
        <w:t xml:space="preserve"> estimated outcome is mainly due to ACT Policing Collective Agreement Funding ($</w:t>
      </w:r>
      <w:r>
        <w:t>3.807</w:t>
      </w:r>
      <w:r w:rsidRPr="00D57BF0">
        <w:t xml:space="preserve"> million)</w:t>
      </w:r>
      <w:r w:rsidR="00A35AE8">
        <w:t xml:space="preserve"> and </w:t>
      </w:r>
      <w:r>
        <w:t>new initiatives ($1.556 million), partially offset by</w:t>
      </w:r>
      <w:r w:rsidRPr="00D57BF0">
        <w:t xml:space="preserve"> </w:t>
      </w:r>
      <w:r w:rsidR="00D16EC2">
        <w:t>other initiatives.</w:t>
      </w:r>
    </w:p>
    <w:p w:rsidR="005B2326" w:rsidRPr="0088702B" w:rsidRDefault="005B2326" w:rsidP="005B2326">
      <w:pPr>
        <w:pStyle w:val="BodyTextIndent"/>
      </w:pPr>
      <w:proofErr w:type="gramStart"/>
      <w:r w:rsidRPr="0088702B">
        <w:t>transfer</w:t>
      </w:r>
      <w:proofErr w:type="gramEnd"/>
      <w:r w:rsidRPr="0088702B">
        <w:t xml:space="preserve"> expenses: </w:t>
      </w:r>
      <w:r>
        <w:t xml:space="preserve"> </w:t>
      </w:r>
      <w:r w:rsidRPr="0088702B">
        <w:t xml:space="preserve">the </w:t>
      </w:r>
      <w:r>
        <w:t>inc</w:t>
      </w:r>
      <w:r w:rsidRPr="0088702B">
        <w:t>rease of $</w:t>
      </w:r>
      <w:r>
        <w:t>1.613</w:t>
      </w:r>
      <w:r w:rsidRPr="0088702B">
        <w:t xml:space="preserve"> million in the </w:t>
      </w:r>
      <w:r>
        <w:t>2012-13</w:t>
      </w:r>
      <w:r w:rsidRPr="0088702B">
        <w:t xml:space="preserve"> estimated outcome from the origin</w:t>
      </w:r>
      <w:r>
        <w:t xml:space="preserve">al budget and the increase of $12.547 </w:t>
      </w:r>
      <w:r w:rsidRPr="0088702B">
        <w:t xml:space="preserve">million in the </w:t>
      </w:r>
      <w:r>
        <w:t>2013-14</w:t>
      </w:r>
      <w:r w:rsidRPr="0088702B">
        <w:t xml:space="preserve"> Budget from the </w:t>
      </w:r>
      <w:r>
        <w:t>2012-13</w:t>
      </w:r>
      <w:r w:rsidRPr="0088702B">
        <w:t xml:space="preserve"> estimated outcome </w:t>
      </w:r>
      <w:r>
        <w:t>reflect</w:t>
      </w:r>
      <w:r w:rsidRPr="0088702B">
        <w:t xml:space="preserve"> Territorial revenue</w:t>
      </w:r>
      <w:r>
        <w:t>s as</w:t>
      </w:r>
      <w:r w:rsidRPr="0088702B">
        <w:t xml:space="preserve"> explained above.</w:t>
      </w:r>
    </w:p>
    <w:p w:rsidR="00DE2D95" w:rsidRDefault="00DE2D95">
      <w:pPr>
        <w:rPr>
          <w:i/>
        </w:rPr>
      </w:pPr>
      <w:r>
        <w:br w:type="page"/>
      </w:r>
    </w:p>
    <w:p w:rsidR="005B2326" w:rsidRPr="00D57BF0" w:rsidRDefault="005B2326" w:rsidP="005B2326">
      <w:pPr>
        <w:pStyle w:val="Heading4"/>
      </w:pPr>
      <w:r w:rsidRPr="00D57BF0">
        <w:lastRenderedPageBreak/>
        <w:t>Statement of Assets and Liabilities on Behalf of the Territory</w:t>
      </w:r>
    </w:p>
    <w:p w:rsidR="005B2326" w:rsidRPr="00D57BF0" w:rsidRDefault="005B2326" w:rsidP="005B2326">
      <w:pPr>
        <w:pStyle w:val="BodyTextIndent"/>
      </w:pPr>
      <w:proofErr w:type="gramStart"/>
      <w:r w:rsidRPr="00D57BF0">
        <w:t>current</w:t>
      </w:r>
      <w:proofErr w:type="gramEnd"/>
      <w:r w:rsidRPr="00D57BF0">
        <w:t xml:space="preserve"> receivables:</w:t>
      </w:r>
      <w:r w:rsidR="003564FB">
        <w:t xml:space="preserve">  </w:t>
      </w:r>
      <w:r w:rsidRPr="00D57BF0">
        <w:t>the increase of $</w:t>
      </w:r>
      <w:r>
        <w:t>0.833</w:t>
      </w:r>
      <w:r w:rsidR="009A6500">
        <w:t> </w:t>
      </w:r>
      <w:r w:rsidRPr="00D57BF0">
        <w:t xml:space="preserve">million in the </w:t>
      </w:r>
      <w:r>
        <w:t>2012-13</w:t>
      </w:r>
      <w:r w:rsidRPr="00D57BF0">
        <w:t xml:space="preserve"> estimated outcome from the original budget is mainly due to the </w:t>
      </w:r>
      <w:r>
        <w:t>2011-12</w:t>
      </w:r>
      <w:r w:rsidRPr="00D57BF0">
        <w:t xml:space="preserve"> audited outcome flow-on effects</w:t>
      </w:r>
      <w:r w:rsidR="00695CD5">
        <w:t>.</w:t>
      </w:r>
    </w:p>
    <w:p w:rsidR="005B2326" w:rsidRPr="00D57BF0" w:rsidRDefault="005B2326" w:rsidP="005B2326">
      <w:pPr>
        <w:pStyle w:val="BodyTextIndent"/>
      </w:pPr>
      <w:r>
        <w:t>property, plant and equipment</w:t>
      </w:r>
      <w:r w:rsidRPr="00D57BF0">
        <w:t>:</w:t>
      </w:r>
    </w:p>
    <w:p w:rsidR="005B2326" w:rsidRPr="000046C2" w:rsidRDefault="005B2326" w:rsidP="005B2326">
      <w:pPr>
        <w:pStyle w:val="BodyTextIndent2"/>
      </w:pPr>
      <w:r w:rsidRPr="00D57BF0">
        <w:t>the decrease of $</w:t>
      </w:r>
      <w:r>
        <w:t>2.281</w:t>
      </w:r>
      <w:r w:rsidRPr="00D57BF0">
        <w:t xml:space="preserve"> million in the </w:t>
      </w:r>
      <w:r>
        <w:t>2012-13</w:t>
      </w:r>
      <w:r w:rsidRPr="00D57BF0">
        <w:t xml:space="preserve"> estimated outcome from the original budget is mainly due to the net rollover of funding related to the </w:t>
      </w:r>
      <w:r w:rsidRPr="000046C2">
        <w:t>2011-12 audited outcome flow-on effects; and</w:t>
      </w:r>
    </w:p>
    <w:p w:rsidR="005B2326" w:rsidRPr="000046C2" w:rsidRDefault="005B2326" w:rsidP="005B2326">
      <w:pPr>
        <w:pStyle w:val="BodyTextIndent2"/>
      </w:pPr>
      <w:r w:rsidRPr="000046C2">
        <w:t>the decrease of $2.006 million in the 2013-14 Budget from the 2012-13 estimated outcome is due to depreciation ($2.3</w:t>
      </w:r>
      <w:r w:rsidR="000046C2" w:rsidRPr="000046C2">
        <w:t>10</w:t>
      </w:r>
      <w:r w:rsidRPr="000046C2">
        <w:t xml:space="preserve"> million), partially offset by </w:t>
      </w:r>
      <w:r w:rsidR="00A35AE8">
        <w:t xml:space="preserve">an </w:t>
      </w:r>
      <w:r w:rsidRPr="000046C2">
        <w:t xml:space="preserve">increase in assets associated with the ACT Policing facilities and the </w:t>
      </w:r>
      <w:r w:rsidR="000046C2" w:rsidRPr="000046C2">
        <w:t>capital upgrades program.</w:t>
      </w:r>
    </w:p>
    <w:p w:rsidR="005B2326" w:rsidRPr="00D57BF0" w:rsidRDefault="001A3992" w:rsidP="005B2326">
      <w:pPr>
        <w:pStyle w:val="BodyTextIndent"/>
      </w:pPr>
      <w:proofErr w:type="gramStart"/>
      <w:r>
        <w:t>other</w:t>
      </w:r>
      <w:proofErr w:type="gramEnd"/>
      <w:r w:rsidRPr="00D57BF0">
        <w:t xml:space="preserve"> </w:t>
      </w:r>
      <w:r w:rsidR="005B2326" w:rsidRPr="00D57BF0">
        <w:t>liabilities</w:t>
      </w:r>
      <w:r w:rsidR="005B2326">
        <w:t xml:space="preserve">:  </w:t>
      </w:r>
      <w:r w:rsidR="005B2326" w:rsidRPr="00D57BF0">
        <w:t>the increase of $0.</w:t>
      </w:r>
      <w:r w:rsidR="005B2326">
        <w:t>995</w:t>
      </w:r>
      <w:r w:rsidR="005B2326" w:rsidRPr="00D57BF0">
        <w:t xml:space="preserve"> million in the </w:t>
      </w:r>
      <w:r w:rsidR="005B2326">
        <w:t>2012-13</w:t>
      </w:r>
      <w:r w:rsidR="005B2326" w:rsidRPr="00D57BF0">
        <w:t xml:space="preserve"> estimated outcome from the original budget is mainly due to t</w:t>
      </w:r>
      <w:r w:rsidR="005B2326">
        <w:t>he 2011-12 audited outcome flow-</w:t>
      </w:r>
      <w:r w:rsidR="005B2326" w:rsidRPr="00D57BF0">
        <w:t>on effects.</w:t>
      </w:r>
    </w:p>
    <w:p w:rsidR="005B2326" w:rsidRPr="00D57BF0" w:rsidRDefault="005B2326" w:rsidP="005B2326">
      <w:pPr>
        <w:pStyle w:val="Heading4"/>
      </w:pPr>
      <w:r w:rsidRPr="00D57BF0">
        <w:t>Statement of Changes in Equity on Behalf of the Territory</w:t>
      </w:r>
    </w:p>
    <w:p w:rsidR="005B2326" w:rsidRDefault="005B2326" w:rsidP="005B2326">
      <w:pPr>
        <w:pStyle w:val="BodyTextIndent"/>
      </w:pPr>
      <w:r w:rsidRPr="00D57BF0">
        <w:t xml:space="preserve">capital injections: </w:t>
      </w:r>
      <w:r>
        <w:t xml:space="preserve"> </w:t>
      </w:r>
      <w:r w:rsidRPr="00D57BF0">
        <w:t>the decrease of $</w:t>
      </w:r>
      <w:r>
        <w:t>0.684</w:t>
      </w:r>
      <w:r w:rsidRPr="00D57BF0">
        <w:t xml:space="preserve"> million in the </w:t>
      </w:r>
      <w:r>
        <w:t>2013-14</w:t>
      </w:r>
      <w:r w:rsidRPr="00D57BF0">
        <w:t xml:space="preserve"> Budget from the </w:t>
      </w:r>
      <w:r>
        <w:t xml:space="preserve">   2012-13</w:t>
      </w:r>
      <w:r w:rsidRPr="00D57BF0">
        <w:t xml:space="preserve"> estimated outcome </w:t>
      </w:r>
      <w:r>
        <w:t xml:space="preserve">is </w:t>
      </w:r>
      <w:r w:rsidRPr="00D57BF0">
        <w:t>mainly due to a reduction of capital fund</w:t>
      </w:r>
      <w:r w:rsidR="000757FD">
        <w:t>ing due to the completion of the ACT Policing related capital projects</w:t>
      </w:r>
      <w:r w:rsidRPr="00D57BF0">
        <w:t>.</w:t>
      </w:r>
    </w:p>
    <w:p w:rsidR="000046C2" w:rsidRPr="00D57BF0" w:rsidRDefault="000046C2" w:rsidP="000046C2">
      <w:pPr>
        <w:pStyle w:val="Heading4"/>
      </w:pPr>
      <w:r w:rsidRPr="00D57BF0">
        <w:t xml:space="preserve">Statement of </w:t>
      </w:r>
      <w:r>
        <w:t>Cash Flows</w:t>
      </w:r>
      <w:r w:rsidRPr="00D57BF0">
        <w:t xml:space="preserve"> on Behalf of the Territory</w:t>
      </w:r>
    </w:p>
    <w:p w:rsidR="000046C2" w:rsidRDefault="000046C2" w:rsidP="000046C2">
      <w:pPr>
        <w:pStyle w:val="BodyText"/>
        <w:keepNext w:val="0"/>
        <w:keepLines w:val="0"/>
      </w:pPr>
      <w:r w:rsidRPr="0002720A">
        <w:t>Variations in the statement are explained in the notes above.</w:t>
      </w:r>
    </w:p>
    <w:p w:rsidR="000046C2" w:rsidRPr="000046C2" w:rsidRDefault="000046C2" w:rsidP="000046C2">
      <w:pPr>
        <w:pStyle w:val="BodyText"/>
      </w:pPr>
    </w:p>
    <w:p w:rsidR="00EB5C27" w:rsidRDefault="00EB5C27">
      <w:r>
        <w:br w:type="page"/>
      </w:r>
    </w:p>
    <w:tbl>
      <w:tblPr>
        <w:tblW w:w="9356" w:type="dxa"/>
        <w:tblLook w:val="04A0"/>
      </w:tblPr>
      <w:tblGrid>
        <w:gridCol w:w="1050"/>
        <w:gridCol w:w="2384"/>
        <w:gridCol w:w="1102"/>
        <w:gridCol w:w="1049"/>
        <w:gridCol w:w="621"/>
        <w:gridCol w:w="1050"/>
        <w:gridCol w:w="1050"/>
        <w:gridCol w:w="1050"/>
      </w:tblGrid>
      <w:tr w:rsidR="00700314" w:rsidTr="0008156E">
        <w:trPr>
          <w:tblHeader/>
        </w:trPr>
        <w:tc>
          <w:tcPr>
            <w:tcW w:w="9388" w:type="dxa"/>
            <w:gridSpan w:val="8"/>
            <w:tcBorders>
              <w:top w:val="nil"/>
              <w:left w:val="nil"/>
              <w:bottom w:val="nil"/>
              <w:right w:val="nil"/>
            </w:tcBorders>
            <w:shd w:val="clear" w:color="000000" w:fill="FFFFFF"/>
            <w:hideMark/>
          </w:tcPr>
          <w:p w:rsidR="00700314" w:rsidRDefault="00700314" w:rsidP="0008156E">
            <w:pPr>
              <w:jc w:val="center"/>
              <w:rPr>
                <w:rFonts w:ascii="Arial" w:hAnsi="Arial" w:cs="Arial"/>
                <w:b/>
                <w:bCs/>
                <w:szCs w:val="24"/>
              </w:rPr>
            </w:pPr>
            <w:bookmarkStart w:id="20" w:name="RANGE!A1:H39"/>
            <w:r>
              <w:rPr>
                <w:rFonts w:ascii="Arial" w:hAnsi="Arial" w:cs="Arial"/>
                <w:b/>
                <w:bCs/>
              </w:rPr>
              <w:lastRenderedPageBreak/>
              <w:t>Justice Services</w:t>
            </w:r>
            <w:bookmarkEnd w:id="20"/>
          </w:p>
        </w:tc>
      </w:tr>
      <w:tr w:rsidR="00700314" w:rsidTr="0008156E">
        <w:trPr>
          <w:tblHeader/>
        </w:trPr>
        <w:tc>
          <w:tcPr>
            <w:tcW w:w="9388" w:type="dxa"/>
            <w:gridSpan w:val="8"/>
            <w:tcBorders>
              <w:top w:val="nil"/>
              <w:left w:val="nil"/>
              <w:bottom w:val="nil"/>
              <w:right w:val="nil"/>
            </w:tcBorders>
            <w:shd w:val="clear" w:color="000000" w:fill="FFFFFF"/>
            <w:hideMark/>
          </w:tcPr>
          <w:p w:rsidR="00700314" w:rsidRDefault="00700314" w:rsidP="0008156E">
            <w:pPr>
              <w:jc w:val="center"/>
              <w:rPr>
                <w:rFonts w:ascii="Arial" w:hAnsi="Arial" w:cs="Arial"/>
                <w:b/>
                <w:bCs/>
                <w:szCs w:val="24"/>
              </w:rPr>
            </w:pPr>
            <w:r>
              <w:rPr>
                <w:rFonts w:ascii="Arial" w:hAnsi="Arial" w:cs="Arial"/>
                <w:b/>
                <w:bCs/>
              </w:rPr>
              <w:t>Operating Statement</w:t>
            </w:r>
          </w:p>
        </w:tc>
      </w:tr>
      <w:tr w:rsidR="00700314" w:rsidTr="0008156E">
        <w:trPr>
          <w:tblHeader/>
        </w:trPr>
        <w:tc>
          <w:tcPr>
            <w:tcW w:w="1054" w:type="dxa"/>
            <w:tcBorders>
              <w:top w:val="single" w:sz="4" w:space="0" w:color="auto"/>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hideMark/>
          </w:tcPr>
          <w:p w:rsidR="00700314" w:rsidRDefault="00700314" w:rsidP="0008156E">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2016-17</w:t>
            </w:r>
          </w:p>
        </w:tc>
      </w:tr>
      <w:tr w:rsidR="00700314" w:rsidTr="0008156E">
        <w:trPr>
          <w:tblHeader/>
        </w:trPr>
        <w:tc>
          <w:tcPr>
            <w:tcW w:w="1054"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hideMark/>
          </w:tcPr>
          <w:p w:rsidR="00700314" w:rsidRDefault="00700314" w:rsidP="0008156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proofErr w:type="spellStart"/>
            <w:r>
              <w:rPr>
                <w:b/>
                <w:bCs/>
                <w:sz w:val="18"/>
                <w:szCs w:val="18"/>
              </w:rPr>
              <w:t>Var</w:t>
            </w:r>
            <w:proofErr w:type="spellEnd"/>
          </w:p>
        </w:tc>
        <w:tc>
          <w:tcPr>
            <w:tcW w:w="1054"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Estimate</w:t>
            </w:r>
          </w:p>
        </w:tc>
      </w:tr>
      <w:tr w:rsidR="00700314" w:rsidTr="0008156E">
        <w:trPr>
          <w:tblHeader/>
        </w:trPr>
        <w:tc>
          <w:tcPr>
            <w:tcW w:w="1054" w:type="dxa"/>
            <w:tcBorders>
              <w:top w:val="nil"/>
              <w:left w:val="nil"/>
              <w:bottom w:val="single" w:sz="4" w:space="0" w:color="auto"/>
              <w:right w:val="nil"/>
            </w:tcBorders>
            <w:shd w:val="clear" w:color="000000" w:fill="FFFFFF"/>
            <w:hideMark/>
          </w:tcPr>
          <w:p w:rsidR="00700314" w:rsidRDefault="00700314" w:rsidP="0008156E">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hideMark/>
          </w:tcPr>
          <w:p w:rsidR="00700314" w:rsidRDefault="00700314" w:rsidP="0008156E">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hideMark/>
          </w:tcPr>
          <w:p w:rsidR="00700314" w:rsidRDefault="00700314" w:rsidP="0008156E">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700314" w:rsidRDefault="00700314" w:rsidP="0008156E">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hideMark/>
          </w:tcPr>
          <w:p w:rsidR="00700314" w:rsidRDefault="00700314" w:rsidP="0008156E">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hideMark/>
          </w:tcPr>
          <w:p w:rsidR="00700314" w:rsidRDefault="00700314" w:rsidP="0008156E">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700314" w:rsidRDefault="00700314" w:rsidP="0008156E">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700314" w:rsidRDefault="00700314" w:rsidP="0008156E">
            <w:pPr>
              <w:ind w:left="-283"/>
              <w:jc w:val="right"/>
              <w:rPr>
                <w:b/>
                <w:bCs/>
                <w:sz w:val="18"/>
                <w:szCs w:val="18"/>
              </w:rPr>
            </w:pPr>
            <w:r>
              <w:rPr>
                <w:b/>
                <w:bCs/>
                <w:sz w:val="18"/>
                <w:szCs w:val="18"/>
              </w:rPr>
              <w:t>$'000</w:t>
            </w:r>
          </w:p>
        </w:tc>
      </w:tr>
      <w:tr w:rsidR="00700314" w:rsidTr="0008156E">
        <w:trPr>
          <w:tblHeader/>
        </w:trPr>
        <w:tc>
          <w:tcPr>
            <w:tcW w:w="1054" w:type="dxa"/>
            <w:tcBorders>
              <w:top w:val="nil"/>
              <w:left w:val="nil"/>
              <w:bottom w:val="nil"/>
              <w:right w:val="nil"/>
            </w:tcBorders>
            <w:shd w:val="clear" w:color="000000" w:fill="FFFFFF"/>
            <w:hideMark/>
          </w:tcPr>
          <w:p w:rsidR="00700314" w:rsidRDefault="00700314" w:rsidP="0008156E">
            <w:pPr>
              <w:ind w:left="-283"/>
              <w:jc w:val="right"/>
              <w:rPr>
                <w:b/>
                <w:bCs/>
                <w:i/>
                <w:iCs/>
                <w:sz w:val="18"/>
                <w:szCs w:val="18"/>
              </w:rPr>
            </w:pPr>
            <w:r>
              <w:rPr>
                <w:b/>
                <w:bCs/>
                <w:i/>
                <w:iCs/>
                <w:sz w:val="18"/>
                <w:szCs w:val="18"/>
              </w:rPr>
              <w:t> </w:t>
            </w:r>
          </w:p>
        </w:tc>
        <w:tc>
          <w:tcPr>
            <w:tcW w:w="2392" w:type="dxa"/>
            <w:tcBorders>
              <w:top w:val="nil"/>
              <w:left w:val="nil"/>
              <w:bottom w:val="nil"/>
              <w:right w:val="nil"/>
            </w:tcBorders>
            <w:shd w:val="clear" w:color="000000" w:fill="FFFFFF"/>
            <w:hideMark/>
          </w:tcPr>
          <w:p w:rsidR="00700314" w:rsidRDefault="00700314" w:rsidP="0008156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00314" w:rsidRDefault="00700314" w:rsidP="0008156E">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b/>
                <w:bCs/>
                <w:i/>
                <w:iCs/>
                <w:sz w:val="18"/>
                <w:szCs w:val="18"/>
              </w:rPr>
            </w:pPr>
            <w:r>
              <w:rPr>
                <w:b/>
                <w:bCs/>
                <w:i/>
                <w:iCs/>
                <w:sz w:val="18"/>
                <w:szCs w:val="18"/>
              </w:rPr>
              <w:t> </w:t>
            </w:r>
          </w:p>
        </w:tc>
        <w:tc>
          <w:tcPr>
            <w:tcW w:w="624" w:type="dxa"/>
            <w:tcBorders>
              <w:top w:val="nil"/>
              <w:left w:val="nil"/>
              <w:bottom w:val="nil"/>
              <w:right w:val="nil"/>
            </w:tcBorders>
            <w:shd w:val="clear" w:color="000000" w:fill="FFFFFF"/>
            <w:hideMark/>
          </w:tcPr>
          <w:p w:rsidR="00700314" w:rsidRDefault="00700314" w:rsidP="0008156E">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b/>
                <w:bCs/>
                <w:i/>
                <w:iCs/>
                <w:sz w:val="18"/>
                <w:szCs w:val="18"/>
              </w:rPr>
            </w:pPr>
            <w:r>
              <w:rPr>
                <w:b/>
                <w:bCs/>
                <w:i/>
                <w:iCs/>
                <w:sz w:val="18"/>
                <w:szCs w:val="18"/>
              </w:rPr>
              <w:t> </w:t>
            </w:r>
          </w:p>
        </w:tc>
      </w:tr>
      <w:tr w:rsidR="00700314" w:rsidTr="0008156E">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00314" w:rsidRDefault="00700314" w:rsidP="0008156E">
            <w:pPr>
              <w:rPr>
                <w:b/>
                <w:bCs/>
                <w:sz w:val="18"/>
                <w:szCs w:val="18"/>
              </w:rPr>
            </w:pPr>
            <w:r>
              <w:rPr>
                <w:b/>
                <w:bCs/>
                <w:sz w:val="18"/>
                <w:szCs w:val="18"/>
              </w:rPr>
              <w:t>Income</w:t>
            </w:r>
          </w:p>
        </w:tc>
        <w:tc>
          <w:tcPr>
            <w:tcW w:w="1106"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r>
      <w:tr w:rsidR="00700314" w:rsidTr="0008156E">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00314" w:rsidRDefault="00700314" w:rsidP="0008156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r>
      <w:tr w:rsidR="00700314" w:rsidTr="0008156E">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00314" w:rsidRDefault="00700314" w:rsidP="0008156E">
            <w:pPr>
              <w:rPr>
                <w:b/>
                <w:bCs/>
                <w:sz w:val="18"/>
                <w:szCs w:val="18"/>
              </w:rPr>
            </w:pPr>
            <w:r>
              <w:rPr>
                <w:b/>
                <w:bCs/>
                <w:sz w:val="18"/>
                <w:szCs w:val="18"/>
              </w:rPr>
              <w:t>Revenue</w:t>
            </w:r>
          </w:p>
        </w:tc>
        <w:tc>
          <w:tcPr>
            <w:tcW w:w="1106"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r>
      <w:tr w:rsidR="00700314" w:rsidTr="0008156E">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00314" w:rsidRDefault="00700314" w:rsidP="0008156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r>
      <w:tr w:rsidR="00700314" w:rsidTr="0008156E">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85,882</w:t>
            </w:r>
          </w:p>
        </w:tc>
        <w:tc>
          <w:tcPr>
            <w:tcW w:w="2392" w:type="dxa"/>
            <w:tcBorders>
              <w:top w:val="nil"/>
              <w:left w:val="nil"/>
              <w:bottom w:val="nil"/>
              <w:right w:val="nil"/>
            </w:tcBorders>
            <w:shd w:val="clear" w:color="000000" w:fill="FFFFFF"/>
            <w:hideMark/>
          </w:tcPr>
          <w:p w:rsidR="00700314" w:rsidRDefault="00700314" w:rsidP="0008156E">
            <w:pPr>
              <w:rPr>
                <w:sz w:val="18"/>
                <w:szCs w:val="18"/>
              </w:rPr>
            </w:pPr>
            <w:r>
              <w:rPr>
                <w:sz w:val="18"/>
                <w:szCs w:val="18"/>
              </w:rPr>
              <w:t xml:space="preserve">Government Payment for </w:t>
            </w:r>
            <w:r>
              <w:rPr>
                <w:sz w:val="18"/>
                <w:szCs w:val="18"/>
              </w:rPr>
              <w:br/>
              <w:t xml:space="preserve">   Outputs</w:t>
            </w:r>
          </w:p>
        </w:tc>
        <w:tc>
          <w:tcPr>
            <w:tcW w:w="1106"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85,683</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85,453</w:t>
            </w:r>
          </w:p>
        </w:tc>
        <w:tc>
          <w:tcPr>
            <w:tcW w:w="62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84,804</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85,787</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86,483</w:t>
            </w:r>
          </w:p>
        </w:tc>
      </w:tr>
      <w:tr w:rsidR="00700314" w:rsidTr="0008156E">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2,161</w:t>
            </w:r>
          </w:p>
        </w:tc>
        <w:tc>
          <w:tcPr>
            <w:tcW w:w="2392" w:type="dxa"/>
            <w:tcBorders>
              <w:top w:val="nil"/>
              <w:left w:val="nil"/>
              <w:bottom w:val="nil"/>
              <w:right w:val="nil"/>
            </w:tcBorders>
            <w:shd w:val="clear" w:color="000000" w:fill="FFFFFF"/>
            <w:hideMark/>
          </w:tcPr>
          <w:p w:rsidR="00700314" w:rsidRDefault="00700314" w:rsidP="0008156E">
            <w:pPr>
              <w:rPr>
                <w:sz w:val="18"/>
                <w:szCs w:val="18"/>
              </w:rPr>
            </w:pPr>
            <w:r>
              <w:rPr>
                <w:sz w:val="18"/>
                <w:szCs w:val="18"/>
              </w:rPr>
              <w:t xml:space="preserve">User Charges - Non ACT </w:t>
            </w:r>
            <w:r>
              <w:rPr>
                <w:sz w:val="18"/>
                <w:szCs w:val="18"/>
              </w:rPr>
              <w:br/>
              <w:t xml:space="preserve">   Government</w:t>
            </w:r>
          </w:p>
        </w:tc>
        <w:tc>
          <w:tcPr>
            <w:tcW w:w="1106"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2,243</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1,489</w:t>
            </w:r>
          </w:p>
        </w:tc>
        <w:tc>
          <w:tcPr>
            <w:tcW w:w="62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xml:space="preserve">-34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1,490</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1,528</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1,588</w:t>
            </w:r>
          </w:p>
        </w:tc>
      </w:tr>
      <w:tr w:rsidR="00700314" w:rsidTr="0008156E">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2,919</w:t>
            </w:r>
          </w:p>
        </w:tc>
        <w:tc>
          <w:tcPr>
            <w:tcW w:w="2392" w:type="dxa"/>
            <w:tcBorders>
              <w:top w:val="nil"/>
              <w:left w:val="nil"/>
              <w:bottom w:val="nil"/>
              <w:right w:val="nil"/>
            </w:tcBorders>
            <w:shd w:val="clear" w:color="000000" w:fill="FFFFFF"/>
            <w:hideMark/>
          </w:tcPr>
          <w:p w:rsidR="00700314" w:rsidRDefault="00700314" w:rsidP="0008156E">
            <w:pPr>
              <w:rPr>
                <w:sz w:val="18"/>
                <w:szCs w:val="18"/>
              </w:rPr>
            </w:pPr>
            <w:r>
              <w:rPr>
                <w:sz w:val="18"/>
                <w:szCs w:val="18"/>
              </w:rPr>
              <w:t xml:space="preserve">User Charges - ACT </w:t>
            </w:r>
            <w:r>
              <w:rPr>
                <w:sz w:val="18"/>
                <w:szCs w:val="18"/>
              </w:rPr>
              <w:br/>
              <w:t xml:space="preserve">   Government</w:t>
            </w:r>
          </w:p>
        </w:tc>
        <w:tc>
          <w:tcPr>
            <w:tcW w:w="1106"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3,442</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3,337</w:t>
            </w:r>
          </w:p>
        </w:tc>
        <w:tc>
          <w:tcPr>
            <w:tcW w:w="62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3,375</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3,468</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3,593</w:t>
            </w:r>
          </w:p>
        </w:tc>
      </w:tr>
      <w:tr w:rsidR="00700314" w:rsidTr="0008156E">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2,889</w:t>
            </w:r>
          </w:p>
        </w:tc>
        <w:tc>
          <w:tcPr>
            <w:tcW w:w="2392" w:type="dxa"/>
            <w:tcBorders>
              <w:top w:val="nil"/>
              <w:left w:val="nil"/>
              <w:bottom w:val="nil"/>
              <w:right w:val="nil"/>
            </w:tcBorders>
            <w:shd w:val="clear" w:color="000000" w:fill="FFFFFF"/>
            <w:hideMark/>
          </w:tcPr>
          <w:p w:rsidR="00700314" w:rsidRDefault="00700314" w:rsidP="0008156E">
            <w:pPr>
              <w:rPr>
                <w:sz w:val="18"/>
                <w:szCs w:val="18"/>
              </w:rPr>
            </w:pPr>
            <w:r>
              <w:rPr>
                <w:sz w:val="18"/>
                <w:szCs w:val="18"/>
              </w:rPr>
              <w:t>Other Revenue</w:t>
            </w:r>
          </w:p>
        </w:tc>
        <w:tc>
          <w:tcPr>
            <w:tcW w:w="1106"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2,827</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3,572</w:t>
            </w:r>
          </w:p>
        </w:tc>
        <w:tc>
          <w:tcPr>
            <w:tcW w:w="62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xml:space="preserve">26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3,334</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3,118</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3,223</w:t>
            </w:r>
          </w:p>
        </w:tc>
      </w:tr>
      <w:tr w:rsidR="00700314" w:rsidTr="0008156E">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00314" w:rsidRDefault="00700314" w:rsidP="0008156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r>
      <w:tr w:rsidR="00700314" w:rsidTr="0008156E">
        <w:tc>
          <w:tcPr>
            <w:tcW w:w="1054"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93,851</w:t>
            </w:r>
          </w:p>
        </w:tc>
        <w:tc>
          <w:tcPr>
            <w:tcW w:w="2392" w:type="dxa"/>
            <w:tcBorders>
              <w:top w:val="nil"/>
              <w:left w:val="nil"/>
              <w:bottom w:val="nil"/>
              <w:right w:val="nil"/>
            </w:tcBorders>
            <w:shd w:val="clear" w:color="000000" w:fill="FFFFFF"/>
            <w:hideMark/>
          </w:tcPr>
          <w:p w:rsidR="00700314" w:rsidRDefault="00700314" w:rsidP="0008156E">
            <w:pPr>
              <w:rPr>
                <w:b/>
                <w:bCs/>
                <w:sz w:val="18"/>
                <w:szCs w:val="18"/>
              </w:rPr>
            </w:pPr>
            <w:r>
              <w:rPr>
                <w:b/>
                <w:bCs/>
                <w:sz w:val="18"/>
                <w:szCs w:val="18"/>
              </w:rPr>
              <w:t>Total Revenue</w:t>
            </w:r>
          </w:p>
        </w:tc>
        <w:tc>
          <w:tcPr>
            <w:tcW w:w="1106"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94,195</w:t>
            </w:r>
          </w:p>
        </w:tc>
        <w:tc>
          <w:tcPr>
            <w:tcW w:w="1054"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93,851</w:t>
            </w:r>
          </w:p>
        </w:tc>
        <w:tc>
          <w:tcPr>
            <w:tcW w:w="624"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93,003</w:t>
            </w:r>
          </w:p>
        </w:tc>
        <w:tc>
          <w:tcPr>
            <w:tcW w:w="1054"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93,901</w:t>
            </w:r>
          </w:p>
        </w:tc>
        <w:tc>
          <w:tcPr>
            <w:tcW w:w="1054"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94,887</w:t>
            </w:r>
          </w:p>
        </w:tc>
      </w:tr>
      <w:tr w:rsidR="00700314" w:rsidTr="0008156E">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00314" w:rsidRDefault="00700314" w:rsidP="0008156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r>
      <w:tr w:rsidR="00700314" w:rsidTr="0008156E">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00314" w:rsidRDefault="00700314" w:rsidP="0008156E">
            <w:pPr>
              <w:rPr>
                <w:b/>
                <w:bCs/>
                <w:sz w:val="18"/>
                <w:szCs w:val="18"/>
              </w:rPr>
            </w:pPr>
            <w:r>
              <w:rPr>
                <w:b/>
                <w:bCs/>
                <w:sz w:val="18"/>
                <w:szCs w:val="18"/>
              </w:rPr>
              <w:t>Gains</w:t>
            </w:r>
          </w:p>
        </w:tc>
        <w:tc>
          <w:tcPr>
            <w:tcW w:w="1106"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r>
      <w:tr w:rsidR="00700314" w:rsidTr="0008156E">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00314" w:rsidRDefault="00700314" w:rsidP="0008156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r>
      <w:tr w:rsidR="00700314" w:rsidTr="0008156E">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700314" w:rsidRDefault="00700314" w:rsidP="0008156E">
            <w:pPr>
              <w:rPr>
                <w:sz w:val="18"/>
                <w:szCs w:val="18"/>
              </w:rPr>
            </w:pPr>
            <w:r>
              <w:rPr>
                <w:sz w:val="18"/>
                <w:szCs w:val="18"/>
              </w:rPr>
              <w:t>Other Gains</w:t>
            </w:r>
          </w:p>
        </w:tc>
        <w:tc>
          <w:tcPr>
            <w:tcW w:w="1106"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75</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0</w:t>
            </w:r>
          </w:p>
        </w:tc>
      </w:tr>
      <w:tr w:rsidR="00700314" w:rsidTr="0008156E">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00314" w:rsidRDefault="00700314" w:rsidP="0008156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r>
      <w:tr w:rsidR="00700314" w:rsidTr="0008156E">
        <w:tc>
          <w:tcPr>
            <w:tcW w:w="1054"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700314" w:rsidRDefault="00700314" w:rsidP="0008156E">
            <w:pPr>
              <w:rPr>
                <w:b/>
                <w:bCs/>
                <w:sz w:val="18"/>
                <w:szCs w:val="18"/>
              </w:rPr>
            </w:pPr>
            <w:r>
              <w:rPr>
                <w:b/>
                <w:bCs/>
                <w:sz w:val="18"/>
                <w:szCs w:val="18"/>
              </w:rPr>
              <w:t>Total Gains</w:t>
            </w:r>
          </w:p>
        </w:tc>
        <w:tc>
          <w:tcPr>
            <w:tcW w:w="1106"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75</w:t>
            </w:r>
          </w:p>
        </w:tc>
        <w:tc>
          <w:tcPr>
            <w:tcW w:w="1054"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0</w:t>
            </w:r>
          </w:p>
        </w:tc>
      </w:tr>
      <w:tr w:rsidR="00700314" w:rsidTr="0008156E">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00314" w:rsidRDefault="00700314" w:rsidP="0008156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r>
      <w:tr w:rsidR="00700314" w:rsidTr="0008156E">
        <w:tc>
          <w:tcPr>
            <w:tcW w:w="1054"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93,851</w:t>
            </w:r>
          </w:p>
        </w:tc>
        <w:tc>
          <w:tcPr>
            <w:tcW w:w="2392" w:type="dxa"/>
            <w:tcBorders>
              <w:top w:val="nil"/>
              <w:left w:val="nil"/>
              <w:bottom w:val="nil"/>
              <w:right w:val="nil"/>
            </w:tcBorders>
            <w:shd w:val="clear" w:color="000000" w:fill="FFFFFF"/>
            <w:hideMark/>
          </w:tcPr>
          <w:p w:rsidR="00700314" w:rsidRDefault="00700314" w:rsidP="0008156E">
            <w:pPr>
              <w:rPr>
                <w:b/>
                <w:bCs/>
                <w:sz w:val="18"/>
                <w:szCs w:val="18"/>
              </w:rPr>
            </w:pPr>
            <w:r>
              <w:rPr>
                <w:b/>
                <w:bCs/>
                <w:sz w:val="18"/>
                <w:szCs w:val="18"/>
              </w:rPr>
              <w:t>Total Income</w:t>
            </w:r>
          </w:p>
        </w:tc>
        <w:tc>
          <w:tcPr>
            <w:tcW w:w="1106"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94,270</w:t>
            </w:r>
          </w:p>
        </w:tc>
        <w:tc>
          <w:tcPr>
            <w:tcW w:w="1054"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93,851</w:t>
            </w:r>
          </w:p>
        </w:tc>
        <w:tc>
          <w:tcPr>
            <w:tcW w:w="624"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93,003</w:t>
            </w:r>
          </w:p>
        </w:tc>
        <w:tc>
          <w:tcPr>
            <w:tcW w:w="1054"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93,901</w:t>
            </w:r>
          </w:p>
        </w:tc>
        <w:tc>
          <w:tcPr>
            <w:tcW w:w="1054"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94,887</w:t>
            </w:r>
          </w:p>
        </w:tc>
      </w:tr>
      <w:tr w:rsidR="00700314" w:rsidTr="0008156E">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00314" w:rsidRDefault="00700314" w:rsidP="0008156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r>
      <w:tr w:rsidR="00700314" w:rsidTr="0008156E">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00314" w:rsidRDefault="00700314" w:rsidP="0008156E">
            <w:pPr>
              <w:rPr>
                <w:b/>
                <w:bCs/>
                <w:sz w:val="18"/>
                <w:szCs w:val="18"/>
              </w:rPr>
            </w:pPr>
            <w:r>
              <w:rPr>
                <w:b/>
                <w:bCs/>
                <w:sz w:val="18"/>
                <w:szCs w:val="18"/>
              </w:rPr>
              <w:t xml:space="preserve">Expenses  </w:t>
            </w:r>
          </w:p>
        </w:tc>
        <w:tc>
          <w:tcPr>
            <w:tcW w:w="1106"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r>
      <w:tr w:rsidR="00700314" w:rsidTr="0008156E">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00314" w:rsidRDefault="00700314" w:rsidP="0008156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r>
      <w:tr w:rsidR="00700314" w:rsidTr="0008156E">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52,063</w:t>
            </w:r>
          </w:p>
        </w:tc>
        <w:tc>
          <w:tcPr>
            <w:tcW w:w="2392" w:type="dxa"/>
            <w:tcBorders>
              <w:top w:val="nil"/>
              <w:left w:val="nil"/>
              <w:bottom w:val="nil"/>
              <w:right w:val="nil"/>
            </w:tcBorders>
            <w:shd w:val="clear" w:color="000000" w:fill="FFFFFF"/>
            <w:hideMark/>
          </w:tcPr>
          <w:p w:rsidR="00700314" w:rsidRDefault="00700314" w:rsidP="0008156E">
            <w:pPr>
              <w:rPr>
                <w:sz w:val="18"/>
                <w:szCs w:val="18"/>
              </w:rPr>
            </w:pPr>
            <w:r>
              <w:rPr>
                <w:sz w:val="18"/>
                <w:szCs w:val="18"/>
              </w:rPr>
              <w:t>Employee Expenses</w:t>
            </w:r>
          </w:p>
        </w:tc>
        <w:tc>
          <w:tcPr>
            <w:tcW w:w="1106"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54,051</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52,975</w:t>
            </w:r>
          </w:p>
        </w:tc>
        <w:tc>
          <w:tcPr>
            <w:tcW w:w="62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53,511</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53,989</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55,093</w:t>
            </w:r>
          </w:p>
        </w:tc>
      </w:tr>
      <w:tr w:rsidR="00700314" w:rsidTr="0008156E">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8,005</w:t>
            </w:r>
          </w:p>
        </w:tc>
        <w:tc>
          <w:tcPr>
            <w:tcW w:w="2392" w:type="dxa"/>
            <w:tcBorders>
              <w:top w:val="nil"/>
              <w:left w:val="nil"/>
              <w:bottom w:val="nil"/>
              <w:right w:val="nil"/>
            </w:tcBorders>
            <w:shd w:val="clear" w:color="000000" w:fill="FFFFFF"/>
            <w:hideMark/>
          </w:tcPr>
          <w:p w:rsidR="00700314" w:rsidRDefault="00700314" w:rsidP="0008156E">
            <w:pPr>
              <w:rPr>
                <w:sz w:val="18"/>
                <w:szCs w:val="18"/>
              </w:rPr>
            </w:pPr>
            <w:r>
              <w:rPr>
                <w:sz w:val="18"/>
                <w:szCs w:val="18"/>
              </w:rPr>
              <w:t>Superannuation Expenses</w:t>
            </w:r>
          </w:p>
        </w:tc>
        <w:tc>
          <w:tcPr>
            <w:tcW w:w="1106"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7,988</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8,031</w:t>
            </w:r>
          </w:p>
        </w:tc>
        <w:tc>
          <w:tcPr>
            <w:tcW w:w="62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8,178</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8,356</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8,616</w:t>
            </w:r>
          </w:p>
        </w:tc>
      </w:tr>
      <w:tr w:rsidR="00700314" w:rsidTr="0008156E">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31,885</w:t>
            </w:r>
          </w:p>
        </w:tc>
        <w:tc>
          <w:tcPr>
            <w:tcW w:w="2392" w:type="dxa"/>
            <w:tcBorders>
              <w:top w:val="nil"/>
              <w:left w:val="nil"/>
              <w:bottom w:val="nil"/>
              <w:right w:val="nil"/>
            </w:tcBorders>
            <w:shd w:val="clear" w:color="000000" w:fill="FFFFFF"/>
            <w:hideMark/>
          </w:tcPr>
          <w:p w:rsidR="00700314" w:rsidRDefault="00700314" w:rsidP="0008156E">
            <w:pPr>
              <w:rPr>
                <w:sz w:val="18"/>
                <w:szCs w:val="18"/>
              </w:rPr>
            </w:pPr>
            <w:r>
              <w:rPr>
                <w:sz w:val="18"/>
                <w:szCs w:val="18"/>
              </w:rPr>
              <w:t>Supplies and Services</w:t>
            </w:r>
          </w:p>
        </w:tc>
        <w:tc>
          <w:tcPr>
            <w:tcW w:w="1106"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28,720</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28,540</w:t>
            </w:r>
          </w:p>
        </w:tc>
        <w:tc>
          <w:tcPr>
            <w:tcW w:w="62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27,797</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28,935</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29,799</w:t>
            </w:r>
          </w:p>
        </w:tc>
      </w:tr>
      <w:tr w:rsidR="00700314" w:rsidTr="0008156E">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3,972</w:t>
            </w:r>
          </w:p>
        </w:tc>
        <w:tc>
          <w:tcPr>
            <w:tcW w:w="2392" w:type="dxa"/>
            <w:tcBorders>
              <w:top w:val="nil"/>
              <w:left w:val="nil"/>
              <w:bottom w:val="nil"/>
              <w:right w:val="nil"/>
            </w:tcBorders>
            <w:shd w:val="clear" w:color="000000" w:fill="FFFFFF"/>
            <w:hideMark/>
          </w:tcPr>
          <w:p w:rsidR="00700314" w:rsidRDefault="00700314" w:rsidP="0008156E">
            <w:pPr>
              <w:rPr>
                <w:sz w:val="18"/>
                <w:szCs w:val="18"/>
              </w:rPr>
            </w:pPr>
            <w:r>
              <w:rPr>
                <w:sz w:val="18"/>
                <w:szCs w:val="18"/>
              </w:rPr>
              <w:t xml:space="preserve">Depreciation and </w:t>
            </w:r>
            <w:r>
              <w:rPr>
                <w:sz w:val="18"/>
                <w:szCs w:val="18"/>
              </w:rPr>
              <w:br/>
              <w:t xml:space="preserve">   Amortisation</w:t>
            </w:r>
          </w:p>
        </w:tc>
        <w:tc>
          <w:tcPr>
            <w:tcW w:w="1106"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3,003</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3,630</w:t>
            </w:r>
          </w:p>
        </w:tc>
        <w:tc>
          <w:tcPr>
            <w:tcW w:w="62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xml:space="preserve">21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3,597</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3,266</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3,251</w:t>
            </w:r>
          </w:p>
        </w:tc>
      </w:tr>
      <w:tr w:rsidR="00700314" w:rsidTr="0008156E">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86</w:t>
            </w:r>
          </w:p>
        </w:tc>
        <w:tc>
          <w:tcPr>
            <w:tcW w:w="2392" w:type="dxa"/>
            <w:tcBorders>
              <w:top w:val="nil"/>
              <w:left w:val="nil"/>
              <w:bottom w:val="nil"/>
              <w:right w:val="nil"/>
            </w:tcBorders>
            <w:shd w:val="clear" w:color="000000" w:fill="FFFFFF"/>
            <w:hideMark/>
          </w:tcPr>
          <w:p w:rsidR="00700314" w:rsidRDefault="00700314" w:rsidP="0008156E">
            <w:pPr>
              <w:rPr>
                <w:sz w:val="18"/>
                <w:szCs w:val="18"/>
              </w:rPr>
            </w:pPr>
            <w:r>
              <w:rPr>
                <w:sz w:val="18"/>
                <w:szCs w:val="18"/>
              </w:rPr>
              <w:t>Borrowing Costs</w:t>
            </w:r>
          </w:p>
        </w:tc>
        <w:tc>
          <w:tcPr>
            <w:tcW w:w="1106"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114</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117</w:t>
            </w:r>
          </w:p>
        </w:tc>
        <w:tc>
          <w:tcPr>
            <w:tcW w:w="62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119</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122</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125</w:t>
            </w:r>
          </w:p>
        </w:tc>
      </w:tr>
      <w:tr w:rsidR="00700314" w:rsidTr="0008156E">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1,077</w:t>
            </w:r>
          </w:p>
        </w:tc>
        <w:tc>
          <w:tcPr>
            <w:tcW w:w="2392" w:type="dxa"/>
            <w:tcBorders>
              <w:top w:val="nil"/>
              <w:left w:val="nil"/>
              <w:bottom w:val="nil"/>
              <w:right w:val="nil"/>
            </w:tcBorders>
            <w:shd w:val="clear" w:color="000000" w:fill="FFFFFF"/>
            <w:hideMark/>
          </w:tcPr>
          <w:p w:rsidR="00700314" w:rsidRDefault="00700314" w:rsidP="0008156E">
            <w:pPr>
              <w:rPr>
                <w:sz w:val="18"/>
                <w:szCs w:val="18"/>
              </w:rPr>
            </w:pPr>
            <w:r>
              <w:rPr>
                <w:sz w:val="18"/>
                <w:szCs w:val="18"/>
              </w:rPr>
              <w:t xml:space="preserve">Grants and Purchased </w:t>
            </w:r>
            <w:r>
              <w:rPr>
                <w:sz w:val="18"/>
                <w:szCs w:val="18"/>
              </w:rPr>
              <w:br/>
              <w:t xml:space="preserve">   Services</w:t>
            </w:r>
          </w:p>
        </w:tc>
        <w:tc>
          <w:tcPr>
            <w:tcW w:w="1106"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2,714</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3,512</w:t>
            </w:r>
          </w:p>
        </w:tc>
        <w:tc>
          <w:tcPr>
            <w:tcW w:w="62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xml:space="preserve">29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2,721</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1,823</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581</w:t>
            </w:r>
          </w:p>
        </w:tc>
      </w:tr>
      <w:tr w:rsidR="00700314" w:rsidTr="0008156E">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6</w:t>
            </w:r>
          </w:p>
        </w:tc>
        <w:tc>
          <w:tcPr>
            <w:tcW w:w="2392" w:type="dxa"/>
            <w:tcBorders>
              <w:top w:val="nil"/>
              <w:left w:val="nil"/>
              <w:bottom w:val="nil"/>
              <w:right w:val="nil"/>
            </w:tcBorders>
            <w:shd w:val="clear" w:color="000000" w:fill="FFFFFF"/>
            <w:hideMark/>
          </w:tcPr>
          <w:p w:rsidR="00700314" w:rsidRDefault="00700314" w:rsidP="0008156E">
            <w:pPr>
              <w:rPr>
                <w:sz w:val="18"/>
                <w:szCs w:val="18"/>
              </w:rPr>
            </w:pPr>
            <w:r>
              <w:rPr>
                <w:sz w:val="18"/>
                <w:szCs w:val="18"/>
              </w:rPr>
              <w:t>Other Expenses</w:t>
            </w:r>
          </w:p>
        </w:tc>
        <w:tc>
          <w:tcPr>
            <w:tcW w:w="1106"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36</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6</w:t>
            </w:r>
          </w:p>
        </w:tc>
        <w:tc>
          <w:tcPr>
            <w:tcW w:w="62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xml:space="preserve">-83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6</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6</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6</w:t>
            </w:r>
          </w:p>
        </w:tc>
      </w:tr>
      <w:tr w:rsidR="00700314" w:rsidTr="0008156E">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00314" w:rsidRDefault="00700314" w:rsidP="0008156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r>
      <w:tr w:rsidR="00700314" w:rsidTr="0008156E">
        <w:tc>
          <w:tcPr>
            <w:tcW w:w="1054"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97,094</w:t>
            </w:r>
          </w:p>
        </w:tc>
        <w:tc>
          <w:tcPr>
            <w:tcW w:w="2392" w:type="dxa"/>
            <w:tcBorders>
              <w:top w:val="nil"/>
              <w:left w:val="nil"/>
              <w:bottom w:val="nil"/>
              <w:right w:val="nil"/>
            </w:tcBorders>
            <w:shd w:val="clear" w:color="000000" w:fill="FFFFFF"/>
            <w:hideMark/>
          </w:tcPr>
          <w:p w:rsidR="00700314" w:rsidRDefault="00700314" w:rsidP="0008156E">
            <w:pPr>
              <w:rPr>
                <w:b/>
                <w:bCs/>
                <w:sz w:val="18"/>
                <w:szCs w:val="18"/>
              </w:rPr>
            </w:pPr>
            <w:r>
              <w:rPr>
                <w:b/>
                <w:bCs/>
                <w:sz w:val="18"/>
                <w:szCs w:val="18"/>
              </w:rPr>
              <w:t>Total Ordinary Expenses</w:t>
            </w:r>
          </w:p>
        </w:tc>
        <w:tc>
          <w:tcPr>
            <w:tcW w:w="1106"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96,626</w:t>
            </w:r>
          </w:p>
        </w:tc>
        <w:tc>
          <w:tcPr>
            <w:tcW w:w="1054"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96,811</w:t>
            </w:r>
          </w:p>
        </w:tc>
        <w:tc>
          <w:tcPr>
            <w:tcW w:w="624"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95,929</w:t>
            </w:r>
          </w:p>
        </w:tc>
        <w:tc>
          <w:tcPr>
            <w:tcW w:w="1054"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96,497</w:t>
            </w:r>
          </w:p>
        </w:tc>
        <w:tc>
          <w:tcPr>
            <w:tcW w:w="1054"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97,471</w:t>
            </w:r>
          </w:p>
        </w:tc>
      </w:tr>
      <w:tr w:rsidR="00700314" w:rsidTr="0008156E">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00314" w:rsidRDefault="00700314" w:rsidP="0008156E">
            <w:pPr>
              <w:rPr>
                <w:sz w:val="18"/>
                <w:szCs w:val="18"/>
              </w:rPr>
            </w:pPr>
            <w:r>
              <w:rPr>
                <w:sz w:val="18"/>
                <w:szCs w:val="18"/>
              </w:rPr>
              <w:t> </w:t>
            </w:r>
          </w:p>
        </w:tc>
        <w:tc>
          <w:tcPr>
            <w:tcW w:w="1106"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00314" w:rsidRDefault="00700314" w:rsidP="0008156E">
            <w:pPr>
              <w:ind w:left="-283"/>
              <w:jc w:val="right"/>
              <w:rPr>
                <w:sz w:val="18"/>
                <w:szCs w:val="18"/>
              </w:rPr>
            </w:pPr>
            <w:r>
              <w:rPr>
                <w:sz w:val="18"/>
                <w:szCs w:val="18"/>
              </w:rPr>
              <w:t> </w:t>
            </w:r>
          </w:p>
        </w:tc>
      </w:tr>
      <w:tr w:rsidR="00700314" w:rsidTr="0008156E">
        <w:tc>
          <w:tcPr>
            <w:tcW w:w="1054"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-3,243</w:t>
            </w:r>
          </w:p>
        </w:tc>
        <w:tc>
          <w:tcPr>
            <w:tcW w:w="2392" w:type="dxa"/>
            <w:tcBorders>
              <w:top w:val="nil"/>
              <w:left w:val="nil"/>
              <w:bottom w:val="nil"/>
              <w:right w:val="nil"/>
            </w:tcBorders>
            <w:shd w:val="clear" w:color="000000" w:fill="FFFFFF"/>
            <w:hideMark/>
          </w:tcPr>
          <w:p w:rsidR="00700314" w:rsidRDefault="00700314" w:rsidP="0008156E">
            <w:pPr>
              <w:rPr>
                <w:b/>
                <w:bCs/>
                <w:sz w:val="18"/>
                <w:szCs w:val="18"/>
              </w:rPr>
            </w:pPr>
            <w:r>
              <w:rPr>
                <w:b/>
                <w:bCs/>
                <w:sz w:val="18"/>
                <w:szCs w:val="18"/>
              </w:rPr>
              <w:t>Operating Result</w:t>
            </w:r>
          </w:p>
        </w:tc>
        <w:tc>
          <w:tcPr>
            <w:tcW w:w="1106"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-2,356</w:t>
            </w:r>
          </w:p>
        </w:tc>
        <w:tc>
          <w:tcPr>
            <w:tcW w:w="1054"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-2,960</w:t>
            </w:r>
          </w:p>
        </w:tc>
        <w:tc>
          <w:tcPr>
            <w:tcW w:w="624"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 xml:space="preserve">-26 </w:t>
            </w:r>
          </w:p>
        </w:tc>
        <w:tc>
          <w:tcPr>
            <w:tcW w:w="1054"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-2,926</w:t>
            </w:r>
          </w:p>
        </w:tc>
        <w:tc>
          <w:tcPr>
            <w:tcW w:w="1054"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-2,596</w:t>
            </w:r>
          </w:p>
        </w:tc>
        <w:tc>
          <w:tcPr>
            <w:tcW w:w="1054" w:type="dxa"/>
            <w:tcBorders>
              <w:top w:val="nil"/>
              <w:left w:val="nil"/>
              <w:bottom w:val="nil"/>
              <w:right w:val="nil"/>
            </w:tcBorders>
            <w:shd w:val="clear" w:color="000000" w:fill="FFFFFF"/>
            <w:hideMark/>
          </w:tcPr>
          <w:p w:rsidR="00700314" w:rsidRDefault="00700314" w:rsidP="0008156E">
            <w:pPr>
              <w:ind w:left="-283"/>
              <w:jc w:val="right"/>
              <w:rPr>
                <w:b/>
                <w:bCs/>
                <w:sz w:val="18"/>
                <w:szCs w:val="18"/>
              </w:rPr>
            </w:pPr>
            <w:r>
              <w:rPr>
                <w:b/>
                <w:bCs/>
                <w:sz w:val="18"/>
                <w:szCs w:val="18"/>
              </w:rPr>
              <w:t>-2,584</w:t>
            </w:r>
          </w:p>
        </w:tc>
      </w:tr>
      <w:tr w:rsidR="00700314" w:rsidTr="0008156E">
        <w:tc>
          <w:tcPr>
            <w:tcW w:w="1054" w:type="dxa"/>
            <w:tcBorders>
              <w:top w:val="nil"/>
              <w:left w:val="nil"/>
              <w:bottom w:val="single" w:sz="4" w:space="0" w:color="auto"/>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700314" w:rsidRDefault="00700314" w:rsidP="0008156E">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700314" w:rsidRDefault="00700314" w:rsidP="0008156E">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700314" w:rsidRDefault="00700314" w:rsidP="0008156E">
            <w:pPr>
              <w:ind w:left="-283"/>
              <w:jc w:val="right"/>
              <w:rPr>
                <w:sz w:val="18"/>
                <w:szCs w:val="18"/>
              </w:rPr>
            </w:pPr>
            <w:r>
              <w:rPr>
                <w:sz w:val="18"/>
                <w:szCs w:val="18"/>
              </w:rPr>
              <w:t> </w:t>
            </w:r>
          </w:p>
        </w:tc>
      </w:tr>
    </w:tbl>
    <w:p w:rsidR="00EB5C27" w:rsidRDefault="00EB5C27"/>
    <w:p w:rsidR="00700314" w:rsidRDefault="00EB5C27">
      <w:r>
        <w:br w:type="page"/>
      </w:r>
    </w:p>
    <w:tbl>
      <w:tblPr>
        <w:tblW w:w="9356" w:type="dxa"/>
        <w:tblLook w:val="04A0"/>
      </w:tblPr>
      <w:tblGrid>
        <w:gridCol w:w="1050"/>
        <w:gridCol w:w="2384"/>
        <w:gridCol w:w="1102"/>
        <w:gridCol w:w="1049"/>
        <w:gridCol w:w="621"/>
        <w:gridCol w:w="1050"/>
        <w:gridCol w:w="1050"/>
        <w:gridCol w:w="1050"/>
      </w:tblGrid>
      <w:tr w:rsidR="004905EC" w:rsidTr="0008156E">
        <w:trPr>
          <w:tblHeader/>
        </w:trPr>
        <w:tc>
          <w:tcPr>
            <w:tcW w:w="9388" w:type="dxa"/>
            <w:gridSpan w:val="8"/>
            <w:tcBorders>
              <w:top w:val="nil"/>
              <w:left w:val="nil"/>
              <w:bottom w:val="nil"/>
              <w:right w:val="nil"/>
            </w:tcBorders>
            <w:shd w:val="clear" w:color="000000" w:fill="FFFFFF"/>
            <w:hideMark/>
          </w:tcPr>
          <w:p w:rsidR="004905EC" w:rsidRDefault="004905EC" w:rsidP="0008156E">
            <w:pPr>
              <w:jc w:val="center"/>
              <w:rPr>
                <w:rFonts w:ascii="Arial" w:hAnsi="Arial" w:cs="Arial"/>
                <w:b/>
                <w:bCs/>
                <w:szCs w:val="24"/>
              </w:rPr>
            </w:pPr>
            <w:bookmarkStart w:id="21" w:name="RANGE!A1:H30"/>
            <w:r>
              <w:rPr>
                <w:rFonts w:ascii="Arial" w:hAnsi="Arial" w:cs="Arial"/>
                <w:b/>
                <w:bCs/>
              </w:rPr>
              <w:lastRenderedPageBreak/>
              <w:t>Corrective Services</w:t>
            </w:r>
            <w:bookmarkEnd w:id="21"/>
          </w:p>
        </w:tc>
      </w:tr>
      <w:tr w:rsidR="004905EC" w:rsidTr="0008156E">
        <w:trPr>
          <w:tblHeader/>
        </w:trPr>
        <w:tc>
          <w:tcPr>
            <w:tcW w:w="9388" w:type="dxa"/>
            <w:gridSpan w:val="8"/>
            <w:tcBorders>
              <w:top w:val="nil"/>
              <w:left w:val="nil"/>
              <w:bottom w:val="nil"/>
              <w:right w:val="nil"/>
            </w:tcBorders>
            <w:shd w:val="clear" w:color="000000" w:fill="FFFFFF"/>
            <w:hideMark/>
          </w:tcPr>
          <w:p w:rsidR="004905EC" w:rsidRDefault="004905EC" w:rsidP="0008156E">
            <w:pPr>
              <w:jc w:val="center"/>
              <w:rPr>
                <w:rFonts w:ascii="Arial" w:hAnsi="Arial" w:cs="Arial"/>
                <w:b/>
                <w:bCs/>
                <w:szCs w:val="24"/>
              </w:rPr>
            </w:pPr>
            <w:r>
              <w:rPr>
                <w:rFonts w:ascii="Arial" w:hAnsi="Arial" w:cs="Arial"/>
                <w:b/>
                <w:bCs/>
              </w:rPr>
              <w:t>Operating Statement</w:t>
            </w:r>
          </w:p>
        </w:tc>
      </w:tr>
      <w:tr w:rsidR="004905EC" w:rsidTr="0008156E">
        <w:trPr>
          <w:tblHeader/>
        </w:trPr>
        <w:tc>
          <w:tcPr>
            <w:tcW w:w="1054" w:type="dxa"/>
            <w:tcBorders>
              <w:top w:val="single" w:sz="4" w:space="0" w:color="auto"/>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hideMark/>
          </w:tcPr>
          <w:p w:rsidR="004905EC" w:rsidRDefault="004905EC" w:rsidP="0008156E">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2016-17</w:t>
            </w:r>
          </w:p>
        </w:tc>
      </w:tr>
      <w:tr w:rsidR="004905EC" w:rsidTr="0008156E">
        <w:trPr>
          <w:tblHeader/>
        </w:trPr>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hideMark/>
          </w:tcPr>
          <w:p w:rsidR="004905EC" w:rsidRDefault="004905EC" w:rsidP="0008156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proofErr w:type="spellStart"/>
            <w:r>
              <w:rPr>
                <w:b/>
                <w:bCs/>
                <w:sz w:val="18"/>
                <w:szCs w:val="18"/>
              </w:rPr>
              <w:t>Var</w:t>
            </w:r>
            <w:proofErr w:type="spellEnd"/>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Estimate</w:t>
            </w:r>
          </w:p>
        </w:tc>
      </w:tr>
      <w:tr w:rsidR="004905EC" w:rsidTr="0008156E">
        <w:trPr>
          <w:tblHeader/>
        </w:trPr>
        <w:tc>
          <w:tcPr>
            <w:tcW w:w="1054" w:type="dxa"/>
            <w:tcBorders>
              <w:top w:val="nil"/>
              <w:left w:val="nil"/>
              <w:bottom w:val="single" w:sz="4" w:space="0" w:color="auto"/>
              <w:right w:val="nil"/>
            </w:tcBorders>
            <w:shd w:val="clear" w:color="000000" w:fill="FFFFFF"/>
            <w:hideMark/>
          </w:tcPr>
          <w:p w:rsidR="004905EC" w:rsidRDefault="004905EC" w:rsidP="0008156E">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hideMark/>
          </w:tcPr>
          <w:p w:rsidR="004905EC" w:rsidRDefault="004905EC" w:rsidP="0008156E">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hideMark/>
          </w:tcPr>
          <w:p w:rsidR="004905EC" w:rsidRDefault="004905EC" w:rsidP="0008156E">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4905EC" w:rsidRDefault="004905EC" w:rsidP="0008156E">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hideMark/>
          </w:tcPr>
          <w:p w:rsidR="004905EC" w:rsidRDefault="004905EC" w:rsidP="0008156E">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hideMark/>
          </w:tcPr>
          <w:p w:rsidR="004905EC" w:rsidRDefault="004905EC" w:rsidP="0008156E">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4905EC" w:rsidRDefault="004905EC" w:rsidP="0008156E">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4905EC" w:rsidRDefault="004905EC" w:rsidP="0008156E">
            <w:pPr>
              <w:ind w:left="-283"/>
              <w:jc w:val="right"/>
              <w:rPr>
                <w:b/>
                <w:bCs/>
                <w:sz w:val="18"/>
                <w:szCs w:val="18"/>
              </w:rPr>
            </w:pPr>
            <w:r>
              <w:rPr>
                <w:b/>
                <w:bCs/>
                <w:sz w:val="18"/>
                <w:szCs w:val="18"/>
              </w:rPr>
              <w:t>$'000</w:t>
            </w:r>
          </w:p>
        </w:tc>
      </w:tr>
      <w:tr w:rsidR="004905EC" w:rsidTr="0008156E">
        <w:trPr>
          <w:tblHeader/>
        </w:trPr>
        <w:tc>
          <w:tcPr>
            <w:tcW w:w="1054" w:type="dxa"/>
            <w:tcBorders>
              <w:top w:val="nil"/>
              <w:left w:val="nil"/>
              <w:bottom w:val="nil"/>
              <w:right w:val="nil"/>
            </w:tcBorders>
            <w:shd w:val="clear" w:color="000000" w:fill="FFFFFF"/>
            <w:hideMark/>
          </w:tcPr>
          <w:p w:rsidR="004905EC" w:rsidRDefault="004905EC" w:rsidP="0008156E">
            <w:pPr>
              <w:ind w:left="-283"/>
              <w:jc w:val="right"/>
              <w:rPr>
                <w:b/>
                <w:bCs/>
                <w:i/>
                <w:iCs/>
                <w:sz w:val="18"/>
                <w:szCs w:val="18"/>
              </w:rPr>
            </w:pPr>
            <w:r>
              <w:rPr>
                <w:b/>
                <w:bCs/>
                <w:i/>
                <w:iCs/>
                <w:sz w:val="18"/>
                <w:szCs w:val="18"/>
              </w:rPr>
              <w:t> </w:t>
            </w:r>
          </w:p>
        </w:tc>
        <w:tc>
          <w:tcPr>
            <w:tcW w:w="2392" w:type="dxa"/>
            <w:tcBorders>
              <w:top w:val="nil"/>
              <w:left w:val="nil"/>
              <w:bottom w:val="nil"/>
              <w:right w:val="nil"/>
            </w:tcBorders>
            <w:shd w:val="clear" w:color="000000" w:fill="FFFFFF"/>
            <w:hideMark/>
          </w:tcPr>
          <w:p w:rsidR="004905EC" w:rsidRDefault="004905EC" w:rsidP="0008156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4905EC" w:rsidRDefault="004905EC" w:rsidP="0008156E">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i/>
                <w:iCs/>
                <w:sz w:val="18"/>
                <w:szCs w:val="18"/>
              </w:rPr>
            </w:pPr>
            <w:r>
              <w:rPr>
                <w:b/>
                <w:bCs/>
                <w:i/>
                <w:iCs/>
                <w:sz w:val="18"/>
                <w:szCs w:val="18"/>
              </w:rPr>
              <w:t> </w:t>
            </w:r>
          </w:p>
        </w:tc>
        <w:tc>
          <w:tcPr>
            <w:tcW w:w="624" w:type="dxa"/>
            <w:tcBorders>
              <w:top w:val="nil"/>
              <w:left w:val="nil"/>
              <w:bottom w:val="nil"/>
              <w:right w:val="nil"/>
            </w:tcBorders>
            <w:shd w:val="clear" w:color="000000" w:fill="FFFFFF"/>
            <w:hideMark/>
          </w:tcPr>
          <w:p w:rsidR="004905EC" w:rsidRDefault="004905EC" w:rsidP="0008156E">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i/>
                <w:iCs/>
                <w:sz w:val="18"/>
                <w:szCs w:val="18"/>
              </w:rPr>
            </w:pPr>
            <w:r>
              <w:rPr>
                <w:b/>
                <w:bCs/>
                <w:i/>
                <w:iCs/>
                <w:sz w:val="18"/>
                <w:szCs w:val="18"/>
              </w:rPr>
              <w:t> </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4905EC" w:rsidRDefault="004905EC" w:rsidP="0008156E">
            <w:pPr>
              <w:rPr>
                <w:b/>
                <w:bCs/>
                <w:sz w:val="18"/>
                <w:szCs w:val="18"/>
              </w:rPr>
            </w:pPr>
            <w:r>
              <w:rPr>
                <w:b/>
                <w:bCs/>
                <w:sz w:val="18"/>
                <w:szCs w:val="18"/>
              </w:rPr>
              <w:t>Income</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4905EC" w:rsidRDefault="004905EC" w:rsidP="0008156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4905EC" w:rsidRDefault="004905EC" w:rsidP="0008156E">
            <w:pPr>
              <w:rPr>
                <w:b/>
                <w:bCs/>
                <w:sz w:val="18"/>
                <w:szCs w:val="18"/>
              </w:rPr>
            </w:pPr>
            <w:r>
              <w:rPr>
                <w:b/>
                <w:bCs/>
                <w:sz w:val="18"/>
                <w:szCs w:val="18"/>
              </w:rPr>
              <w:t>Revenue</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4905EC" w:rsidRDefault="004905EC" w:rsidP="0008156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44,874</w:t>
            </w:r>
          </w:p>
        </w:tc>
        <w:tc>
          <w:tcPr>
            <w:tcW w:w="2392" w:type="dxa"/>
            <w:tcBorders>
              <w:top w:val="nil"/>
              <w:left w:val="nil"/>
              <w:bottom w:val="nil"/>
              <w:right w:val="nil"/>
            </w:tcBorders>
            <w:shd w:val="clear" w:color="000000" w:fill="FFFFFF"/>
            <w:hideMark/>
          </w:tcPr>
          <w:p w:rsidR="004905EC" w:rsidRDefault="004905EC" w:rsidP="0008156E">
            <w:pPr>
              <w:rPr>
                <w:sz w:val="18"/>
                <w:szCs w:val="18"/>
              </w:rPr>
            </w:pPr>
            <w:r>
              <w:rPr>
                <w:sz w:val="18"/>
                <w:szCs w:val="18"/>
              </w:rPr>
              <w:t xml:space="preserve">Government Payment for </w:t>
            </w:r>
            <w:r>
              <w:rPr>
                <w:sz w:val="18"/>
                <w:szCs w:val="18"/>
              </w:rPr>
              <w:br/>
              <w:t xml:space="preserve">   Outputs</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44,680</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47,571</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xml:space="preserve">6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45,776</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46,603</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47,756</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15</w:t>
            </w:r>
          </w:p>
        </w:tc>
        <w:tc>
          <w:tcPr>
            <w:tcW w:w="2392" w:type="dxa"/>
            <w:tcBorders>
              <w:top w:val="nil"/>
              <w:left w:val="nil"/>
              <w:bottom w:val="nil"/>
              <w:right w:val="nil"/>
            </w:tcBorders>
            <w:shd w:val="clear" w:color="000000" w:fill="FFFFFF"/>
            <w:hideMark/>
          </w:tcPr>
          <w:p w:rsidR="004905EC" w:rsidRDefault="004905EC" w:rsidP="0008156E">
            <w:pPr>
              <w:rPr>
                <w:sz w:val="18"/>
                <w:szCs w:val="18"/>
              </w:rPr>
            </w:pPr>
            <w:r>
              <w:rPr>
                <w:sz w:val="18"/>
                <w:szCs w:val="18"/>
              </w:rPr>
              <w:t>Other Revenue</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24</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40</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xml:space="preserve">67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42</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44</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46</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4905EC" w:rsidRDefault="004905EC" w:rsidP="0008156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44,889</w:t>
            </w:r>
          </w:p>
        </w:tc>
        <w:tc>
          <w:tcPr>
            <w:tcW w:w="2392" w:type="dxa"/>
            <w:tcBorders>
              <w:top w:val="nil"/>
              <w:left w:val="nil"/>
              <w:bottom w:val="nil"/>
              <w:right w:val="nil"/>
            </w:tcBorders>
            <w:shd w:val="clear" w:color="000000" w:fill="FFFFFF"/>
            <w:hideMark/>
          </w:tcPr>
          <w:p w:rsidR="004905EC" w:rsidRDefault="004905EC" w:rsidP="0008156E">
            <w:pPr>
              <w:rPr>
                <w:b/>
                <w:bCs/>
                <w:sz w:val="18"/>
                <w:szCs w:val="18"/>
              </w:rPr>
            </w:pPr>
            <w:r>
              <w:rPr>
                <w:b/>
                <w:bCs/>
                <w:sz w:val="18"/>
                <w:szCs w:val="18"/>
              </w:rPr>
              <w:t>Total Revenue</w:t>
            </w:r>
          </w:p>
        </w:tc>
        <w:tc>
          <w:tcPr>
            <w:tcW w:w="1106"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44,704</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47,611</w:t>
            </w:r>
          </w:p>
        </w:tc>
        <w:tc>
          <w:tcPr>
            <w:tcW w:w="62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 xml:space="preserve">7 </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45,818</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46,647</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47,802</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4905EC" w:rsidRDefault="004905EC" w:rsidP="0008156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44,889</w:t>
            </w:r>
          </w:p>
        </w:tc>
        <w:tc>
          <w:tcPr>
            <w:tcW w:w="2392" w:type="dxa"/>
            <w:tcBorders>
              <w:top w:val="nil"/>
              <w:left w:val="nil"/>
              <w:bottom w:val="nil"/>
              <w:right w:val="nil"/>
            </w:tcBorders>
            <w:shd w:val="clear" w:color="000000" w:fill="FFFFFF"/>
            <w:hideMark/>
          </w:tcPr>
          <w:p w:rsidR="004905EC" w:rsidRDefault="004905EC" w:rsidP="0008156E">
            <w:pPr>
              <w:rPr>
                <w:b/>
                <w:bCs/>
                <w:sz w:val="18"/>
                <w:szCs w:val="18"/>
              </w:rPr>
            </w:pPr>
            <w:r>
              <w:rPr>
                <w:b/>
                <w:bCs/>
                <w:sz w:val="18"/>
                <w:szCs w:val="18"/>
              </w:rPr>
              <w:t>Total Income</w:t>
            </w:r>
          </w:p>
        </w:tc>
        <w:tc>
          <w:tcPr>
            <w:tcW w:w="1106"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44,704</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47,611</w:t>
            </w:r>
          </w:p>
        </w:tc>
        <w:tc>
          <w:tcPr>
            <w:tcW w:w="62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 xml:space="preserve">7 </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45,818</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46,647</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47,802</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4905EC" w:rsidRDefault="004905EC" w:rsidP="0008156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4905EC" w:rsidRDefault="004905EC" w:rsidP="0008156E">
            <w:pPr>
              <w:rPr>
                <w:b/>
                <w:bCs/>
                <w:sz w:val="18"/>
                <w:szCs w:val="18"/>
              </w:rPr>
            </w:pPr>
            <w:r>
              <w:rPr>
                <w:b/>
                <w:bCs/>
                <w:sz w:val="18"/>
                <w:szCs w:val="18"/>
              </w:rPr>
              <w:t xml:space="preserve">Expenses  </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4905EC" w:rsidRDefault="004905EC" w:rsidP="0008156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29,424</w:t>
            </w:r>
          </w:p>
        </w:tc>
        <w:tc>
          <w:tcPr>
            <w:tcW w:w="2392" w:type="dxa"/>
            <w:tcBorders>
              <w:top w:val="nil"/>
              <w:left w:val="nil"/>
              <w:bottom w:val="nil"/>
              <w:right w:val="nil"/>
            </w:tcBorders>
            <w:shd w:val="clear" w:color="000000" w:fill="FFFFFF"/>
            <w:hideMark/>
          </w:tcPr>
          <w:p w:rsidR="004905EC" w:rsidRDefault="004905EC" w:rsidP="0008156E">
            <w:pPr>
              <w:rPr>
                <w:sz w:val="18"/>
                <w:szCs w:val="18"/>
              </w:rPr>
            </w:pPr>
            <w:r>
              <w:rPr>
                <w:sz w:val="18"/>
                <w:szCs w:val="18"/>
              </w:rPr>
              <w:t>Employee Expenses</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30,673</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32,101</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xml:space="preserve">5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30,684</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31,085</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31,706</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3,878</w:t>
            </w:r>
          </w:p>
        </w:tc>
        <w:tc>
          <w:tcPr>
            <w:tcW w:w="2392" w:type="dxa"/>
            <w:tcBorders>
              <w:top w:val="nil"/>
              <w:left w:val="nil"/>
              <w:bottom w:val="nil"/>
              <w:right w:val="nil"/>
            </w:tcBorders>
            <w:shd w:val="clear" w:color="000000" w:fill="FFFFFF"/>
            <w:hideMark/>
          </w:tcPr>
          <w:p w:rsidR="004905EC" w:rsidRDefault="004905EC" w:rsidP="0008156E">
            <w:pPr>
              <w:rPr>
                <w:sz w:val="18"/>
                <w:szCs w:val="18"/>
              </w:rPr>
            </w:pPr>
            <w:r>
              <w:rPr>
                <w:sz w:val="18"/>
                <w:szCs w:val="18"/>
              </w:rPr>
              <w:t>Superannuation Expenses</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3,816</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3,899</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3,870</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4,009</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4,174</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11,609</w:t>
            </w:r>
          </w:p>
        </w:tc>
        <w:tc>
          <w:tcPr>
            <w:tcW w:w="2392" w:type="dxa"/>
            <w:tcBorders>
              <w:top w:val="nil"/>
              <w:left w:val="nil"/>
              <w:bottom w:val="nil"/>
              <w:right w:val="nil"/>
            </w:tcBorders>
            <w:shd w:val="clear" w:color="000000" w:fill="FFFFFF"/>
            <w:hideMark/>
          </w:tcPr>
          <w:p w:rsidR="004905EC" w:rsidRDefault="004905EC" w:rsidP="0008156E">
            <w:pPr>
              <w:rPr>
                <w:sz w:val="18"/>
                <w:szCs w:val="18"/>
              </w:rPr>
            </w:pPr>
            <w:r>
              <w:rPr>
                <w:sz w:val="18"/>
                <w:szCs w:val="18"/>
              </w:rPr>
              <w:t>Supplies and Services</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10,713</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11,691</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xml:space="preserve">9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11,334</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11,621</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11,987</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5,874</w:t>
            </w:r>
          </w:p>
        </w:tc>
        <w:tc>
          <w:tcPr>
            <w:tcW w:w="2392" w:type="dxa"/>
            <w:tcBorders>
              <w:top w:val="nil"/>
              <w:left w:val="nil"/>
              <w:bottom w:val="nil"/>
              <w:right w:val="nil"/>
            </w:tcBorders>
            <w:shd w:val="clear" w:color="000000" w:fill="FFFFFF"/>
            <w:hideMark/>
          </w:tcPr>
          <w:p w:rsidR="004905EC" w:rsidRDefault="004905EC" w:rsidP="0008156E">
            <w:pPr>
              <w:rPr>
                <w:sz w:val="18"/>
                <w:szCs w:val="18"/>
              </w:rPr>
            </w:pPr>
            <w:r>
              <w:rPr>
                <w:sz w:val="18"/>
                <w:szCs w:val="18"/>
              </w:rPr>
              <w:t xml:space="preserve">Depreciation and </w:t>
            </w:r>
            <w:r>
              <w:rPr>
                <w:sz w:val="18"/>
                <w:szCs w:val="18"/>
              </w:rPr>
              <w:br/>
              <w:t xml:space="preserve">   Amortisation</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5,618</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5,797</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5,871</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5,871</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5,869</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54</w:t>
            </w:r>
          </w:p>
        </w:tc>
        <w:tc>
          <w:tcPr>
            <w:tcW w:w="2392" w:type="dxa"/>
            <w:tcBorders>
              <w:top w:val="nil"/>
              <w:left w:val="nil"/>
              <w:bottom w:val="nil"/>
              <w:right w:val="nil"/>
            </w:tcBorders>
            <w:shd w:val="clear" w:color="000000" w:fill="FFFFFF"/>
            <w:hideMark/>
          </w:tcPr>
          <w:p w:rsidR="004905EC" w:rsidRDefault="004905EC" w:rsidP="0008156E">
            <w:pPr>
              <w:rPr>
                <w:sz w:val="18"/>
                <w:szCs w:val="18"/>
              </w:rPr>
            </w:pPr>
            <w:r>
              <w:rPr>
                <w:sz w:val="18"/>
                <w:szCs w:val="18"/>
              </w:rPr>
              <w:t>Borrowing Costs</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31</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33</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xml:space="preserve">6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39</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40</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42</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101</w:t>
            </w:r>
          </w:p>
        </w:tc>
        <w:tc>
          <w:tcPr>
            <w:tcW w:w="2392" w:type="dxa"/>
            <w:tcBorders>
              <w:top w:val="nil"/>
              <w:left w:val="nil"/>
              <w:bottom w:val="nil"/>
              <w:right w:val="nil"/>
            </w:tcBorders>
            <w:shd w:val="clear" w:color="000000" w:fill="FFFFFF"/>
            <w:hideMark/>
          </w:tcPr>
          <w:p w:rsidR="004905EC" w:rsidRDefault="004905EC" w:rsidP="0008156E">
            <w:pPr>
              <w:rPr>
                <w:sz w:val="18"/>
                <w:szCs w:val="18"/>
              </w:rPr>
            </w:pPr>
            <w:r>
              <w:rPr>
                <w:sz w:val="18"/>
                <w:szCs w:val="18"/>
              </w:rPr>
              <w:t xml:space="preserve">Grants and Purchased </w:t>
            </w:r>
            <w:r>
              <w:rPr>
                <w:sz w:val="18"/>
                <w:szCs w:val="18"/>
              </w:rPr>
              <w:br/>
              <w:t xml:space="preserve">   Services</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101</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106</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xml:space="preserve">5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109</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111</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114</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4905EC" w:rsidRDefault="004905EC" w:rsidP="0008156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50,940</w:t>
            </w:r>
          </w:p>
        </w:tc>
        <w:tc>
          <w:tcPr>
            <w:tcW w:w="2392" w:type="dxa"/>
            <w:tcBorders>
              <w:top w:val="nil"/>
              <w:left w:val="nil"/>
              <w:bottom w:val="nil"/>
              <w:right w:val="nil"/>
            </w:tcBorders>
            <w:shd w:val="clear" w:color="000000" w:fill="FFFFFF"/>
            <w:hideMark/>
          </w:tcPr>
          <w:p w:rsidR="004905EC" w:rsidRDefault="004905EC" w:rsidP="0008156E">
            <w:pPr>
              <w:rPr>
                <w:b/>
                <w:bCs/>
                <w:sz w:val="18"/>
                <w:szCs w:val="18"/>
              </w:rPr>
            </w:pPr>
            <w:r>
              <w:rPr>
                <w:b/>
                <w:bCs/>
                <w:sz w:val="18"/>
                <w:szCs w:val="18"/>
              </w:rPr>
              <w:t>Total Ordinary Expenses</w:t>
            </w:r>
          </w:p>
        </w:tc>
        <w:tc>
          <w:tcPr>
            <w:tcW w:w="1106"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50,952</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53,627</w:t>
            </w:r>
          </w:p>
        </w:tc>
        <w:tc>
          <w:tcPr>
            <w:tcW w:w="62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 xml:space="preserve">5 </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51,907</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52,737</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53,892</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4905EC" w:rsidRDefault="004905EC" w:rsidP="0008156E">
            <w:pPr>
              <w:rPr>
                <w:sz w:val="18"/>
                <w:szCs w:val="18"/>
              </w:rPr>
            </w:pPr>
            <w:r>
              <w:rPr>
                <w:sz w:val="18"/>
                <w:szCs w:val="18"/>
              </w:rPr>
              <w:t> </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-6,051</w:t>
            </w:r>
          </w:p>
        </w:tc>
        <w:tc>
          <w:tcPr>
            <w:tcW w:w="2392" w:type="dxa"/>
            <w:tcBorders>
              <w:top w:val="nil"/>
              <w:left w:val="nil"/>
              <w:bottom w:val="nil"/>
              <w:right w:val="nil"/>
            </w:tcBorders>
            <w:shd w:val="clear" w:color="000000" w:fill="FFFFFF"/>
            <w:hideMark/>
          </w:tcPr>
          <w:p w:rsidR="004905EC" w:rsidRDefault="004905EC" w:rsidP="0008156E">
            <w:pPr>
              <w:rPr>
                <w:b/>
                <w:bCs/>
                <w:sz w:val="18"/>
                <w:szCs w:val="18"/>
              </w:rPr>
            </w:pPr>
            <w:r>
              <w:rPr>
                <w:b/>
                <w:bCs/>
                <w:sz w:val="18"/>
                <w:szCs w:val="18"/>
              </w:rPr>
              <w:t>Operating Result</w:t>
            </w:r>
          </w:p>
        </w:tc>
        <w:tc>
          <w:tcPr>
            <w:tcW w:w="1106"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-6,248</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-6,016</w:t>
            </w:r>
          </w:p>
        </w:tc>
        <w:tc>
          <w:tcPr>
            <w:tcW w:w="62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 xml:space="preserve">4 </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-6,089</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-6,090</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-6,090</w:t>
            </w:r>
          </w:p>
        </w:tc>
      </w:tr>
      <w:tr w:rsidR="004905EC" w:rsidTr="0008156E">
        <w:tc>
          <w:tcPr>
            <w:tcW w:w="1054" w:type="dxa"/>
            <w:tcBorders>
              <w:top w:val="nil"/>
              <w:left w:val="nil"/>
              <w:bottom w:val="single" w:sz="4" w:space="0" w:color="auto"/>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4905EC" w:rsidRDefault="004905EC" w:rsidP="0008156E">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4905EC" w:rsidRDefault="004905EC" w:rsidP="0008156E">
            <w:pPr>
              <w:ind w:left="-283"/>
              <w:jc w:val="right"/>
              <w:rPr>
                <w:sz w:val="18"/>
                <w:szCs w:val="18"/>
              </w:rPr>
            </w:pPr>
            <w:r>
              <w:rPr>
                <w:sz w:val="18"/>
                <w:szCs w:val="18"/>
              </w:rPr>
              <w:t> </w:t>
            </w:r>
          </w:p>
        </w:tc>
      </w:tr>
    </w:tbl>
    <w:p w:rsidR="00700314" w:rsidRDefault="00700314"/>
    <w:p w:rsidR="004905EC" w:rsidRDefault="00700314">
      <w:r>
        <w:br w:type="page"/>
      </w:r>
    </w:p>
    <w:tbl>
      <w:tblPr>
        <w:tblW w:w="9356" w:type="dxa"/>
        <w:tblLook w:val="04A0"/>
      </w:tblPr>
      <w:tblGrid>
        <w:gridCol w:w="1050"/>
        <w:gridCol w:w="2384"/>
        <w:gridCol w:w="1102"/>
        <w:gridCol w:w="1049"/>
        <w:gridCol w:w="621"/>
        <w:gridCol w:w="1050"/>
        <w:gridCol w:w="1050"/>
        <w:gridCol w:w="1050"/>
      </w:tblGrid>
      <w:tr w:rsidR="004905EC" w:rsidTr="0008156E">
        <w:trPr>
          <w:tblHeader/>
        </w:trPr>
        <w:tc>
          <w:tcPr>
            <w:tcW w:w="9388" w:type="dxa"/>
            <w:gridSpan w:val="8"/>
            <w:tcBorders>
              <w:top w:val="nil"/>
              <w:left w:val="nil"/>
              <w:bottom w:val="nil"/>
              <w:right w:val="nil"/>
            </w:tcBorders>
            <w:shd w:val="clear" w:color="000000" w:fill="FFFFFF"/>
            <w:hideMark/>
          </w:tcPr>
          <w:p w:rsidR="004905EC" w:rsidRDefault="004905EC" w:rsidP="0008156E">
            <w:pPr>
              <w:jc w:val="center"/>
              <w:rPr>
                <w:rFonts w:ascii="Arial" w:hAnsi="Arial" w:cs="Arial"/>
                <w:b/>
                <w:bCs/>
                <w:szCs w:val="24"/>
              </w:rPr>
            </w:pPr>
            <w:bookmarkStart w:id="22" w:name="RANGE!A1:H34"/>
            <w:r>
              <w:rPr>
                <w:rFonts w:ascii="Arial" w:hAnsi="Arial" w:cs="Arial"/>
                <w:b/>
                <w:bCs/>
              </w:rPr>
              <w:lastRenderedPageBreak/>
              <w:t>Courts and Tribunals</w:t>
            </w:r>
            <w:bookmarkEnd w:id="22"/>
          </w:p>
        </w:tc>
      </w:tr>
      <w:tr w:rsidR="004905EC" w:rsidTr="0008156E">
        <w:trPr>
          <w:tblHeader/>
        </w:trPr>
        <w:tc>
          <w:tcPr>
            <w:tcW w:w="9388" w:type="dxa"/>
            <w:gridSpan w:val="8"/>
            <w:tcBorders>
              <w:top w:val="nil"/>
              <w:left w:val="nil"/>
              <w:bottom w:val="nil"/>
              <w:right w:val="nil"/>
            </w:tcBorders>
            <w:shd w:val="clear" w:color="000000" w:fill="FFFFFF"/>
            <w:hideMark/>
          </w:tcPr>
          <w:p w:rsidR="004905EC" w:rsidRDefault="004905EC" w:rsidP="0008156E">
            <w:pPr>
              <w:jc w:val="center"/>
              <w:rPr>
                <w:rFonts w:ascii="Arial" w:hAnsi="Arial" w:cs="Arial"/>
                <w:b/>
                <w:bCs/>
                <w:szCs w:val="24"/>
              </w:rPr>
            </w:pPr>
            <w:r>
              <w:rPr>
                <w:rFonts w:ascii="Arial" w:hAnsi="Arial" w:cs="Arial"/>
                <w:b/>
                <w:bCs/>
              </w:rPr>
              <w:t>Operating Statement</w:t>
            </w:r>
          </w:p>
        </w:tc>
      </w:tr>
      <w:tr w:rsidR="004905EC" w:rsidTr="0008156E">
        <w:trPr>
          <w:tblHeader/>
        </w:trPr>
        <w:tc>
          <w:tcPr>
            <w:tcW w:w="1054" w:type="dxa"/>
            <w:tcBorders>
              <w:top w:val="single" w:sz="4" w:space="0" w:color="auto"/>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hideMark/>
          </w:tcPr>
          <w:p w:rsidR="004905EC" w:rsidRDefault="004905EC" w:rsidP="0008156E">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2016-17</w:t>
            </w:r>
          </w:p>
        </w:tc>
      </w:tr>
      <w:tr w:rsidR="004905EC" w:rsidTr="0008156E">
        <w:trPr>
          <w:tblHeader/>
        </w:trPr>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hideMark/>
          </w:tcPr>
          <w:p w:rsidR="004905EC" w:rsidRDefault="004905EC" w:rsidP="0008156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proofErr w:type="spellStart"/>
            <w:r>
              <w:rPr>
                <w:b/>
                <w:bCs/>
                <w:sz w:val="18"/>
                <w:szCs w:val="18"/>
              </w:rPr>
              <w:t>Var</w:t>
            </w:r>
            <w:proofErr w:type="spellEnd"/>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Estimate</w:t>
            </w:r>
          </w:p>
        </w:tc>
      </w:tr>
      <w:tr w:rsidR="004905EC" w:rsidTr="0008156E">
        <w:trPr>
          <w:tblHeader/>
        </w:trPr>
        <w:tc>
          <w:tcPr>
            <w:tcW w:w="1054" w:type="dxa"/>
            <w:tcBorders>
              <w:top w:val="nil"/>
              <w:left w:val="nil"/>
              <w:bottom w:val="single" w:sz="4" w:space="0" w:color="auto"/>
              <w:right w:val="nil"/>
            </w:tcBorders>
            <w:shd w:val="clear" w:color="000000" w:fill="FFFFFF"/>
            <w:hideMark/>
          </w:tcPr>
          <w:p w:rsidR="004905EC" w:rsidRDefault="004905EC" w:rsidP="0008156E">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hideMark/>
          </w:tcPr>
          <w:p w:rsidR="004905EC" w:rsidRDefault="004905EC" w:rsidP="0008156E">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hideMark/>
          </w:tcPr>
          <w:p w:rsidR="004905EC" w:rsidRDefault="004905EC" w:rsidP="0008156E">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4905EC" w:rsidRDefault="004905EC" w:rsidP="0008156E">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hideMark/>
          </w:tcPr>
          <w:p w:rsidR="004905EC" w:rsidRDefault="004905EC" w:rsidP="0008156E">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hideMark/>
          </w:tcPr>
          <w:p w:rsidR="004905EC" w:rsidRDefault="004905EC" w:rsidP="0008156E">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4905EC" w:rsidRDefault="004905EC" w:rsidP="0008156E">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4905EC" w:rsidRDefault="004905EC" w:rsidP="0008156E">
            <w:pPr>
              <w:ind w:left="-283"/>
              <w:jc w:val="right"/>
              <w:rPr>
                <w:b/>
                <w:bCs/>
                <w:sz w:val="18"/>
                <w:szCs w:val="18"/>
              </w:rPr>
            </w:pPr>
            <w:r>
              <w:rPr>
                <w:b/>
                <w:bCs/>
                <w:sz w:val="18"/>
                <w:szCs w:val="18"/>
              </w:rPr>
              <w:t>$'000</w:t>
            </w:r>
          </w:p>
        </w:tc>
      </w:tr>
      <w:tr w:rsidR="004905EC" w:rsidTr="0008156E">
        <w:trPr>
          <w:tblHeader/>
        </w:trPr>
        <w:tc>
          <w:tcPr>
            <w:tcW w:w="1054" w:type="dxa"/>
            <w:tcBorders>
              <w:top w:val="nil"/>
              <w:left w:val="nil"/>
              <w:bottom w:val="nil"/>
              <w:right w:val="nil"/>
            </w:tcBorders>
            <w:shd w:val="clear" w:color="000000" w:fill="FFFFFF"/>
            <w:hideMark/>
          </w:tcPr>
          <w:p w:rsidR="004905EC" w:rsidRDefault="004905EC" w:rsidP="0008156E">
            <w:pPr>
              <w:ind w:left="-283"/>
              <w:jc w:val="right"/>
              <w:rPr>
                <w:b/>
                <w:bCs/>
                <w:i/>
                <w:iCs/>
                <w:sz w:val="18"/>
                <w:szCs w:val="18"/>
              </w:rPr>
            </w:pPr>
            <w:r>
              <w:rPr>
                <w:b/>
                <w:bCs/>
                <w:i/>
                <w:iCs/>
                <w:sz w:val="18"/>
                <w:szCs w:val="18"/>
              </w:rPr>
              <w:t> </w:t>
            </w:r>
          </w:p>
        </w:tc>
        <w:tc>
          <w:tcPr>
            <w:tcW w:w="2392" w:type="dxa"/>
            <w:tcBorders>
              <w:top w:val="nil"/>
              <w:left w:val="nil"/>
              <w:bottom w:val="nil"/>
              <w:right w:val="nil"/>
            </w:tcBorders>
            <w:shd w:val="clear" w:color="000000" w:fill="FFFFFF"/>
            <w:hideMark/>
          </w:tcPr>
          <w:p w:rsidR="004905EC" w:rsidRDefault="004905EC" w:rsidP="0008156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4905EC" w:rsidRDefault="004905EC" w:rsidP="0008156E">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i/>
                <w:iCs/>
                <w:sz w:val="18"/>
                <w:szCs w:val="18"/>
              </w:rPr>
            </w:pPr>
            <w:r>
              <w:rPr>
                <w:b/>
                <w:bCs/>
                <w:i/>
                <w:iCs/>
                <w:sz w:val="18"/>
                <w:szCs w:val="18"/>
              </w:rPr>
              <w:t> </w:t>
            </w:r>
          </w:p>
        </w:tc>
        <w:tc>
          <w:tcPr>
            <w:tcW w:w="624" w:type="dxa"/>
            <w:tcBorders>
              <w:top w:val="nil"/>
              <w:left w:val="nil"/>
              <w:bottom w:val="nil"/>
              <w:right w:val="nil"/>
            </w:tcBorders>
            <w:shd w:val="clear" w:color="000000" w:fill="FFFFFF"/>
            <w:hideMark/>
          </w:tcPr>
          <w:p w:rsidR="004905EC" w:rsidRDefault="004905EC" w:rsidP="0008156E">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i/>
                <w:iCs/>
                <w:sz w:val="18"/>
                <w:szCs w:val="18"/>
              </w:rPr>
            </w:pPr>
            <w:r>
              <w:rPr>
                <w:b/>
                <w:bCs/>
                <w:i/>
                <w:iCs/>
                <w:sz w:val="18"/>
                <w:szCs w:val="18"/>
              </w:rPr>
              <w:t> </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4905EC" w:rsidRDefault="004905EC" w:rsidP="0008156E">
            <w:pPr>
              <w:rPr>
                <w:b/>
                <w:bCs/>
                <w:sz w:val="18"/>
                <w:szCs w:val="18"/>
              </w:rPr>
            </w:pPr>
            <w:r>
              <w:rPr>
                <w:b/>
                <w:bCs/>
                <w:sz w:val="18"/>
                <w:szCs w:val="18"/>
              </w:rPr>
              <w:t>Income</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4905EC" w:rsidRDefault="004905EC" w:rsidP="0008156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4905EC" w:rsidRDefault="004905EC" w:rsidP="0008156E">
            <w:pPr>
              <w:rPr>
                <w:b/>
                <w:bCs/>
                <w:sz w:val="18"/>
                <w:szCs w:val="18"/>
              </w:rPr>
            </w:pPr>
            <w:r>
              <w:rPr>
                <w:b/>
                <w:bCs/>
                <w:sz w:val="18"/>
                <w:szCs w:val="18"/>
              </w:rPr>
              <w:t>Revenue</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4905EC" w:rsidRDefault="004905EC" w:rsidP="0008156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27,688</w:t>
            </w:r>
          </w:p>
        </w:tc>
        <w:tc>
          <w:tcPr>
            <w:tcW w:w="2392" w:type="dxa"/>
            <w:tcBorders>
              <w:top w:val="nil"/>
              <w:left w:val="nil"/>
              <w:bottom w:val="nil"/>
              <w:right w:val="nil"/>
            </w:tcBorders>
            <w:shd w:val="clear" w:color="000000" w:fill="FFFFFF"/>
            <w:hideMark/>
          </w:tcPr>
          <w:p w:rsidR="004905EC" w:rsidRDefault="004905EC" w:rsidP="0008156E">
            <w:pPr>
              <w:rPr>
                <w:sz w:val="18"/>
                <w:szCs w:val="18"/>
              </w:rPr>
            </w:pPr>
            <w:r>
              <w:rPr>
                <w:sz w:val="18"/>
                <w:szCs w:val="18"/>
              </w:rPr>
              <w:t xml:space="preserve">Government Payment for </w:t>
            </w:r>
            <w:r>
              <w:rPr>
                <w:sz w:val="18"/>
                <w:szCs w:val="18"/>
              </w:rPr>
              <w:br/>
              <w:t xml:space="preserve">   Outputs</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29,070</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27,529</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xml:space="preserve">-5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26,578</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27,230</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27,639</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949</w:t>
            </w:r>
          </w:p>
        </w:tc>
        <w:tc>
          <w:tcPr>
            <w:tcW w:w="2392" w:type="dxa"/>
            <w:tcBorders>
              <w:top w:val="nil"/>
              <w:left w:val="nil"/>
              <w:bottom w:val="nil"/>
              <w:right w:val="nil"/>
            </w:tcBorders>
            <w:shd w:val="clear" w:color="000000" w:fill="FFFFFF"/>
            <w:hideMark/>
          </w:tcPr>
          <w:p w:rsidR="004905EC" w:rsidRDefault="004905EC" w:rsidP="0008156E">
            <w:pPr>
              <w:rPr>
                <w:sz w:val="18"/>
                <w:szCs w:val="18"/>
              </w:rPr>
            </w:pPr>
            <w:r>
              <w:rPr>
                <w:sz w:val="18"/>
                <w:szCs w:val="18"/>
              </w:rPr>
              <w:t xml:space="preserve">User Charges - Non ACT </w:t>
            </w:r>
            <w:r>
              <w:rPr>
                <w:sz w:val="18"/>
                <w:szCs w:val="18"/>
              </w:rPr>
              <w:br/>
              <w:t xml:space="preserve">   Government</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819</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976</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xml:space="preserve">19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991</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1,027</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1,068</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49</w:t>
            </w:r>
          </w:p>
        </w:tc>
        <w:tc>
          <w:tcPr>
            <w:tcW w:w="2392" w:type="dxa"/>
            <w:tcBorders>
              <w:top w:val="nil"/>
              <w:left w:val="nil"/>
              <w:bottom w:val="nil"/>
              <w:right w:val="nil"/>
            </w:tcBorders>
            <w:shd w:val="clear" w:color="000000" w:fill="FFFFFF"/>
            <w:hideMark/>
          </w:tcPr>
          <w:p w:rsidR="004905EC" w:rsidRDefault="004905EC" w:rsidP="0008156E">
            <w:pPr>
              <w:rPr>
                <w:sz w:val="18"/>
                <w:szCs w:val="18"/>
              </w:rPr>
            </w:pPr>
            <w:r>
              <w:rPr>
                <w:sz w:val="18"/>
                <w:szCs w:val="18"/>
              </w:rPr>
              <w:t xml:space="preserve">User Charges - ACT </w:t>
            </w:r>
            <w:r>
              <w:rPr>
                <w:sz w:val="18"/>
                <w:szCs w:val="18"/>
              </w:rPr>
              <w:br/>
              <w:t xml:space="preserve">   Government</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179</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49</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xml:space="preserve">-73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49</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49</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51</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1,761</w:t>
            </w:r>
          </w:p>
        </w:tc>
        <w:tc>
          <w:tcPr>
            <w:tcW w:w="2392" w:type="dxa"/>
            <w:tcBorders>
              <w:top w:val="nil"/>
              <w:left w:val="nil"/>
              <w:bottom w:val="nil"/>
              <w:right w:val="nil"/>
            </w:tcBorders>
            <w:shd w:val="clear" w:color="000000" w:fill="FFFFFF"/>
            <w:hideMark/>
          </w:tcPr>
          <w:p w:rsidR="004905EC" w:rsidRDefault="004905EC" w:rsidP="0008156E">
            <w:pPr>
              <w:rPr>
                <w:sz w:val="18"/>
                <w:szCs w:val="18"/>
              </w:rPr>
            </w:pPr>
            <w:r>
              <w:rPr>
                <w:sz w:val="18"/>
                <w:szCs w:val="18"/>
              </w:rPr>
              <w:t>Other Revenue</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2,290</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5,479</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xml:space="preserve">139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5,570</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6,012</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6,485</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259</w:t>
            </w:r>
          </w:p>
        </w:tc>
        <w:tc>
          <w:tcPr>
            <w:tcW w:w="2392" w:type="dxa"/>
            <w:tcBorders>
              <w:top w:val="nil"/>
              <w:left w:val="nil"/>
              <w:bottom w:val="nil"/>
              <w:right w:val="nil"/>
            </w:tcBorders>
            <w:shd w:val="clear" w:color="000000" w:fill="FFFFFF"/>
            <w:hideMark/>
          </w:tcPr>
          <w:p w:rsidR="004905EC" w:rsidRDefault="004905EC" w:rsidP="0008156E">
            <w:pPr>
              <w:rPr>
                <w:sz w:val="18"/>
                <w:szCs w:val="18"/>
              </w:rPr>
            </w:pPr>
            <w:r>
              <w:rPr>
                <w:sz w:val="18"/>
                <w:szCs w:val="18"/>
              </w:rPr>
              <w:t xml:space="preserve">Resources Received Free of </w:t>
            </w:r>
            <w:r>
              <w:rPr>
                <w:sz w:val="18"/>
                <w:szCs w:val="18"/>
              </w:rPr>
              <w:br/>
              <w:t xml:space="preserve">   Charge</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259</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257</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256</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265</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276</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4905EC" w:rsidRDefault="004905EC" w:rsidP="0008156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30,706</w:t>
            </w:r>
          </w:p>
        </w:tc>
        <w:tc>
          <w:tcPr>
            <w:tcW w:w="2392" w:type="dxa"/>
            <w:tcBorders>
              <w:top w:val="nil"/>
              <w:left w:val="nil"/>
              <w:bottom w:val="nil"/>
              <w:right w:val="nil"/>
            </w:tcBorders>
            <w:shd w:val="clear" w:color="000000" w:fill="FFFFFF"/>
            <w:hideMark/>
          </w:tcPr>
          <w:p w:rsidR="004905EC" w:rsidRDefault="004905EC" w:rsidP="0008156E">
            <w:pPr>
              <w:rPr>
                <w:b/>
                <w:bCs/>
                <w:sz w:val="18"/>
                <w:szCs w:val="18"/>
              </w:rPr>
            </w:pPr>
            <w:r>
              <w:rPr>
                <w:b/>
                <w:bCs/>
                <w:sz w:val="18"/>
                <w:szCs w:val="18"/>
              </w:rPr>
              <w:t>Total Revenue</w:t>
            </w:r>
          </w:p>
        </w:tc>
        <w:tc>
          <w:tcPr>
            <w:tcW w:w="1106"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32,617</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34,290</w:t>
            </w:r>
          </w:p>
        </w:tc>
        <w:tc>
          <w:tcPr>
            <w:tcW w:w="62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 xml:space="preserve">5 </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33,444</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34,583</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35,519</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4905EC" w:rsidRDefault="004905EC" w:rsidP="0008156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30,706</w:t>
            </w:r>
          </w:p>
        </w:tc>
        <w:tc>
          <w:tcPr>
            <w:tcW w:w="2392" w:type="dxa"/>
            <w:tcBorders>
              <w:top w:val="nil"/>
              <w:left w:val="nil"/>
              <w:bottom w:val="nil"/>
              <w:right w:val="nil"/>
            </w:tcBorders>
            <w:shd w:val="clear" w:color="000000" w:fill="FFFFFF"/>
            <w:hideMark/>
          </w:tcPr>
          <w:p w:rsidR="004905EC" w:rsidRDefault="004905EC" w:rsidP="0008156E">
            <w:pPr>
              <w:rPr>
                <w:b/>
                <w:bCs/>
                <w:sz w:val="18"/>
                <w:szCs w:val="18"/>
              </w:rPr>
            </w:pPr>
            <w:r>
              <w:rPr>
                <w:b/>
                <w:bCs/>
                <w:sz w:val="18"/>
                <w:szCs w:val="18"/>
              </w:rPr>
              <w:t>Total Income</w:t>
            </w:r>
          </w:p>
        </w:tc>
        <w:tc>
          <w:tcPr>
            <w:tcW w:w="1106"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32,617</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34,290</w:t>
            </w:r>
          </w:p>
        </w:tc>
        <w:tc>
          <w:tcPr>
            <w:tcW w:w="62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 xml:space="preserve">5 </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33,444</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34,583</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35,519</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4905EC" w:rsidRDefault="004905EC" w:rsidP="0008156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4905EC" w:rsidRDefault="004905EC" w:rsidP="0008156E">
            <w:pPr>
              <w:rPr>
                <w:b/>
                <w:bCs/>
                <w:sz w:val="18"/>
                <w:szCs w:val="18"/>
              </w:rPr>
            </w:pPr>
            <w:r>
              <w:rPr>
                <w:b/>
                <w:bCs/>
                <w:sz w:val="18"/>
                <w:szCs w:val="18"/>
              </w:rPr>
              <w:t xml:space="preserve">Expenses  </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4905EC" w:rsidRDefault="004905EC" w:rsidP="0008156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16,843</w:t>
            </w:r>
          </w:p>
        </w:tc>
        <w:tc>
          <w:tcPr>
            <w:tcW w:w="2392" w:type="dxa"/>
            <w:tcBorders>
              <w:top w:val="nil"/>
              <w:left w:val="nil"/>
              <w:bottom w:val="nil"/>
              <w:right w:val="nil"/>
            </w:tcBorders>
            <w:shd w:val="clear" w:color="000000" w:fill="FFFFFF"/>
            <w:hideMark/>
          </w:tcPr>
          <w:p w:rsidR="004905EC" w:rsidRDefault="004905EC" w:rsidP="0008156E">
            <w:pPr>
              <w:rPr>
                <w:sz w:val="18"/>
                <w:szCs w:val="18"/>
              </w:rPr>
            </w:pPr>
            <w:r>
              <w:rPr>
                <w:sz w:val="18"/>
                <w:szCs w:val="18"/>
              </w:rPr>
              <w:t>Employee Expenses</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17,973</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18,933</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xml:space="preserve">5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18,326</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18,904</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19,355</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2,149</w:t>
            </w:r>
          </w:p>
        </w:tc>
        <w:tc>
          <w:tcPr>
            <w:tcW w:w="2392" w:type="dxa"/>
            <w:tcBorders>
              <w:top w:val="nil"/>
              <w:left w:val="nil"/>
              <w:bottom w:val="nil"/>
              <w:right w:val="nil"/>
            </w:tcBorders>
            <w:shd w:val="clear" w:color="000000" w:fill="FFFFFF"/>
            <w:hideMark/>
          </w:tcPr>
          <w:p w:rsidR="004905EC" w:rsidRDefault="004905EC" w:rsidP="0008156E">
            <w:pPr>
              <w:rPr>
                <w:sz w:val="18"/>
                <w:szCs w:val="18"/>
              </w:rPr>
            </w:pPr>
            <w:r>
              <w:rPr>
                <w:sz w:val="18"/>
                <w:szCs w:val="18"/>
              </w:rPr>
              <w:t>Superannuation Expenses</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2,490</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2,304</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xml:space="preserve">-7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2,383</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2,486</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2,567</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11,930</w:t>
            </w:r>
          </w:p>
        </w:tc>
        <w:tc>
          <w:tcPr>
            <w:tcW w:w="2392" w:type="dxa"/>
            <w:tcBorders>
              <w:top w:val="nil"/>
              <w:left w:val="nil"/>
              <w:bottom w:val="nil"/>
              <w:right w:val="nil"/>
            </w:tcBorders>
            <w:shd w:val="clear" w:color="000000" w:fill="FFFFFF"/>
            <w:hideMark/>
          </w:tcPr>
          <w:p w:rsidR="004905EC" w:rsidRDefault="004905EC" w:rsidP="0008156E">
            <w:pPr>
              <w:rPr>
                <w:sz w:val="18"/>
                <w:szCs w:val="18"/>
              </w:rPr>
            </w:pPr>
            <w:r>
              <w:rPr>
                <w:sz w:val="18"/>
                <w:szCs w:val="18"/>
              </w:rPr>
              <w:t>Supplies and Services</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12,378</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13,266</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xml:space="preserve">7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12,945</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13,403</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13,806</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2,926</w:t>
            </w:r>
          </w:p>
        </w:tc>
        <w:tc>
          <w:tcPr>
            <w:tcW w:w="2392" w:type="dxa"/>
            <w:tcBorders>
              <w:top w:val="nil"/>
              <w:left w:val="nil"/>
              <w:bottom w:val="nil"/>
              <w:right w:val="nil"/>
            </w:tcBorders>
            <w:shd w:val="clear" w:color="000000" w:fill="FFFFFF"/>
            <w:hideMark/>
          </w:tcPr>
          <w:p w:rsidR="004905EC" w:rsidRDefault="004905EC" w:rsidP="0008156E">
            <w:pPr>
              <w:rPr>
                <w:sz w:val="18"/>
                <w:szCs w:val="18"/>
              </w:rPr>
            </w:pPr>
            <w:r>
              <w:rPr>
                <w:sz w:val="18"/>
                <w:szCs w:val="18"/>
              </w:rPr>
              <w:t xml:space="preserve">Depreciation and </w:t>
            </w:r>
            <w:r>
              <w:rPr>
                <w:sz w:val="18"/>
                <w:szCs w:val="18"/>
              </w:rPr>
              <w:br/>
              <w:t xml:space="preserve">   Amortisation</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3,364</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3,494</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xml:space="preserve">4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4,309</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5,151</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5,163</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53</w:t>
            </w:r>
          </w:p>
        </w:tc>
        <w:tc>
          <w:tcPr>
            <w:tcW w:w="2392" w:type="dxa"/>
            <w:tcBorders>
              <w:top w:val="nil"/>
              <w:left w:val="nil"/>
              <w:bottom w:val="nil"/>
              <w:right w:val="nil"/>
            </w:tcBorders>
            <w:shd w:val="clear" w:color="000000" w:fill="FFFFFF"/>
            <w:hideMark/>
          </w:tcPr>
          <w:p w:rsidR="004905EC" w:rsidRDefault="004905EC" w:rsidP="0008156E">
            <w:pPr>
              <w:rPr>
                <w:sz w:val="18"/>
                <w:szCs w:val="18"/>
              </w:rPr>
            </w:pPr>
            <w:r>
              <w:rPr>
                <w:sz w:val="18"/>
                <w:szCs w:val="18"/>
              </w:rPr>
              <w:t>Borrowing Costs</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53</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56</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xml:space="preserve">6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58</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59</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60</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2</w:t>
            </w:r>
          </w:p>
        </w:tc>
        <w:tc>
          <w:tcPr>
            <w:tcW w:w="2392" w:type="dxa"/>
            <w:tcBorders>
              <w:top w:val="nil"/>
              <w:left w:val="nil"/>
              <w:bottom w:val="nil"/>
              <w:right w:val="nil"/>
            </w:tcBorders>
            <w:shd w:val="clear" w:color="000000" w:fill="FFFFFF"/>
            <w:hideMark/>
          </w:tcPr>
          <w:p w:rsidR="004905EC" w:rsidRDefault="004905EC" w:rsidP="0008156E">
            <w:pPr>
              <w:rPr>
                <w:sz w:val="18"/>
                <w:szCs w:val="18"/>
              </w:rPr>
            </w:pPr>
            <w:r>
              <w:rPr>
                <w:sz w:val="18"/>
                <w:szCs w:val="18"/>
              </w:rPr>
              <w:t xml:space="preserve">Grants and Purchased </w:t>
            </w:r>
            <w:r>
              <w:rPr>
                <w:sz w:val="18"/>
                <w:szCs w:val="18"/>
              </w:rPr>
              <w:br/>
              <w:t xml:space="preserve">   Services</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2</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2</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2</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2</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2</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13</w:t>
            </w:r>
          </w:p>
        </w:tc>
        <w:tc>
          <w:tcPr>
            <w:tcW w:w="2392" w:type="dxa"/>
            <w:tcBorders>
              <w:top w:val="nil"/>
              <w:left w:val="nil"/>
              <w:bottom w:val="nil"/>
              <w:right w:val="nil"/>
            </w:tcBorders>
            <w:shd w:val="clear" w:color="000000" w:fill="FFFFFF"/>
            <w:hideMark/>
          </w:tcPr>
          <w:p w:rsidR="004905EC" w:rsidRDefault="004905EC" w:rsidP="0008156E">
            <w:pPr>
              <w:rPr>
                <w:sz w:val="18"/>
                <w:szCs w:val="18"/>
              </w:rPr>
            </w:pPr>
            <w:r>
              <w:rPr>
                <w:sz w:val="18"/>
                <w:szCs w:val="18"/>
              </w:rPr>
              <w:t>Other Expenses</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74</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24</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xml:space="preserve">-68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25</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25</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25</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4905EC" w:rsidRDefault="004905EC" w:rsidP="0008156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33,916</w:t>
            </w:r>
          </w:p>
        </w:tc>
        <w:tc>
          <w:tcPr>
            <w:tcW w:w="2392" w:type="dxa"/>
            <w:tcBorders>
              <w:top w:val="nil"/>
              <w:left w:val="nil"/>
              <w:bottom w:val="nil"/>
              <w:right w:val="nil"/>
            </w:tcBorders>
            <w:shd w:val="clear" w:color="000000" w:fill="FFFFFF"/>
            <w:hideMark/>
          </w:tcPr>
          <w:p w:rsidR="004905EC" w:rsidRDefault="004905EC" w:rsidP="0008156E">
            <w:pPr>
              <w:rPr>
                <w:b/>
                <w:bCs/>
                <w:sz w:val="18"/>
                <w:szCs w:val="18"/>
              </w:rPr>
            </w:pPr>
            <w:r>
              <w:rPr>
                <w:b/>
                <w:bCs/>
                <w:sz w:val="18"/>
                <w:szCs w:val="18"/>
              </w:rPr>
              <w:t>Total Ordinary Expenses</w:t>
            </w:r>
          </w:p>
        </w:tc>
        <w:tc>
          <w:tcPr>
            <w:tcW w:w="1106"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36,334</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38,079</w:t>
            </w:r>
          </w:p>
        </w:tc>
        <w:tc>
          <w:tcPr>
            <w:tcW w:w="62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 xml:space="preserve">5 </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38,048</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40,030</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40,978</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4905EC" w:rsidRDefault="004905EC" w:rsidP="0008156E">
            <w:pPr>
              <w:rPr>
                <w:sz w:val="18"/>
                <w:szCs w:val="18"/>
              </w:rPr>
            </w:pPr>
            <w:r>
              <w:rPr>
                <w:sz w:val="18"/>
                <w:szCs w:val="18"/>
              </w:rPr>
              <w:t> </w:t>
            </w:r>
          </w:p>
        </w:tc>
        <w:tc>
          <w:tcPr>
            <w:tcW w:w="1106"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05EC" w:rsidRDefault="004905EC" w:rsidP="0008156E">
            <w:pPr>
              <w:ind w:left="-283"/>
              <w:jc w:val="right"/>
              <w:rPr>
                <w:sz w:val="18"/>
                <w:szCs w:val="18"/>
              </w:rPr>
            </w:pPr>
            <w:r>
              <w:rPr>
                <w:sz w:val="18"/>
                <w:szCs w:val="18"/>
              </w:rPr>
              <w:t> </w:t>
            </w:r>
          </w:p>
        </w:tc>
      </w:tr>
      <w:tr w:rsidR="004905EC" w:rsidTr="0008156E">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-3,210</w:t>
            </w:r>
          </w:p>
        </w:tc>
        <w:tc>
          <w:tcPr>
            <w:tcW w:w="2392" w:type="dxa"/>
            <w:tcBorders>
              <w:top w:val="nil"/>
              <w:left w:val="nil"/>
              <w:bottom w:val="nil"/>
              <w:right w:val="nil"/>
            </w:tcBorders>
            <w:shd w:val="clear" w:color="000000" w:fill="FFFFFF"/>
            <w:hideMark/>
          </w:tcPr>
          <w:p w:rsidR="004905EC" w:rsidRDefault="004905EC" w:rsidP="0008156E">
            <w:pPr>
              <w:rPr>
                <w:b/>
                <w:bCs/>
                <w:sz w:val="18"/>
                <w:szCs w:val="18"/>
              </w:rPr>
            </w:pPr>
            <w:r>
              <w:rPr>
                <w:b/>
                <w:bCs/>
                <w:sz w:val="18"/>
                <w:szCs w:val="18"/>
              </w:rPr>
              <w:t>Operating Result</w:t>
            </w:r>
          </w:p>
        </w:tc>
        <w:tc>
          <w:tcPr>
            <w:tcW w:w="1106"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-3,717</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-3,789</w:t>
            </w:r>
          </w:p>
        </w:tc>
        <w:tc>
          <w:tcPr>
            <w:tcW w:w="62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 xml:space="preserve">-2 </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-4,604</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-5,447</w:t>
            </w:r>
          </w:p>
        </w:tc>
        <w:tc>
          <w:tcPr>
            <w:tcW w:w="1054" w:type="dxa"/>
            <w:tcBorders>
              <w:top w:val="nil"/>
              <w:left w:val="nil"/>
              <w:bottom w:val="nil"/>
              <w:right w:val="nil"/>
            </w:tcBorders>
            <w:shd w:val="clear" w:color="000000" w:fill="FFFFFF"/>
            <w:hideMark/>
          </w:tcPr>
          <w:p w:rsidR="004905EC" w:rsidRDefault="004905EC" w:rsidP="0008156E">
            <w:pPr>
              <w:ind w:left="-283"/>
              <w:jc w:val="right"/>
              <w:rPr>
                <w:b/>
                <w:bCs/>
                <w:sz w:val="18"/>
                <w:szCs w:val="18"/>
              </w:rPr>
            </w:pPr>
            <w:r>
              <w:rPr>
                <w:b/>
                <w:bCs/>
                <w:sz w:val="18"/>
                <w:szCs w:val="18"/>
              </w:rPr>
              <w:t>-5,459</w:t>
            </w:r>
          </w:p>
        </w:tc>
      </w:tr>
      <w:tr w:rsidR="004905EC" w:rsidTr="0008156E">
        <w:tc>
          <w:tcPr>
            <w:tcW w:w="1054" w:type="dxa"/>
            <w:tcBorders>
              <w:top w:val="nil"/>
              <w:left w:val="nil"/>
              <w:bottom w:val="single" w:sz="4" w:space="0" w:color="auto"/>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4905EC" w:rsidRDefault="004905EC" w:rsidP="0008156E">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4905EC" w:rsidRDefault="004905EC" w:rsidP="0008156E">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4905EC" w:rsidRDefault="004905EC" w:rsidP="0008156E">
            <w:pPr>
              <w:ind w:left="-283"/>
              <w:jc w:val="right"/>
              <w:rPr>
                <w:sz w:val="18"/>
                <w:szCs w:val="18"/>
              </w:rPr>
            </w:pPr>
            <w:r>
              <w:rPr>
                <w:sz w:val="18"/>
                <w:szCs w:val="18"/>
              </w:rPr>
              <w:t> </w:t>
            </w:r>
          </w:p>
        </w:tc>
      </w:tr>
    </w:tbl>
    <w:p w:rsidR="004905EC" w:rsidRDefault="004905EC"/>
    <w:p w:rsidR="00757DE7" w:rsidRDefault="004905EC">
      <w:r>
        <w:br w:type="page"/>
      </w:r>
    </w:p>
    <w:tbl>
      <w:tblPr>
        <w:tblW w:w="9356" w:type="dxa"/>
        <w:tblLook w:val="04A0"/>
      </w:tblPr>
      <w:tblGrid>
        <w:gridCol w:w="1049"/>
        <w:gridCol w:w="2384"/>
        <w:gridCol w:w="1102"/>
        <w:gridCol w:w="1050"/>
        <w:gridCol w:w="621"/>
        <w:gridCol w:w="1050"/>
        <w:gridCol w:w="1050"/>
        <w:gridCol w:w="1050"/>
      </w:tblGrid>
      <w:tr w:rsidR="00757DE7" w:rsidTr="0008156E">
        <w:trPr>
          <w:tblHeader/>
        </w:trPr>
        <w:tc>
          <w:tcPr>
            <w:tcW w:w="9388" w:type="dxa"/>
            <w:gridSpan w:val="8"/>
            <w:tcBorders>
              <w:top w:val="nil"/>
              <w:left w:val="nil"/>
              <w:bottom w:val="nil"/>
              <w:right w:val="nil"/>
            </w:tcBorders>
            <w:shd w:val="clear" w:color="000000" w:fill="FFFFFF"/>
            <w:hideMark/>
          </w:tcPr>
          <w:p w:rsidR="00757DE7" w:rsidRDefault="00757DE7" w:rsidP="0008156E">
            <w:pPr>
              <w:jc w:val="center"/>
              <w:rPr>
                <w:rFonts w:ascii="Arial" w:hAnsi="Arial" w:cs="Arial"/>
                <w:b/>
                <w:bCs/>
                <w:szCs w:val="24"/>
              </w:rPr>
            </w:pPr>
            <w:r>
              <w:rPr>
                <w:rFonts w:ascii="Arial" w:hAnsi="Arial" w:cs="Arial"/>
                <w:b/>
                <w:bCs/>
              </w:rPr>
              <w:lastRenderedPageBreak/>
              <w:t>Emergency Services</w:t>
            </w:r>
          </w:p>
        </w:tc>
      </w:tr>
      <w:tr w:rsidR="00757DE7" w:rsidTr="0008156E">
        <w:trPr>
          <w:tblHeader/>
        </w:trPr>
        <w:tc>
          <w:tcPr>
            <w:tcW w:w="9388" w:type="dxa"/>
            <w:gridSpan w:val="8"/>
            <w:tcBorders>
              <w:top w:val="nil"/>
              <w:left w:val="nil"/>
              <w:bottom w:val="nil"/>
              <w:right w:val="nil"/>
            </w:tcBorders>
            <w:shd w:val="clear" w:color="000000" w:fill="FFFFFF"/>
            <w:hideMark/>
          </w:tcPr>
          <w:p w:rsidR="00757DE7" w:rsidRDefault="00757DE7" w:rsidP="0008156E">
            <w:pPr>
              <w:jc w:val="center"/>
              <w:rPr>
                <w:rFonts w:ascii="Arial" w:hAnsi="Arial" w:cs="Arial"/>
                <w:b/>
                <w:bCs/>
                <w:szCs w:val="24"/>
              </w:rPr>
            </w:pPr>
            <w:r>
              <w:rPr>
                <w:rFonts w:ascii="Arial" w:hAnsi="Arial" w:cs="Arial"/>
                <w:b/>
                <w:bCs/>
              </w:rPr>
              <w:t>Operating Statement</w:t>
            </w:r>
          </w:p>
        </w:tc>
      </w:tr>
      <w:tr w:rsidR="00757DE7" w:rsidTr="0008156E">
        <w:trPr>
          <w:tblHeader/>
        </w:trPr>
        <w:tc>
          <w:tcPr>
            <w:tcW w:w="1054" w:type="dxa"/>
            <w:tcBorders>
              <w:top w:val="single" w:sz="4" w:space="0" w:color="auto"/>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hideMark/>
          </w:tcPr>
          <w:p w:rsidR="00757DE7" w:rsidRDefault="00757DE7" w:rsidP="0008156E">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2016-17</w:t>
            </w:r>
          </w:p>
        </w:tc>
      </w:tr>
      <w:tr w:rsidR="00757DE7" w:rsidTr="0008156E">
        <w:trPr>
          <w:tblHeader/>
        </w:trPr>
        <w:tc>
          <w:tcPr>
            <w:tcW w:w="1054" w:type="dxa"/>
            <w:tcBorders>
              <w:top w:val="nil"/>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hideMark/>
          </w:tcPr>
          <w:p w:rsidR="00757DE7" w:rsidRDefault="00757DE7" w:rsidP="0008156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757DE7" w:rsidRDefault="00757DE7" w:rsidP="0008156E">
            <w:pPr>
              <w:ind w:left="-283"/>
              <w:jc w:val="right"/>
              <w:rPr>
                <w:b/>
                <w:bCs/>
                <w:sz w:val="18"/>
                <w:szCs w:val="18"/>
              </w:rPr>
            </w:pPr>
            <w:proofErr w:type="spellStart"/>
            <w:r>
              <w:rPr>
                <w:b/>
                <w:bCs/>
                <w:sz w:val="18"/>
                <w:szCs w:val="18"/>
              </w:rPr>
              <w:t>Var</w:t>
            </w:r>
            <w:proofErr w:type="spellEnd"/>
          </w:p>
        </w:tc>
        <w:tc>
          <w:tcPr>
            <w:tcW w:w="1054" w:type="dxa"/>
            <w:tcBorders>
              <w:top w:val="nil"/>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Estimate</w:t>
            </w:r>
          </w:p>
        </w:tc>
      </w:tr>
      <w:tr w:rsidR="00757DE7" w:rsidTr="0008156E">
        <w:trPr>
          <w:tblHeader/>
        </w:trPr>
        <w:tc>
          <w:tcPr>
            <w:tcW w:w="1054" w:type="dxa"/>
            <w:tcBorders>
              <w:top w:val="nil"/>
              <w:left w:val="nil"/>
              <w:bottom w:val="single" w:sz="4" w:space="0" w:color="auto"/>
              <w:right w:val="nil"/>
            </w:tcBorders>
            <w:shd w:val="clear" w:color="000000" w:fill="FFFFFF"/>
            <w:hideMark/>
          </w:tcPr>
          <w:p w:rsidR="00757DE7" w:rsidRDefault="00757DE7" w:rsidP="0008156E">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hideMark/>
          </w:tcPr>
          <w:p w:rsidR="00757DE7" w:rsidRDefault="00757DE7" w:rsidP="0008156E">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hideMark/>
          </w:tcPr>
          <w:p w:rsidR="00757DE7" w:rsidRDefault="00757DE7" w:rsidP="0008156E">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757DE7" w:rsidRDefault="00757DE7" w:rsidP="0008156E">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hideMark/>
          </w:tcPr>
          <w:p w:rsidR="00757DE7" w:rsidRDefault="00757DE7" w:rsidP="0008156E">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hideMark/>
          </w:tcPr>
          <w:p w:rsidR="00757DE7" w:rsidRDefault="00757DE7" w:rsidP="0008156E">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757DE7" w:rsidRDefault="00757DE7" w:rsidP="0008156E">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757DE7" w:rsidRDefault="00757DE7" w:rsidP="0008156E">
            <w:pPr>
              <w:ind w:left="-283"/>
              <w:jc w:val="right"/>
              <w:rPr>
                <w:b/>
                <w:bCs/>
                <w:sz w:val="18"/>
                <w:szCs w:val="18"/>
              </w:rPr>
            </w:pPr>
            <w:r>
              <w:rPr>
                <w:b/>
                <w:bCs/>
                <w:sz w:val="18"/>
                <w:szCs w:val="18"/>
              </w:rPr>
              <w:t>$'000</w:t>
            </w:r>
          </w:p>
        </w:tc>
      </w:tr>
      <w:tr w:rsidR="00757DE7" w:rsidTr="0008156E">
        <w:trPr>
          <w:tblHeader/>
        </w:trPr>
        <w:tc>
          <w:tcPr>
            <w:tcW w:w="1054" w:type="dxa"/>
            <w:tcBorders>
              <w:top w:val="nil"/>
              <w:left w:val="nil"/>
              <w:bottom w:val="nil"/>
              <w:right w:val="nil"/>
            </w:tcBorders>
            <w:shd w:val="clear" w:color="000000" w:fill="FFFFFF"/>
            <w:hideMark/>
          </w:tcPr>
          <w:p w:rsidR="00757DE7" w:rsidRDefault="00757DE7" w:rsidP="0008156E">
            <w:pPr>
              <w:ind w:left="-283"/>
              <w:jc w:val="right"/>
              <w:rPr>
                <w:b/>
                <w:bCs/>
                <w:i/>
                <w:iCs/>
                <w:sz w:val="18"/>
                <w:szCs w:val="18"/>
              </w:rPr>
            </w:pPr>
            <w:r>
              <w:rPr>
                <w:b/>
                <w:bCs/>
                <w:i/>
                <w:iCs/>
                <w:sz w:val="18"/>
                <w:szCs w:val="18"/>
              </w:rPr>
              <w:t> </w:t>
            </w:r>
          </w:p>
        </w:tc>
        <w:tc>
          <w:tcPr>
            <w:tcW w:w="2392" w:type="dxa"/>
            <w:tcBorders>
              <w:top w:val="nil"/>
              <w:left w:val="nil"/>
              <w:bottom w:val="nil"/>
              <w:right w:val="nil"/>
            </w:tcBorders>
            <w:shd w:val="clear" w:color="000000" w:fill="FFFFFF"/>
            <w:hideMark/>
          </w:tcPr>
          <w:p w:rsidR="00757DE7" w:rsidRDefault="00757DE7" w:rsidP="0008156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57DE7" w:rsidRDefault="00757DE7" w:rsidP="0008156E">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b/>
                <w:bCs/>
                <w:i/>
                <w:iCs/>
                <w:sz w:val="18"/>
                <w:szCs w:val="18"/>
              </w:rPr>
            </w:pPr>
            <w:r>
              <w:rPr>
                <w:b/>
                <w:bCs/>
                <w:i/>
                <w:iCs/>
                <w:sz w:val="18"/>
                <w:szCs w:val="18"/>
              </w:rPr>
              <w:t> </w:t>
            </w:r>
          </w:p>
        </w:tc>
        <w:tc>
          <w:tcPr>
            <w:tcW w:w="624" w:type="dxa"/>
            <w:tcBorders>
              <w:top w:val="nil"/>
              <w:left w:val="nil"/>
              <w:bottom w:val="nil"/>
              <w:right w:val="nil"/>
            </w:tcBorders>
            <w:shd w:val="clear" w:color="000000" w:fill="FFFFFF"/>
            <w:hideMark/>
          </w:tcPr>
          <w:p w:rsidR="00757DE7" w:rsidRDefault="00757DE7" w:rsidP="0008156E">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b/>
                <w:bCs/>
                <w:i/>
                <w:iCs/>
                <w:sz w:val="18"/>
                <w:szCs w:val="18"/>
              </w:rPr>
            </w:pPr>
            <w:r>
              <w:rPr>
                <w:b/>
                <w:bCs/>
                <w:i/>
                <w:iCs/>
                <w:sz w:val="18"/>
                <w:szCs w:val="18"/>
              </w:rPr>
              <w:t> </w:t>
            </w:r>
          </w:p>
        </w:tc>
      </w:tr>
      <w:tr w:rsidR="00757DE7" w:rsidTr="0008156E">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57DE7" w:rsidRDefault="00757DE7" w:rsidP="0008156E">
            <w:pPr>
              <w:rPr>
                <w:b/>
                <w:bCs/>
                <w:sz w:val="18"/>
                <w:szCs w:val="18"/>
              </w:rPr>
            </w:pPr>
            <w:r>
              <w:rPr>
                <w:b/>
                <w:bCs/>
                <w:sz w:val="18"/>
                <w:szCs w:val="18"/>
              </w:rPr>
              <w:t>Income</w:t>
            </w:r>
          </w:p>
        </w:tc>
        <w:tc>
          <w:tcPr>
            <w:tcW w:w="1106"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r>
      <w:tr w:rsidR="00757DE7" w:rsidTr="0008156E">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57DE7" w:rsidRDefault="00757DE7" w:rsidP="0008156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r>
      <w:tr w:rsidR="00757DE7" w:rsidTr="0008156E">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57DE7" w:rsidRDefault="00757DE7" w:rsidP="0008156E">
            <w:pPr>
              <w:rPr>
                <w:b/>
                <w:bCs/>
                <w:sz w:val="18"/>
                <w:szCs w:val="18"/>
              </w:rPr>
            </w:pPr>
            <w:r>
              <w:rPr>
                <w:b/>
                <w:bCs/>
                <w:sz w:val="18"/>
                <w:szCs w:val="18"/>
              </w:rPr>
              <w:t>Revenue</w:t>
            </w:r>
          </w:p>
        </w:tc>
        <w:tc>
          <w:tcPr>
            <w:tcW w:w="1106"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r>
      <w:tr w:rsidR="00757DE7" w:rsidTr="0008156E">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57DE7" w:rsidRDefault="00757DE7" w:rsidP="0008156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r>
      <w:tr w:rsidR="00757DE7" w:rsidTr="0008156E">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88,494</w:t>
            </w:r>
          </w:p>
        </w:tc>
        <w:tc>
          <w:tcPr>
            <w:tcW w:w="2392" w:type="dxa"/>
            <w:tcBorders>
              <w:top w:val="nil"/>
              <w:left w:val="nil"/>
              <w:bottom w:val="nil"/>
              <w:right w:val="nil"/>
            </w:tcBorders>
            <w:shd w:val="clear" w:color="000000" w:fill="FFFFFF"/>
            <w:hideMark/>
          </w:tcPr>
          <w:p w:rsidR="00757DE7" w:rsidRDefault="00757DE7" w:rsidP="0008156E">
            <w:pPr>
              <w:rPr>
                <w:sz w:val="18"/>
                <w:szCs w:val="18"/>
              </w:rPr>
            </w:pPr>
            <w:r>
              <w:rPr>
                <w:sz w:val="18"/>
                <w:szCs w:val="18"/>
              </w:rPr>
              <w:t xml:space="preserve">Government Payment for </w:t>
            </w:r>
            <w:r>
              <w:rPr>
                <w:sz w:val="18"/>
                <w:szCs w:val="18"/>
              </w:rPr>
              <w:br/>
              <w:t xml:space="preserve">   Outputs</w:t>
            </w:r>
          </w:p>
        </w:tc>
        <w:tc>
          <w:tcPr>
            <w:tcW w:w="1106"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99,006</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104,348</w:t>
            </w:r>
          </w:p>
        </w:tc>
        <w:tc>
          <w:tcPr>
            <w:tcW w:w="62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xml:space="preserve">5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93,133</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90,874</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93,100</w:t>
            </w:r>
          </w:p>
        </w:tc>
      </w:tr>
      <w:tr w:rsidR="00757DE7" w:rsidTr="0008156E">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15,379</w:t>
            </w:r>
          </w:p>
        </w:tc>
        <w:tc>
          <w:tcPr>
            <w:tcW w:w="2392" w:type="dxa"/>
            <w:tcBorders>
              <w:top w:val="nil"/>
              <w:left w:val="nil"/>
              <w:bottom w:val="nil"/>
              <w:right w:val="nil"/>
            </w:tcBorders>
            <w:shd w:val="clear" w:color="000000" w:fill="FFFFFF"/>
            <w:hideMark/>
          </w:tcPr>
          <w:p w:rsidR="00757DE7" w:rsidRDefault="00757DE7" w:rsidP="0008156E">
            <w:pPr>
              <w:rPr>
                <w:sz w:val="18"/>
                <w:szCs w:val="18"/>
              </w:rPr>
            </w:pPr>
            <w:r>
              <w:rPr>
                <w:sz w:val="18"/>
                <w:szCs w:val="18"/>
              </w:rPr>
              <w:t xml:space="preserve">User Charges - Non ACT </w:t>
            </w:r>
            <w:r>
              <w:rPr>
                <w:sz w:val="18"/>
                <w:szCs w:val="18"/>
              </w:rPr>
              <w:br/>
              <w:t xml:space="preserve">   Government</w:t>
            </w:r>
          </w:p>
        </w:tc>
        <w:tc>
          <w:tcPr>
            <w:tcW w:w="1106"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6,383</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6,830</w:t>
            </w:r>
          </w:p>
        </w:tc>
        <w:tc>
          <w:tcPr>
            <w:tcW w:w="62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xml:space="preserve">7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16,596</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17,260</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17,951</w:t>
            </w:r>
          </w:p>
        </w:tc>
      </w:tr>
      <w:tr w:rsidR="00757DE7" w:rsidTr="0008156E">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1,216</w:t>
            </w:r>
          </w:p>
        </w:tc>
        <w:tc>
          <w:tcPr>
            <w:tcW w:w="2392" w:type="dxa"/>
            <w:tcBorders>
              <w:top w:val="nil"/>
              <w:left w:val="nil"/>
              <w:bottom w:val="nil"/>
              <w:right w:val="nil"/>
            </w:tcBorders>
            <w:shd w:val="clear" w:color="000000" w:fill="FFFFFF"/>
            <w:hideMark/>
          </w:tcPr>
          <w:p w:rsidR="00757DE7" w:rsidRDefault="00757DE7" w:rsidP="0008156E">
            <w:pPr>
              <w:rPr>
                <w:sz w:val="18"/>
                <w:szCs w:val="18"/>
              </w:rPr>
            </w:pPr>
            <w:r>
              <w:rPr>
                <w:sz w:val="18"/>
                <w:szCs w:val="18"/>
              </w:rPr>
              <w:t>Other Revenue</w:t>
            </w:r>
          </w:p>
        </w:tc>
        <w:tc>
          <w:tcPr>
            <w:tcW w:w="1106"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1,559</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671</w:t>
            </w:r>
          </w:p>
        </w:tc>
        <w:tc>
          <w:tcPr>
            <w:tcW w:w="62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xml:space="preserve">-57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684</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711</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740</w:t>
            </w:r>
          </w:p>
        </w:tc>
      </w:tr>
      <w:tr w:rsidR="00757DE7" w:rsidTr="0008156E">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57DE7" w:rsidRDefault="00757DE7" w:rsidP="0008156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r>
      <w:tr w:rsidR="00757DE7" w:rsidTr="0008156E">
        <w:tc>
          <w:tcPr>
            <w:tcW w:w="1054" w:type="dxa"/>
            <w:tcBorders>
              <w:top w:val="nil"/>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105,089</w:t>
            </w:r>
          </w:p>
        </w:tc>
        <w:tc>
          <w:tcPr>
            <w:tcW w:w="2392" w:type="dxa"/>
            <w:tcBorders>
              <w:top w:val="nil"/>
              <w:left w:val="nil"/>
              <w:bottom w:val="nil"/>
              <w:right w:val="nil"/>
            </w:tcBorders>
            <w:shd w:val="clear" w:color="000000" w:fill="FFFFFF"/>
            <w:hideMark/>
          </w:tcPr>
          <w:p w:rsidR="00757DE7" w:rsidRDefault="00757DE7" w:rsidP="0008156E">
            <w:pPr>
              <w:rPr>
                <w:b/>
                <w:bCs/>
                <w:sz w:val="18"/>
                <w:szCs w:val="18"/>
              </w:rPr>
            </w:pPr>
            <w:r>
              <w:rPr>
                <w:b/>
                <w:bCs/>
                <w:sz w:val="18"/>
                <w:szCs w:val="18"/>
              </w:rPr>
              <w:t>Total Revenue</w:t>
            </w:r>
          </w:p>
        </w:tc>
        <w:tc>
          <w:tcPr>
            <w:tcW w:w="1106" w:type="dxa"/>
            <w:tcBorders>
              <w:top w:val="nil"/>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106,948</w:t>
            </w:r>
          </w:p>
        </w:tc>
        <w:tc>
          <w:tcPr>
            <w:tcW w:w="1054" w:type="dxa"/>
            <w:tcBorders>
              <w:top w:val="nil"/>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111,849</w:t>
            </w:r>
          </w:p>
        </w:tc>
        <w:tc>
          <w:tcPr>
            <w:tcW w:w="624" w:type="dxa"/>
            <w:tcBorders>
              <w:top w:val="nil"/>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 xml:space="preserve">5 </w:t>
            </w:r>
          </w:p>
        </w:tc>
        <w:tc>
          <w:tcPr>
            <w:tcW w:w="1054" w:type="dxa"/>
            <w:tcBorders>
              <w:top w:val="nil"/>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110,413</w:t>
            </w:r>
          </w:p>
        </w:tc>
        <w:tc>
          <w:tcPr>
            <w:tcW w:w="1054" w:type="dxa"/>
            <w:tcBorders>
              <w:top w:val="nil"/>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108,845</w:t>
            </w:r>
          </w:p>
        </w:tc>
        <w:tc>
          <w:tcPr>
            <w:tcW w:w="1054" w:type="dxa"/>
            <w:tcBorders>
              <w:top w:val="nil"/>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111,791</w:t>
            </w:r>
          </w:p>
        </w:tc>
      </w:tr>
      <w:tr w:rsidR="00757DE7" w:rsidTr="0008156E">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57DE7" w:rsidRDefault="00757DE7" w:rsidP="0008156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r>
      <w:tr w:rsidR="00757DE7" w:rsidTr="0008156E">
        <w:tc>
          <w:tcPr>
            <w:tcW w:w="1054" w:type="dxa"/>
            <w:tcBorders>
              <w:top w:val="nil"/>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105,089</w:t>
            </w:r>
          </w:p>
        </w:tc>
        <w:tc>
          <w:tcPr>
            <w:tcW w:w="2392" w:type="dxa"/>
            <w:tcBorders>
              <w:top w:val="nil"/>
              <w:left w:val="nil"/>
              <w:bottom w:val="nil"/>
              <w:right w:val="nil"/>
            </w:tcBorders>
            <w:shd w:val="clear" w:color="000000" w:fill="FFFFFF"/>
            <w:hideMark/>
          </w:tcPr>
          <w:p w:rsidR="00757DE7" w:rsidRDefault="00757DE7" w:rsidP="0008156E">
            <w:pPr>
              <w:rPr>
                <w:b/>
                <w:bCs/>
                <w:sz w:val="18"/>
                <w:szCs w:val="18"/>
              </w:rPr>
            </w:pPr>
            <w:r>
              <w:rPr>
                <w:b/>
                <w:bCs/>
                <w:sz w:val="18"/>
                <w:szCs w:val="18"/>
              </w:rPr>
              <w:t>Total Income</w:t>
            </w:r>
          </w:p>
        </w:tc>
        <w:tc>
          <w:tcPr>
            <w:tcW w:w="1106" w:type="dxa"/>
            <w:tcBorders>
              <w:top w:val="nil"/>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106,948</w:t>
            </w:r>
          </w:p>
        </w:tc>
        <w:tc>
          <w:tcPr>
            <w:tcW w:w="1054" w:type="dxa"/>
            <w:tcBorders>
              <w:top w:val="nil"/>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111,849</w:t>
            </w:r>
          </w:p>
        </w:tc>
        <w:tc>
          <w:tcPr>
            <w:tcW w:w="624" w:type="dxa"/>
            <w:tcBorders>
              <w:top w:val="nil"/>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 xml:space="preserve">5 </w:t>
            </w:r>
          </w:p>
        </w:tc>
        <w:tc>
          <w:tcPr>
            <w:tcW w:w="1054" w:type="dxa"/>
            <w:tcBorders>
              <w:top w:val="nil"/>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110,413</w:t>
            </w:r>
          </w:p>
        </w:tc>
        <w:tc>
          <w:tcPr>
            <w:tcW w:w="1054" w:type="dxa"/>
            <w:tcBorders>
              <w:top w:val="nil"/>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108,845</w:t>
            </w:r>
          </w:p>
        </w:tc>
        <w:tc>
          <w:tcPr>
            <w:tcW w:w="1054" w:type="dxa"/>
            <w:tcBorders>
              <w:top w:val="nil"/>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111,791</w:t>
            </w:r>
          </w:p>
        </w:tc>
      </w:tr>
      <w:tr w:rsidR="00757DE7" w:rsidTr="0008156E">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57DE7" w:rsidRDefault="00757DE7" w:rsidP="0008156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r>
      <w:tr w:rsidR="00757DE7" w:rsidTr="0008156E">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57DE7" w:rsidRDefault="00757DE7" w:rsidP="0008156E">
            <w:pPr>
              <w:rPr>
                <w:b/>
                <w:bCs/>
                <w:sz w:val="18"/>
                <w:szCs w:val="18"/>
              </w:rPr>
            </w:pPr>
            <w:r>
              <w:rPr>
                <w:b/>
                <w:bCs/>
                <w:sz w:val="18"/>
                <w:szCs w:val="18"/>
              </w:rPr>
              <w:t xml:space="preserve">Expenses  </w:t>
            </w:r>
          </w:p>
        </w:tc>
        <w:tc>
          <w:tcPr>
            <w:tcW w:w="1106"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r>
      <w:tr w:rsidR="00757DE7" w:rsidTr="0008156E">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57DE7" w:rsidRDefault="00757DE7" w:rsidP="0008156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r>
      <w:tr w:rsidR="00757DE7" w:rsidTr="0008156E">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67,957</w:t>
            </w:r>
          </w:p>
        </w:tc>
        <w:tc>
          <w:tcPr>
            <w:tcW w:w="2392" w:type="dxa"/>
            <w:tcBorders>
              <w:top w:val="nil"/>
              <w:left w:val="nil"/>
              <w:bottom w:val="nil"/>
              <w:right w:val="nil"/>
            </w:tcBorders>
            <w:shd w:val="clear" w:color="000000" w:fill="FFFFFF"/>
            <w:hideMark/>
          </w:tcPr>
          <w:p w:rsidR="00757DE7" w:rsidRDefault="00757DE7" w:rsidP="0008156E">
            <w:pPr>
              <w:rPr>
                <w:sz w:val="18"/>
                <w:szCs w:val="18"/>
              </w:rPr>
            </w:pPr>
            <w:r>
              <w:rPr>
                <w:sz w:val="18"/>
                <w:szCs w:val="18"/>
              </w:rPr>
              <w:t>Employee Expenses</w:t>
            </w:r>
          </w:p>
        </w:tc>
        <w:tc>
          <w:tcPr>
            <w:tcW w:w="1106"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70,585</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72,167</w:t>
            </w:r>
          </w:p>
        </w:tc>
        <w:tc>
          <w:tcPr>
            <w:tcW w:w="62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70,270</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68,294</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69,988</w:t>
            </w:r>
          </w:p>
        </w:tc>
      </w:tr>
      <w:tr w:rsidR="00757DE7" w:rsidTr="0008156E">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10,368</w:t>
            </w:r>
          </w:p>
        </w:tc>
        <w:tc>
          <w:tcPr>
            <w:tcW w:w="2392" w:type="dxa"/>
            <w:tcBorders>
              <w:top w:val="nil"/>
              <w:left w:val="nil"/>
              <w:bottom w:val="nil"/>
              <w:right w:val="nil"/>
            </w:tcBorders>
            <w:shd w:val="clear" w:color="000000" w:fill="FFFFFF"/>
            <w:hideMark/>
          </w:tcPr>
          <w:p w:rsidR="00757DE7" w:rsidRDefault="00757DE7" w:rsidP="0008156E">
            <w:pPr>
              <w:rPr>
                <w:sz w:val="18"/>
                <w:szCs w:val="18"/>
              </w:rPr>
            </w:pPr>
            <w:r>
              <w:rPr>
                <w:sz w:val="18"/>
                <w:szCs w:val="18"/>
              </w:rPr>
              <w:t>Superannuation Expenses</w:t>
            </w:r>
          </w:p>
        </w:tc>
        <w:tc>
          <w:tcPr>
            <w:tcW w:w="1106"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10,514</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10,772</w:t>
            </w:r>
          </w:p>
        </w:tc>
        <w:tc>
          <w:tcPr>
            <w:tcW w:w="62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10,999</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11,252</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11,570</w:t>
            </w:r>
          </w:p>
        </w:tc>
      </w:tr>
      <w:tr w:rsidR="00757DE7" w:rsidTr="0008156E">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24,588</w:t>
            </w:r>
          </w:p>
        </w:tc>
        <w:tc>
          <w:tcPr>
            <w:tcW w:w="2392" w:type="dxa"/>
            <w:tcBorders>
              <w:top w:val="nil"/>
              <w:left w:val="nil"/>
              <w:bottom w:val="nil"/>
              <w:right w:val="nil"/>
            </w:tcBorders>
            <w:shd w:val="clear" w:color="000000" w:fill="FFFFFF"/>
            <w:hideMark/>
          </w:tcPr>
          <w:p w:rsidR="00757DE7" w:rsidRDefault="00757DE7" w:rsidP="0008156E">
            <w:pPr>
              <w:rPr>
                <w:sz w:val="18"/>
                <w:szCs w:val="18"/>
              </w:rPr>
            </w:pPr>
            <w:r>
              <w:rPr>
                <w:sz w:val="18"/>
                <w:szCs w:val="18"/>
              </w:rPr>
              <w:t>Supplies and Services</w:t>
            </w:r>
          </w:p>
        </w:tc>
        <w:tc>
          <w:tcPr>
            <w:tcW w:w="1106"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24,837</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26,118</w:t>
            </w:r>
          </w:p>
        </w:tc>
        <w:tc>
          <w:tcPr>
            <w:tcW w:w="62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xml:space="preserve">5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26,902</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27,029</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27,906</w:t>
            </w:r>
          </w:p>
        </w:tc>
      </w:tr>
      <w:tr w:rsidR="00757DE7" w:rsidTr="0008156E">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11,521</w:t>
            </w:r>
          </w:p>
        </w:tc>
        <w:tc>
          <w:tcPr>
            <w:tcW w:w="2392" w:type="dxa"/>
            <w:tcBorders>
              <w:top w:val="nil"/>
              <w:left w:val="nil"/>
              <w:bottom w:val="nil"/>
              <w:right w:val="nil"/>
            </w:tcBorders>
            <w:shd w:val="clear" w:color="000000" w:fill="FFFFFF"/>
            <w:hideMark/>
          </w:tcPr>
          <w:p w:rsidR="00757DE7" w:rsidRDefault="00757DE7" w:rsidP="0008156E">
            <w:pPr>
              <w:rPr>
                <w:sz w:val="18"/>
                <w:szCs w:val="18"/>
              </w:rPr>
            </w:pPr>
            <w:r>
              <w:rPr>
                <w:sz w:val="18"/>
                <w:szCs w:val="18"/>
              </w:rPr>
              <w:t xml:space="preserve">Depreciation and </w:t>
            </w:r>
            <w:r>
              <w:rPr>
                <w:sz w:val="18"/>
                <w:szCs w:val="18"/>
              </w:rPr>
              <w:br/>
              <w:t xml:space="preserve">   Amortisation</w:t>
            </w:r>
          </w:p>
        </w:tc>
        <w:tc>
          <w:tcPr>
            <w:tcW w:w="1106"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8,490</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12,194</w:t>
            </w:r>
          </w:p>
        </w:tc>
        <w:tc>
          <w:tcPr>
            <w:tcW w:w="62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xml:space="preserve">44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12,561</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12,878</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13,037</w:t>
            </w:r>
          </w:p>
        </w:tc>
      </w:tr>
      <w:tr w:rsidR="00757DE7" w:rsidTr="0008156E">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114</w:t>
            </w:r>
          </w:p>
        </w:tc>
        <w:tc>
          <w:tcPr>
            <w:tcW w:w="2392" w:type="dxa"/>
            <w:tcBorders>
              <w:top w:val="nil"/>
              <w:left w:val="nil"/>
              <w:bottom w:val="nil"/>
              <w:right w:val="nil"/>
            </w:tcBorders>
            <w:shd w:val="clear" w:color="000000" w:fill="FFFFFF"/>
            <w:hideMark/>
          </w:tcPr>
          <w:p w:rsidR="00757DE7" w:rsidRDefault="00757DE7" w:rsidP="0008156E">
            <w:pPr>
              <w:rPr>
                <w:sz w:val="18"/>
                <w:szCs w:val="18"/>
              </w:rPr>
            </w:pPr>
            <w:r>
              <w:rPr>
                <w:sz w:val="18"/>
                <w:szCs w:val="18"/>
              </w:rPr>
              <w:t>Borrowing Costs</w:t>
            </w:r>
          </w:p>
        </w:tc>
        <w:tc>
          <w:tcPr>
            <w:tcW w:w="1106"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156</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118</w:t>
            </w:r>
          </w:p>
        </w:tc>
        <w:tc>
          <w:tcPr>
            <w:tcW w:w="62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xml:space="preserve">-24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120</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122</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124</w:t>
            </w:r>
          </w:p>
        </w:tc>
      </w:tr>
      <w:tr w:rsidR="00757DE7" w:rsidTr="0008156E">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46</w:t>
            </w:r>
          </w:p>
        </w:tc>
        <w:tc>
          <w:tcPr>
            <w:tcW w:w="2392" w:type="dxa"/>
            <w:tcBorders>
              <w:top w:val="nil"/>
              <w:left w:val="nil"/>
              <w:bottom w:val="nil"/>
              <w:right w:val="nil"/>
            </w:tcBorders>
            <w:shd w:val="clear" w:color="000000" w:fill="FFFFFF"/>
            <w:hideMark/>
          </w:tcPr>
          <w:p w:rsidR="00757DE7" w:rsidRDefault="00757DE7" w:rsidP="0008156E">
            <w:pPr>
              <w:rPr>
                <w:sz w:val="18"/>
                <w:szCs w:val="18"/>
              </w:rPr>
            </w:pPr>
            <w:r>
              <w:rPr>
                <w:sz w:val="18"/>
                <w:szCs w:val="18"/>
              </w:rPr>
              <w:t xml:space="preserve">Grants and Purchased </w:t>
            </w:r>
            <w:r>
              <w:rPr>
                <w:sz w:val="18"/>
                <w:szCs w:val="18"/>
              </w:rPr>
              <w:br/>
              <w:t xml:space="preserve">   Services</w:t>
            </w:r>
          </w:p>
        </w:tc>
        <w:tc>
          <w:tcPr>
            <w:tcW w:w="1106"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178</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47</w:t>
            </w:r>
          </w:p>
        </w:tc>
        <w:tc>
          <w:tcPr>
            <w:tcW w:w="62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xml:space="preserve">-74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48</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48</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49</w:t>
            </w:r>
          </w:p>
        </w:tc>
      </w:tr>
      <w:tr w:rsidR="00757DE7" w:rsidTr="0008156E">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1,321</w:t>
            </w:r>
          </w:p>
        </w:tc>
        <w:tc>
          <w:tcPr>
            <w:tcW w:w="2392" w:type="dxa"/>
            <w:tcBorders>
              <w:top w:val="nil"/>
              <w:left w:val="nil"/>
              <w:bottom w:val="nil"/>
              <w:right w:val="nil"/>
            </w:tcBorders>
            <w:shd w:val="clear" w:color="000000" w:fill="FFFFFF"/>
            <w:hideMark/>
          </w:tcPr>
          <w:p w:rsidR="00757DE7" w:rsidRDefault="00757DE7" w:rsidP="0008156E">
            <w:pPr>
              <w:rPr>
                <w:sz w:val="18"/>
                <w:szCs w:val="18"/>
              </w:rPr>
            </w:pPr>
            <w:r>
              <w:rPr>
                <w:sz w:val="18"/>
                <w:szCs w:val="18"/>
              </w:rPr>
              <w:t>Other Expenses</w:t>
            </w:r>
          </w:p>
        </w:tc>
        <w:tc>
          <w:tcPr>
            <w:tcW w:w="1106"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1,568</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1,307</w:t>
            </w:r>
          </w:p>
        </w:tc>
        <w:tc>
          <w:tcPr>
            <w:tcW w:w="62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xml:space="preserve">-17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1,321</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1,347</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1,401</w:t>
            </w:r>
          </w:p>
        </w:tc>
      </w:tr>
      <w:tr w:rsidR="00757DE7" w:rsidTr="0008156E">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57DE7" w:rsidRDefault="00757DE7" w:rsidP="0008156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r>
      <w:tr w:rsidR="00757DE7" w:rsidTr="0008156E">
        <w:tc>
          <w:tcPr>
            <w:tcW w:w="1054" w:type="dxa"/>
            <w:tcBorders>
              <w:top w:val="nil"/>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115,915</w:t>
            </w:r>
          </w:p>
        </w:tc>
        <w:tc>
          <w:tcPr>
            <w:tcW w:w="2392" w:type="dxa"/>
            <w:tcBorders>
              <w:top w:val="nil"/>
              <w:left w:val="nil"/>
              <w:bottom w:val="nil"/>
              <w:right w:val="nil"/>
            </w:tcBorders>
            <w:shd w:val="clear" w:color="000000" w:fill="FFFFFF"/>
            <w:hideMark/>
          </w:tcPr>
          <w:p w:rsidR="00757DE7" w:rsidRDefault="00757DE7" w:rsidP="0008156E">
            <w:pPr>
              <w:rPr>
                <w:b/>
                <w:bCs/>
                <w:sz w:val="18"/>
                <w:szCs w:val="18"/>
              </w:rPr>
            </w:pPr>
            <w:r>
              <w:rPr>
                <w:b/>
                <w:bCs/>
                <w:sz w:val="18"/>
                <w:szCs w:val="18"/>
              </w:rPr>
              <w:t>Total Ordinary Expenses</w:t>
            </w:r>
          </w:p>
        </w:tc>
        <w:tc>
          <w:tcPr>
            <w:tcW w:w="1106" w:type="dxa"/>
            <w:tcBorders>
              <w:top w:val="nil"/>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116,328</w:t>
            </w:r>
          </w:p>
        </w:tc>
        <w:tc>
          <w:tcPr>
            <w:tcW w:w="1054" w:type="dxa"/>
            <w:tcBorders>
              <w:top w:val="nil"/>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122,723</w:t>
            </w:r>
          </w:p>
        </w:tc>
        <w:tc>
          <w:tcPr>
            <w:tcW w:w="624" w:type="dxa"/>
            <w:tcBorders>
              <w:top w:val="nil"/>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 xml:space="preserve">5 </w:t>
            </w:r>
          </w:p>
        </w:tc>
        <w:tc>
          <w:tcPr>
            <w:tcW w:w="1054" w:type="dxa"/>
            <w:tcBorders>
              <w:top w:val="nil"/>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122,221</w:t>
            </w:r>
          </w:p>
        </w:tc>
        <w:tc>
          <w:tcPr>
            <w:tcW w:w="1054" w:type="dxa"/>
            <w:tcBorders>
              <w:top w:val="nil"/>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120,970</w:t>
            </w:r>
          </w:p>
        </w:tc>
        <w:tc>
          <w:tcPr>
            <w:tcW w:w="1054" w:type="dxa"/>
            <w:tcBorders>
              <w:top w:val="nil"/>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124,075</w:t>
            </w:r>
          </w:p>
        </w:tc>
      </w:tr>
      <w:tr w:rsidR="00757DE7" w:rsidTr="0008156E">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57DE7" w:rsidRDefault="00757DE7" w:rsidP="0008156E">
            <w:pPr>
              <w:rPr>
                <w:sz w:val="18"/>
                <w:szCs w:val="18"/>
              </w:rPr>
            </w:pPr>
            <w:r>
              <w:rPr>
                <w:sz w:val="18"/>
                <w:szCs w:val="18"/>
              </w:rPr>
              <w:t> </w:t>
            </w:r>
          </w:p>
        </w:tc>
        <w:tc>
          <w:tcPr>
            <w:tcW w:w="1106"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57DE7" w:rsidRDefault="00757DE7" w:rsidP="0008156E">
            <w:pPr>
              <w:ind w:left="-283"/>
              <w:jc w:val="right"/>
              <w:rPr>
                <w:sz w:val="18"/>
                <w:szCs w:val="18"/>
              </w:rPr>
            </w:pPr>
            <w:r>
              <w:rPr>
                <w:sz w:val="18"/>
                <w:szCs w:val="18"/>
              </w:rPr>
              <w:t> </w:t>
            </w:r>
          </w:p>
        </w:tc>
      </w:tr>
      <w:tr w:rsidR="00757DE7" w:rsidTr="0008156E">
        <w:tc>
          <w:tcPr>
            <w:tcW w:w="1054" w:type="dxa"/>
            <w:tcBorders>
              <w:top w:val="nil"/>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-10,826</w:t>
            </w:r>
          </w:p>
        </w:tc>
        <w:tc>
          <w:tcPr>
            <w:tcW w:w="2392" w:type="dxa"/>
            <w:tcBorders>
              <w:top w:val="nil"/>
              <w:left w:val="nil"/>
              <w:bottom w:val="nil"/>
              <w:right w:val="nil"/>
            </w:tcBorders>
            <w:shd w:val="clear" w:color="000000" w:fill="FFFFFF"/>
            <w:hideMark/>
          </w:tcPr>
          <w:p w:rsidR="00757DE7" w:rsidRDefault="00757DE7" w:rsidP="0008156E">
            <w:pPr>
              <w:rPr>
                <w:b/>
                <w:bCs/>
                <w:sz w:val="18"/>
                <w:szCs w:val="18"/>
              </w:rPr>
            </w:pPr>
            <w:r>
              <w:rPr>
                <w:b/>
                <w:bCs/>
                <w:sz w:val="18"/>
                <w:szCs w:val="18"/>
              </w:rPr>
              <w:t>Operating Result</w:t>
            </w:r>
          </w:p>
        </w:tc>
        <w:tc>
          <w:tcPr>
            <w:tcW w:w="1106" w:type="dxa"/>
            <w:tcBorders>
              <w:top w:val="nil"/>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-9,380</w:t>
            </w:r>
          </w:p>
        </w:tc>
        <w:tc>
          <w:tcPr>
            <w:tcW w:w="1054" w:type="dxa"/>
            <w:tcBorders>
              <w:top w:val="nil"/>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-10,874</w:t>
            </w:r>
          </w:p>
        </w:tc>
        <w:tc>
          <w:tcPr>
            <w:tcW w:w="624" w:type="dxa"/>
            <w:tcBorders>
              <w:top w:val="nil"/>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 xml:space="preserve">-16 </w:t>
            </w:r>
          </w:p>
        </w:tc>
        <w:tc>
          <w:tcPr>
            <w:tcW w:w="1054" w:type="dxa"/>
            <w:tcBorders>
              <w:top w:val="nil"/>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-11,808</w:t>
            </w:r>
          </w:p>
        </w:tc>
        <w:tc>
          <w:tcPr>
            <w:tcW w:w="1054" w:type="dxa"/>
            <w:tcBorders>
              <w:top w:val="nil"/>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-12,125</w:t>
            </w:r>
          </w:p>
        </w:tc>
        <w:tc>
          <w:tcPr>
            <w:tcW w:w="1054" w:type="dxa"/>
            <w:tcBorders>
              <w:top w:val="nil"/>
              <w:left w:val="nil"/>
              <w:bottom w:val="nil"/>
              <w:right w:val="nil"/>
            </w:tcBorders>
            <w:shd w:val="clear" w:color="000000" w:fill="FFFFFF"/>
            <w:hideMark/>
          </w:tcPr>
          <w:p w:rsidR="00757DE7" w:rsidRDefault="00757DE7" w:rsidP="0008156E">
            <w:pPr>
              <w:ind w:left="-283"/>
              <w:jc w:val="right"/>
              <w:rPr>
                <w:b/>
                <w:bCs/>
                <w:sz w:val="18"/>
                <w:szCs w:val="18"/>
              </w:rPr>
            </w:pPr>
            <w:r>
              <w:rPr>
                <w:b/>
                <w:bCs/>
                <w:sz w:val="18"/>
                <w:szCs w:val="18"/>
              </w:rPr>
              <w:t>-12,284</w:t>
            </w:r>
          </w:p>
        </w:tc>
      </w:tr>
      <w:tr w:rsidR="00757DE7" w:rsidTr="0008156E">
        <w:tc>
          <w:tcPr>
            <w:tcW w:w="1054" w:type="dxa"/>
            <w:tcBorders>
              <w:top w:val="nil"/>
              <w:left w:val="nil"/>
              <w:bottom w:val="single" w:sz="4" w:space="0" w:color="auto"/>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757DE7" w:rsidRDefault="00757DE7" w:rsidP="0008156E">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757DE7" w:rsidRDefault="00757DE7" w:rsidP="0008156E">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757DE7" w:rsidRDefault="00757DE7" w:rsidP="0008156E">
            <w:pPr>
              <w:ind w:left="-283"/>
              <w:jc w:val="right"/>
              <w:rPr>
                <w:sz w:val="18"/>
                <w:szCs w:val="18"/>
              </w:rPr>
            </w:pPr>
            <w:r>
              <w:rPr>
                <w:sz w:val="18"/>
                <w:szCs w:val="18"/>
              </w:rPr>
              <w:t> </w:t>
            </w:r>
          </w:p>
        </w:tc>
      </w:tr>
    </w:tbl>
    <w:p w:rsidR="00757DE7" w:rsidRDefault="00757DE7"/>
    <w:p w:rsidR="00757DE7" w:rsidRDefault="00757DE7">
      <w:r>
        <w:br w:type="page"/>
      </w:r>
    </w:p>
    <w:p w:rsidR="00EB5C27" w:rsidRDefault="00EB5C27" w:rsidP="00EB5C27">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lastRenderedPageBreak/>
        <w:t>Notes to the Output Class Statements</w:t>
      </w:r>
    </w:p>
    <w:p w:rsidR="00EB5C27" w:rsidRDefault="00EB5C27" w:rsidP="00EB5C27">
      <w:pPr>
        <w:pStyle w:val="BodyText"/>
        <w:keepNext w:val="0"/>
        <w:keepLines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Significant variations are as follows:</w:t>
      </w:r>
    </w:p>
    <w:p w:rsidR="000D3FF8" w:rsidRDefault="000D3FF8" w:rsidP="000D3FF8">
      <w:pPr>
        <w:pStyle w:val="Heading4"/>
        <w:keepNext w:val="0"/>
        <w:keepLines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Corrective Services</w:t>
      </w:r>
      <w:r w:rsidRPr="007D7E5E">
        <w:t xml:space="preserve"> Total Expenses</w:t>
      </w:r>
    </w:p>
    <w:p w:rsidR="000D3FF8" w:rsidRPr="00FE1887" w:rsidRDefault="000D3FF8" w:rsidP="000D3FF8">
      <w:pPr>
        <w:pStyle w:val="BodyTextIndent"/>
        <w:keepNext w:val="0"/>
        <w:keepLines w:val="0"/>
      </w:pPr>
      <w:proofErr w:type="gramStart"/>
      <w:r>
        <w:t>the</w:t>
      </w:r>
      <w:proofErr w:type="gramEnd"/>
      <w:r>
        <w:t xml:space="preserve"> increase in total expenses of $2.675 million in the 2013-14 Budget from the 2012</w:t>
      </w:r>
      <w:r>
        <w:noBreakHyphen/>
        <w:t xml:space="preserve">13 estimated outcome is mainly due to new initiatives ($2.789 million), partially offset by cessation of prior year initiatives and other net adjustments. </w:t>
      </w:r>
    </w:p>
    <w:p w:rsidR="00EB5C27" w:rsidRPr="007D7E5E" w:rsidRDefault="00EB5C27" w:rsidP="00EB5C27">
      <w:pPr>
        <w:pStyle w:val="Heading4"/>
        <w:keepNext w:val="0"/>
        <w:keepLines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D7E5E">
        <w:t>Courts and Tribunal</w:t>
      </w:r>
      <w:r w:rsidR="00B146F2">
        <w:t>s</w:t>
      </w:r>
      <w:r w:rsidRPr="007D7E5E">
        <w:t xml:space="preserve"> Total Expenses</w:t>
      </w:r>
    </w:p>
    <w:p w:rsidR="00EB5C27" w:rsidRPr="00FE1887" w:rsidRDefault="00EB5C27" w:rsidP="00EB5C27">
      <w:pPr>
        <w:pStyle w:val="BodyTextIndent"/>
        <w:keepNext w:val="0"/>
        <w:keepLines w:val="0"/>
      </w:pPr>
      <w:r w:rsidRPr="00FE1887">
        <w:t xml:space="preserve">the increase in total expenses of $2.418 million in the 2012-13 estimated outcome from the original budget is mainly due to expenses associated with the ‘Eastman Inquiry’ </w:t>
      </w:r>
      <w:r w:rsidR="00847B7B" w:rsidRPr="00FE1887">
        <w:t>($1.382 million)</w:t>
      </w:r>
      <w:r w:rsidR="00DB42C7">
        <w:t>,</w:t>
      </w:r>
      <w:r w:rsidRPr="00FE1887">
        <w:t xml:space="preserve"> costs associated with </w:t>
      </w:r>
      <w:r w:rsidR="00847B7B" w:rsidRPr="00FE1887">
        <w:t>ACAT recoveries ($0.529 million)</w:t>
      </w:r>
      <w:r w:rsidR="00924166">
        <w:t xml:space="preserve">, </w:t>
      </w:r>
      <w:r w:rsidR="00DB42C7">
        <w:t>and higher</w:t>
      </w:r>
      <w:r w:rsidR="00847B7B" w:rsidRPr="00FE1887">
        <w:t xml:space="preserve"> depreciation and amortisation expenses ($0.438 million) associated with completed capital projects; and</w:t>
      </w:r>
    </w:p>
    <w:p w:rsidR="00EB5C27" w:rsidRPr="00FE1887" w:rsidRDefault="00EB5C27" w:rsidP="00EB5C27">
      <w:pPr>
        <w:pStyle w:val="BodyTextIndent"/>
        <w:keepNext w:val="0"/>
        <w:keepLines w:val="0"/>
        <w:rPr>
          <w:i/>
        </w:rPr>
      </w:pPr>
      <w:r w:rsidRPr="00FE1887">
        <w:t xml:space="preserve">the increase in total expenses of $1.745 million in the 2013-14 Budget from the 2012-13 estimated outcome is mainly due to </w:t>
      </w:r>
      <w:r w:rsidR="00847B7B" w:rsidRPr="00FE1887">
        <w:t xml:space="preserve">the ‘Eastman Inquiry’ ($0.581 million), new initiatives </w:t>
      </w:r>
      <w:r w:rsidR="00213C52">
        <w:t xml:space="preserve">($0.616 million) </w:t>
      </w:r>
      <w:r w:rsidR="00847B7B" w:rsidRPr="00FE1887">
        <w:t>and indexation</w:t>
      </w:r>
      <w:r w:rsidR="00E7746B">
        <w:t>.</w:t>
      </w:r>
    </w:p>
    <w:p w:rsidR="00EB5C27" w:rsidRPr="00FE1887" w:rsidRDefault="00EB5C27" w:rsidP="00EB5C27">
      <w:pPr>
        <w:pStyle w:val="Heading4"/>
        <w:keepNext w:val="0"/>
        <w:keepLines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E1887">
        <w:t>Emergency Services Total Expenses</w:t>
      </w:r>
    </w:p>
    <w:p w:rsidR="00EB5C27" w:rsidRPr="00FE1887" w:rsidRDefault="00EB5C27" w:rsidP="00EB5C27">
      <w:pPr>
        <w:pStyle w:val="BodyTextIndent"/>
        <w:keepNext w:val="0"/>
        <w:keepLines w:val="0"/>
      </w:pPr>
      <w:proofErr w:type="gramStart"/>
      <w:r w:rsidRPr="00FE1887">
        <w:t>the</w:t>
      </w:r>
      <w:proofErr w:type="gramEnd"/>
      <w:r w:rsidRPr="00FE1887">
        <w:t xml:space="preserve"> increase in total expenses of $6.395 million in the 2013-14 Budget from the 2012-13 estimated outcome is mainly due to </w:t>
      </w:r>
      <w:r w:rsidR="00847B7B" w:rsidRPr="00FE1887">
        <w:t>new budget initiatives ($8.170 million) an</w:t>
      </w:r>
      <w:r w:rsidR="009B35B3">
        <w:t>d increased depreciation ($3.704</w:t>
      </w:r>
      <w:r w:rsidR="00847B7B" w:rsidRPr="00FE1887">
        <w:t> million) due to completion of capital works projects, partia</w:t>
      </w:r>
      <w:r w:rsidR="00190735">
        <w:t>lly offset by cessation of 2012-</w:t>
      </w:r>
      <w:r w:rsidR="00847B7B" w:rsidRPr="00FE1887">
        <w:t xml:space="preserve">13 Budget initiatives ($3.598 million) and </w:t>
      </w:r>
      <w:r w:rsidR="00190735">
        <w:t>2012-</w:t>
      </w:r>
      <w:r w:rsidR="00847B7B" w:rsidRPr="00FE1887">
        <w:t>13</w:t>
      </w:r>
      <w:r w:rsidR="00FE1887" w:rsidRPr="00FE1887">
        <w:t xml:space="preserve"> s16B rollovers ($1.771 million).</w:t>
      </w:r>
    </w:p>
    <w:p w:rsidR="005B2326" w:rsidRDefault="005B2326"/>
    <w:sectPr w:rsidR="005B2326" w:rsidSect="007D0DCE">
      <w:headerReference w:type="even" r:id="rId10"/>
      <w:headerReference w:type="default" r:id="rId11"/>
      <w:footerReference w:type="even" r:id="rId12"/>
      <w:footerReference w:type="default" r:id="rId13"/>
      <w:headerReference w:type="first" r:id="rId14"/>
      <w:footerReference w:type="first" r:id="rId15"/>
      <w:pgSz w:w="11906" w:h="16838" w:code="9"/>
      <w:pgMar w:top="1151" w:right="1440" w:bottom="1729" w:left="1440" w:header="720" w:footer="720" w:gutter="0"/>
      <w:pgNumType w:start="20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351" w:rsidRDefault="00033351" w:rsidP="00606241">
      <w:r>
        <w:separator/>
      </w:r>
    </w:p>
  </w:endnote>
  <w:endnote w:type="continuationSeparator" w:id="0">
    <w:p w:rsidR="00033351" w:rsidRDefault="00033351" w:rsidP="006062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DCE" w:rsidRDefault="007D0D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351" w:rsidRDefault="00033351" w:rsidP="00D04710">
    <w:pPr>
      <w:pStyle w:val="FooterBP"/>
    </w:pPr>
    <w:r>
      <w:t>2013</w:t>
    </w:r>
    <w:r>
      <w:noBreakHyphen/>
      <w:t>14 Budget Paper No. 4</w:t>
    </w:r>
    <w:r w:rsidRPr="00DB37E9">
      <w:rPr>
        <w:sz w:val="18"/>
        <w:szCs w:val="18"/>
      </w:rPr>
      <w:tab/>
    </w:r>
    <w:r w:rsidR="00002102" w:rsidRPr="007D0DCE">
      <w:rPr>
        <w:sz w:val="18"/>
        <w:szCs w:val="18"/>
      </w:rPr>
      <w:fldChar w:fldCharType="begin"/>
    </w:r>
    <w:r w:rsidR="007D0DCE" w:rsidRPr="007D0DCE">
      <w:rPr>
        <w:sz w:val="18"/>
        <w:szCs w:val="18"/>
      </w:rPr>
      <w:instrText xml:space="preserve"> PAGE   \* MERGEFORMAT </w:instrText>
    </w:r>
    <w:r w:rsidR="00002102" w:rsidRPr="007D0DCE">
      <w:rPr>
        <w:sz w:val="18"/>
        <w:szCs w:val="18"/>
      </w:rPr>
      <w:fldChar w:fldCharType="separate"/>
    </w:r>
    <w:r w:rsidR="004444F0">
      <w:rPr>
        <w:noProof/>
        <w:sz w:val="18"/>
        <w:szCs w:val="18"/>
      </w:rPr>
      <w:t>203</w:t>
    </w:r>
    <w:r w:rsidR="00002102" w:rsidRPr="007D0DCE">
      <w:rPr>
        <w:sz w:val="18"/>
        <w:szCs w:val="18"/>
      </w:rPr>
      <w:fldChar w:fldCharType="end"/>
    </w:r>
    <w:r>
      <w:tab/>
      <w:t>Justice and Community Safety Directorate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DCE" w:rsidRDefault="007D0D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351" w:rsidRDefault="00033351" w:rsidP="00606241">
      <w:r>
        <w:separator/>
      </w:r>
    </w:p>
  </w:footnote>
  <w:footnote w:type="continuationSeparator" w:id="0">
    <w:p w:rsidR="00033351" w:rsidRDefault="00033351" w:rsidP="006062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DCE" w:rsidRDefault="007D0D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DCE" w:rsidRDefault="007D0D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DCE" w:rsidRDefault="007D0D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C8D6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E5A0DE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549C16"/>
    <w:lvl w:ilvl="0">
      <w:start w:val="1"/>
      <w:numFmt w:val="decimal"/>
      <w:pStyle w:val="ListNumber3"/>
      <w:lvlText w:val="%1."/>
      <w:lvlJc w:val="left"/>
      <w:pPr>
        <w:tabs>
          <w:tab w:val="num" w:pos="926"/>
        </w:tabs>
        <w:ind w:left="926" w:hanging="360"/>
      </w:pPr>
    </w:lvl>
  </w:abstractNum>
  <w:abstractNum w:abstractNumId="3">
    <w:nsid w:val="FFFFFF7F"/>
    <w:multiLevelType w:val="singleLevel"/>
    <w:tmpl w:val="865E3F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AC0CC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19641B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B4081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2E2E7B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5C60A82"/>
    <w:lvl w:ilvl="0">
      <w:start w:val="1"/>
      <w:numFmt w:val="decimal"/>
      <w:pStyle w:val="ListNumber"/>
      <w:lvlText w:val="%1."/>
      <w:lvlJc w:val="left"/>
      <w:pPr>
        <w:tabs>
          <w:tab w:val="num" w:pos="360"/>
        </w:tabs>
        <w:ind w:left="360" w:hanging="360"/>
      </w:pPr>
    </w:lvl>
  </w:abstractNum>
  <w:abstractNum w:abstractNumId="9">
    <w:nsid w:val="FFFFFF89"/>
    <w:multiLevelType w:val="singleLevel"/>
    <w:tmpl w:val="363E3E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C"/>
    <w:multiLevelType w:val="singleLevel"/>
    <w:tmpl w:val="0000000C"/>
    <w:lvl w:ilvl="0">
      <w:start w:val="1"/>
      <w:numFmt w:val="bullet"/>
      <w:pStyle w:val="Numbering"/>
      <w:lvlText w:val=""/>
      <w:lvlJc w:val="left"/>
      <w:pPr>
        <w:ind w:left="360" w:hanging="360"/>
      </w:pPr>
      <w:rPr>
        <w:rFonts w:ascii="Symbol" w:hAnsi="Symbol" w:hint="default"/>
        <w:b w:val="0"/>
        <w:i w:val="0"/>
        <w:strike w:val="0"/>
        <w:color w:val="auto"/>
        <w:sz w:val="24"/>
        <w:u w:val="none"/>
      </w:rPr>
    </w:lvl>
  </w:abstractNum>
  <w:abstractNum w:abstractNumId="11">
    <w:nsid w:val="00000010"/>
    <w:multiLevelType w:val="singleLevel"/>
    <w:tmpl w:val="93D4B16A"/>
    <w:lvl w:ilvl="0">
      <w:start w:val="1"/>
      <w:numFmt w:val="lowerLetter"/>
      <w:lvlText w:val="%1."/>
      <w:lvlJc w:val="left"/>
      <w:pPr>
        <w:ind w:left="317" w:hanging="283"/>
      </w:pPr>
      <w:rPr>
        <w:rFonts w:ascii="Calibri" w:hAnsi="Calibri" w:cs="Times New Roman" w:hint="default"/>
        <w:b w:val="0"/>
        <w:bCs w:val="0"/>
        <w:i w:val="0"/>
        <w:iCs w:val="0"/>
        <w:strike w:val="0"/>
        <w:color w:val="auto"/>
        <w:sz w:val="18"/>
        <w:szCs w:val="18"/>
        <w:u w:val="none"/>
      </w:rPr>
    </w:lvl>
  </w:abstractNum>
  <w:abstractNum w:abstractNumId="12">
    <w:nsid w:val="00000014"/>
    <w:multiLevelType w:val="singleLevel"/>
    <w:tmpl w:val="A76099E2"/>
    <w:lvl w:ilvl="0">
      <w:start w:val="1"/>
      <w:numFmt w:val="lowerLetter"/>
      <w:lvlText w:val="%1."/>
      <w:lvlJc w:val="left"/>
      <w:pPr>
        <w:ind w:left="357" w:hanging="357"/>
      </w:pPr>
      <w:rPr>
        <w:rFonts w:ascii="Calibri" w:hAnsi="Calibri" w:cs="Calibri" w:hint="default"/>
        <w:b w:val="0"/>
        <w:bCs w:val="0"/>
        <w:i w:val="0"/>
        <w:iCs w:val="0"/>
        <w:strike w:val="0"/>
        <w:color w:val="auto"/>
        <w:sz w:val="20"/>
        <w:szCs w:val="20"/>
        <w:u w:val="none"/>
      </w:rPr>
    </w:lvl>
  </w:abstractNum>
  <w:abstractNum w:abstractNumId="13">
    <w:nsid w:val="00000017"/>
    <w:multiLevelType w:val="singleLevel"/>
    <w:tmpl w:val="00000017"/>
    <w:lvl w:ilvl="0">
      <w:start w:val="1"/>
      <w:numFmt w:val="bullet"/>
      <w:lvlText w:val=""/>
      <w:lvlJc w:val="left"/>
      <w:pPr>
        <w:ind w:left="717" w:hanging="360"/>
      </w:pPr>
      <w:rPr>
        <w:rFonts w:ascii="Symbol" w:hAnsi="Symbol" w:hint="default"/>
        <w:b w:val="0"/>
        <w:i w:val="0"/>
        <w:strike w:val="0"/>
        <w:color w:val="auto"/>
        <w:sz w:val="20"/>
        <w:u w:val="none"/>
      </w:rPr>
    </w:lvl>
  </w:abstractNum>
  <w:abstractNum w:abstractNumId="14">
    <w:nsid w:val="00000023"/>
    <w:multiLevelType w:val="multilevel"/>
    <w:tmpl w:val="00000023"/>
    <w:lvl w:ilvl="0">
      <w:start w:val="1"/>
      <w:numFmt w:val="bullet"/>
      <w:lvlText w:val=""/>
      <w:lvlJc w:val="left"/>
      <w:pPr>
        <w:ind w:left="360" w:hanging="360"/>
      </w:pPr>
      <w:rPr>
        <w:rFonts w:ascii="Symbol" w:hAnsi="Symbol" w:hint="default"/>
        <w:b w:val="0"/>
        <w:i w:val="0"/>
        <w:strike w:val="0"/>
        <w:color w:val="auto"/>
        <w:sz w:val="20"/>
        <w:u w:val="none"/>
      </w:rPr>
    </w:lvl>
    <w:lvl w:ilvl="1">
      <w:start w:val="1"/>
      <w:numFmt w:val="bullet"/>
      <w:lvlText w:val=""/>
      <w:lvlJc w:val="left"/>
      <w:pPr>
        <w:ind w:left="710" w:hanging="360"/>
      </w:pPr>
      <w:rPr>
        <w:rFonts w:ascii="Symbol" w:hAnsi="Symbol" w:hint="default"/>
        <w:b w:val="0"/>
        <w:i w:val="0"/>
        <w:strike w:val="0"/>
        <w:color w:val="auto"/>
        <w:sz w:val="20"/>
        <w:u w:val="none"/>
      </w:rPr>
    </w:lvl>
    <w:lvl w:ilvl="2">
      <w:start w:val="1"/>
      <w:numFmt w:val="bullet"/>
      <w:lvlText w:val=""/>
      <w:lvlJc w:val="left"/>
      <w:pPr>
        <w:ind w:left="1080" w:hanging="360"/>
      </w:pPr>
      <w:rPr>
        <w:rFonts w:ascii="Symbol" w:hAnsi="Symbol" w:hint="default"/>
        <w:b w:val="0"/>
        <w:i w:val="0"/>
        <w:strike w:val="0"/>
        <w:color w:val="auto"/>
        <w:sz w:val="20"/>
        <w:u w:val="none"/>
      </w:rPr>
    </w:lvl>
    <w:lvl w:ilvl="3">
      <w:start w:val="1"/>
      <w:numFmt w:val="bullet"/>
      <w:lvlText w:val=""/>
      <w:lvlJc w:val="left"/>
      <w:pPr>
        <w:ind w:left="1440" w:hanging="360"/>
      </w:pPr>
      <w:rPr>
        <w:rFonts w:ascii="Symbol" w:hAnsi="Symbol" w:hint="default"/>
        <w:b w:val="0"/>
        <w:i w:val="0"/>
        <w:strike w:val="0"/>
        <w:color w:val="auto"/>
        <w:sz w:val="20"/>
        <w:u w:val="none"/>
      </w:rPr>
    </w:lvl>
    <w:lvl w:ilvl="4">
      <w:start w:val="1"/>
      <w:numFmt w:val="bullet"/>
      <w:lvlText w:val=""/>
      <w:lvlJc w:val="left"/>
      <w:pPr>
        <w:ind w:left="1800" w:hanging="360"/>
      </w:pPr>
      <w:rPr>
        <w:rFonts w:ascii="Symbol" w:hAnsi="Symbol" w:hint="default"/>
        <w:b w:val="0"/>
        <w:i w:val="0"/>
        <w:strike w:val="0"/>
        <w:color w:val="auto"/>
        <w:sz w:val="20"/>
        <w:u w:val="none"/>
      </w:rPr>
    </w:lvl>
    <w:lvl w:ilvl="5">
      <w:start w:val="1"/>
      <w:numFmt w:val="bullet"/>
      <w:lvlText w:val=""/>
      <w:lvlJc w:val="left"/>
      <w:pPr>
        <w:ind w:left="2160" w:hanging="360"/>
      </w:pPr>
      <w:rPr>
        <w:rFonts w:ascii="Symbol" w:hAnsi="Symbol" w:hint="default"/>
        <w:b w:val="0"/>
        <w:i w:val="0"/>
        <w:strike w:val="0"/>
        <w:color w:val="auto"/>
        <w:sz w:val="20"/>
        <w:u w:val="none"/>
      </w:rPr>
    </w:lvl>
    <w:lvl w:ilvl="6">
      <w:start w:val="1"/>
      <w:numFmt w:val="bullet"/>
      <w:lvlText w:val=""/>
      <w:lvlJc w:val="left"/>
      <w:pPr>
        <w:ind w:left="2520" w:hanging="360"/>
      </w:pPr>
      <w:rPr>
        <w:rFonts w:ascii="Symbol" w:hAnsi="Symbol" w:hint="default"/>
        <w:b w:val="0"/>
        <w:i w:val="0"/>
        <w:strike w:val="0"/>
        <w:color w:val="auto"/>
        <w:sz w:val="20"/>
        <w:u w:val="none"/>
      </w:rPr>
    </w:lvl>
    <w:lvl w:ilvl="7">
      <w:start w:val="1"/>
      <w:numFmt w:val="bullet"/>
      <w:lvlText w:val=""/>
      <w:lvlJc w:val="left"/>
      <w:pPr>
        <w:ind w:left="2880" w:hanging="360"/>
      </w:pPr>
      <w:rPr>
        <w:rFonts w:ascii="Symbol" w:hAnsi="Symbol" w:hint="default"/>
        <w:b w:val="0"/>
        <w:i w:val="0"/>
        <w:strike w:val="0"/>
        <w:color w:val="auto"/>
        <w:sz w:val="20"/>
        <w:u w:val="none"/>
      </w:rPr>
    </w:lvl>
    <w:lvl w:ilvl="8">
      <w:start w:val="1"/>
      <w:numFmt w:val="bullet"/>
      <w:lvlText w:val=""/>
      <w:lvlJc w:val="left"/>
      <w:pPr>
        <w:ind w:left="3240" w:hanging="360"/>
      </w:pPr>
      <w:rPr>
        <w:rFonts w:ascii="Symbol" w:hAnsi="Symbol" w:hint="default"/>
        <w:b w:val="0"/>
        <w:i w:val="0"/>
        <w:strike w:val="0"/>
        <w:color w:val="auto"/>
        <w:sz w:val="20"/>
        <w:u w:val="none"/>
      </w:rPr>
    </w:lvl>
  </w:abstractNum>
  <w:abstractNum w:abstractNumId="15">
    <w:nsid w:val="00000028"/>
    <w:multiLevelType w:val="multilevel"/>
    <w:tmpl w:val="00000028"/>
    <w:lvl w:ilvl="0">
      <w:start w:val="1"/>
      <w:numFmt w:val="bullet"/>
      <w:lvlText w:val=""/>
      <w:lvlJc w:val="left"/>
      <w:pPr>
        <w:ind w:left="360" w:hanging="360"/>
      </w:pPr>
      <w:rPr>
        <w:rFonts w:ascii="Symbol" w:hAnsi="Symbol" w:hint="default"/>
        <w:b w:val="0"/>
        <w:i w:val="0"/>
        <w:strike w:val="0"/>
        <w:color w:val="auto"/>
        <w:sz w:val="18"/>
        <w:u w:val="none"/>
      </w:rPr>
    </w:lvl>
    <w:lvl w:ilvl="1">
      <w:start w:val="1"/>
      <w:numFmt w:val="bullet"/>
      <w:lvlText w:val=""/>
      <w:lvlJc w:val="left"/>
      <w:pPr>
        <w:ind w:left="710" w:hanging="360"/>
      </w:pPr>
      <w:rPr>
        <w:rFonts w:ascii="Symbol" w:hAnsi="Symbol" w:hint="default"/>
        <w:b w:val="0"/>
        <w:i w:val="0"/>
        <w:strike w:val="0"/>
        <w:color w:val="auto"/>
        <w:sz w:val="18"/>
        <w:u w:val="none"/>
      </w:rPr>
    </w:lvl>
    <w:lvl w:ilvl="2">
      <w:start w:val="1"/>
      <w:numFmt w:val="bullet"/>
      <w:lvlText w:val=""/>
      <w:lvlJc w:val="left"/>
      <w:pPr>
        <w:ind w:left="1080" w:hanging="360"/>
      </w:pPr>
      <w:rPr>
        <w:rFonts w:ascii="Symbol" w:hAnsi="Symbol" w:hint="default"/>
        <w:b w:val="0"/>
        <w:i w:val="0"/>
        <w:strike w:val="0"/>
        <w:color w:val="auto"/>
        <w:sz w:val="18"/>
        <w:u w:val="none"/>
      </w:rPr>
    </w:lvl>
    <w:lvl w:ilvl="3">
      <w:start w:val="1"/>
      <w:numFmt w:val="bullet"/>
      <w:lvlText w:val=""/>
      <w:lvlJc w:val="left"/>
      <w:pPr>
        <w:ind w:left="1440" w:hanging="360"/>
      </w:pPr>
      <w:rPr>
        <w:rFonts w:ascii="Symbol" w:hAnsi="Symbol" w:hint="default"/>
        <w:b w:val="0"/>
        <w:i w:val="0"/>
        <w:strike w:val="0"/>
        <w:color w:val="auto"/>
        <w:sz w:val="18"/>
        <w:u w:val="none"/>
      </w:rPr>
    </w:lvl>
    <w:lvl w:ilvl="4">
      <w:start w:val="1"/>
      <w:numFmt w:val="bullet"/>
      <w:lvlText w:val=""/>
      <w:lvlJc w:val="left"/>
      <w:pPr>
        <w:ind w:left="1800" w:hanging="360"/>
      </w:pPr>
      <w:rPr>
        <w:rFonts w:ascii="Symbol" w:hAnsi="Symbol" w:hint="default"/>
        <w:b w:val="0"/>
        <w:i w:val="0"/>
        <w:strike w:val="0"/>
        <w:color w:val="auto"/>
        <w:sz w:val="18"/>
        <w:u w:val="none"/>
      </w:rPr>
    </w:lvl>
    <w:lvl w:ilvl="5">
      <w:start w:val="1"/>
      <w:numFmt w:val="bullet"/>
      <w:lvlText w:val=""/>
      <w:lvlJc w:val="left"/>
      <w:pPr>
        <w:ind w:left="2160" w:hanging="360"/>
      </w:pPr>
      <w:rPr>
        <w:rFonts w:ascii="Symbol" w:hAnsi="Symbol" w:hint="default"/>
        <w:b w:val="0"/>
        <w:i w:val="0"/>
        <w:strike w:val="0"/>
        <w:color w:val="auto"/>
        <w:sz w:val="18"/>
        <w:u w:val="none"/>
      </w:rPr>
    </w:lvl>
    <w:lvl w:ilvl="6">
      <w:start w:val="1"/>
      <w:numFmt w:val="bullet"/>
      <w:lvlText w:val=""/>
      <w:lvlJc w:val="left"/>
      <w:pPr>
        <w:ind w:left="2520" w:hanging="360"/>
      </w:pPr>
      <w:rPr>
        <w:rFonts w:ascii="Symbol" w:hAnsi="Symbol" w:hint="default"/>
        <w:b w:val="0"/>
        <w:i w:val="0"/>
        <w:strike w:val="0"/>
        <w:color w:val="auto"/>
        <w:sz w:val="18"/>
        <w:u w:val="none"/>
      </w:rPr>
    </w:lvl>
    <w:lvl w:ilvl="7">
      <w:start w:val="1"/>
      <w:numFmt w:val="bullet"/>
      <w:lvlText w:val=""/>
      <w:lvlJc w:val="left"/>
      <w:pPr>
        <w:ind w:left="2880" w:hanging="360"/>
      </w:pPr>
      <w:rPr>
        <w:rFonts w:ascii="Symbol" w:hAnsi="Symbol" w:hint="default"/>
        <w:b w:val="0"/>
        <w:i w:val="0"/>
        <w:strike w:val="0"/>
        <w:color w:val="auto"/>
        <w:sz w:val="18"/>
        <w:u w:val="none"/>
      </w:rPr>
    </w:lvl>
    <w:lvl w:ilvl="8">
      <w:start w:val="1"/>
      <w:numFmt w:val="bullet"/>
      <w:lvlText w:val=""/>
      <w:lvlJc w:val="left"/>
      <w:pPr>
        <w:ind w:left="3240" w:hanging="360"/>
      </w:pPr>
      <w:rPr>
        <w:rFonts w:ascii="Symbol" w:hAnsi="Symbol" w:hint="default"/>
        <w:b w:val="0"/>
        <w:i w:val="0"/>
        <w:strike w:val="0"/>
        <w:color w:val="auto"/>
        <w:sz w:val="18"/>
        <w:u w:val="none"/>
      </w:rPr>
    </w:lvl>
  </w:abstractNum>
  <w:abstractNum w:abstractNumId="16">
    <w:nsid w:val="0000002D"/>
    <w:multiLevelType w:val="multilevel"/>
    <w:tmpl w:val="0000002D"/>
    <w:lvl w:ilvl="0">
      <w:start w:val="1"/>
      <w:numFmt w:val="bullet"/>
      <w:lvlText w:val=""/>
      <w:lvlJc w:val="left"/>
      <w:pPr>
        <w:ind w:left="360" w:hanging="360"/>
      </w:pPr>
      <w:rPr>
        <w:rFonts w:ascii="Symbol" w:hAnsi="Symbol" w:hint="default"/>
        <w:b w:val="0"/>
        <w:i w:val="0"/>
        <w:strike w:val="0"/>
        <w:color w:val="auto"/>
        <w:sz w:val="18"/>
        <w:u w:val="none"/>
      </w:rPr>
    </w:lvl>
    <w:lvl w:ilvl="1">
      <w:start w:val="1"/>
      <w:numFmt w:val="bullet"/>
      <w:lvlText w:val=""/>
      <w:lvlJc w:val="left"/>
      <w:pPr>
        <w:ind w:left="710" w:hanging="360"/>
      </w:pPr>
      <w:rPr>
        <w:rFonts w:ascii="Symbol" w:hAnsi="Symbol" w:hint="default"/>
        <w:b w:val="0"/>
        <w:i w:val="0"/>
        <w:strike w:val="0"/>
        <w:color w:val="auto"/>
        <w:sz w:val="18"/>
        <w:u w:val="none"/>
      </w:rPr>
    </w:lvl>
    <w:lvl w:ilvl="2">
      <w:start w:val="1"/>
      <w:numFmt w:val="bullet"/>
      <w:lvlText w:val=""/>
      <w:lvlJc w:val="left"/>
      <w:pPr>
        <w:ind w:left="1080" w:hanging="360"/>
      </w:pPr>
      <w:rPr>
        <w:rFonts w:ascii="Symbol" w:hAnsi="Symbol" w:hint="default"/>
        <w:b w:val="0"/>
        <w:i w:val="0"/>
        <w:strike w:val="0"/>
        <w:color w:val="auto"/>
        <w:sz w:val="18"/>
        <w:u w:val="none"/>
      </w:rPr>
    </w:lvl>
    <w:lvl w:ilvl="3">
      <w:start w:val="1"/>
      <w:numFmt w:val="bullet"/>
      <w:lvlText w:val=""/>
      <w:lvlJc w:val="left"/>
      <w:pPr>
        <w:ind w:left="1440" w:hanging="360"/>
      </w:pPr>
      <w:rPr>
        <w:rFonts w:ascii="Symbol" w:hAnsi="Symbol" w:hint="default"/>
        <w:b w:val="0"/>
        <w:i w:val="0"/>
        <w:strike w:val="0"/>
        <w:color w:val="auto"/>
        <w:sz w:val="18"/>
        <w:u w:val="none"/>
      </w:rPr>
    </w:lvl>
    <w:lvl w:ilvl="4">
      <w:start w:val="1"/>
      <w:numFmt w:val="bullet"/>
      <w:lvlText w:val=""/>
      <w:lvlJc w:val="left"/>
      <w:pPr>
        <w:ind w:left="1800" w:hanging="360"/>
      </w:pPr>
      <w:rPr>
        <w:rFonts w:ascii="Symbol" w:hAnsi="Symbol" w:hint="default"/>
        <w:b w:val="0"/>
        <w:i w:val="0"/>
        <w:strike w:val="0"/>
        <w:color w:val="auto"/>
        <w:sz w:val="18"/>
        <w:u w:val="none"/>
      </w:rPr>
    </w:lvl>
    <w:lvl w:ilvl="5">
      <w:start w:val="1"/>
      <w:numFmt w:val="bullet"/>
      <w:lvlText w:val=""/>
      <w:lvlJc w:val="left"/>
      <w:pPr>
        <w:ind w:left="2160" w:hanging="360"/>
      </w:pPr>
      <w:rPr>
        <w:rFonts w:ascii="Symbol" w:hAnsi="Symbol" w:hint="default"/>
        <w:b w:val="0"/>
        <w:i w:val="0"/>
        <w:strike w:val="0"/>
        <w:color w:val="auto"/>
        <w:sz w:val="18"/>
        <w:u w:val="none"/>
      </w:rPr>
    </w:lvl>
    <w:lvl w:ilvl="6">
      <w:start w:val="1"/>
      <w:numFmt w:val="bullet"/>
      <w:lvlText w:val=""/>
      <w:lvlJc w:val="left"/>
      <w:pPr>
        <w:ind w:left="2520" w:hanging="360"/>
      </w:pPr>
      <w:rPr>
        <w:rFonts w:ascii="Symbol" w:hAnsi="Symbol" w:hint="default"/>
        <w:b w:val="0"/>
        <w:i w:val="0"/>
        <w:strike w:val="0"/>
        <w:color w:val="auto"/>
        <w:sz w:val="18"/>
        <w:u w:val="none"/>
      </w:rPr>
    </w:lvl>
    <w:lvl w:ilvl="7">
      <w:start w:val="1"/>
      <w:numFmt w:val="bullet"/>
      <w:lvlText w:val=""/>
      <w:lvlJc w:val="left"/>
      <w:pPr>
        <w:ind w:left="2880" w:hanging="360"/>
      </w:pPr>
      <w:rPr>
        <w:rFonts w:ascii="Symbol" w:hAnsi="Symbol" w:hint="default"/>
        <w:b w:val="0"/>
        <w:i w:val="0"/>
        <w:strike w:val="0"/>
        <w:color w:val="auto"/>
        <w:sz w:val="18"/>
        <w:u w:val="none"/>
      </w:rPr>
    </w:lvl>
    <w:lvl w:ilvl="8">
      <w:start w:val="1"/>
      <w:numFmt w:val="bullet"/>
      <w:lvlText w:val=""/>
      <w:lvlJc w:val="left"/>
      <w:pPr>
        <w:ind w:left="3240" w:hanging="360"/>
      </w:pPr>
      <w:rPr>
        <w:rFonts w:ascii="Symbol" w:hAnsi="Symbol" w:hint="default"/>
        <w:b w:val="0"/>
        <w:i w:val="0"/>
        <w:strike w:val="0"/>
        <w:color w:val="auto"/>
        <w:sz w:val="18"/>
        <w:u w:val="none"/>
      </w:rPr>
    </w:lvl>
  </w:abstractNum>
  <w:abstractNum w:abstractNumId="17">
    <w:nsid w:val="04BA11C5"/>
    <w:multiLevelType w:val="hybridMultilevel"/>
    <w:tmpl w:val="05F4BB08"/>
    <w:lvl w:ilvl="0" w:tplc="445C04A8">
      <w:start w:val="1"/>
      <w:numFmt w:val="bullet"/>
      <w:pStyle w:val="BodyTextIndent2"/>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8">
    <w:nsid w:val="06F222F1"/>
    <w:multiLevelType w:val="hybridMultilevel"/>
    <w:tmpl w:val="098A3682"/>
    <w:lvl w:ilvl="0" w:tplc="79DECB06">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cs="Times New Roman"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20">
    <w:nsid w:val="102A4005"/>
    <w:multiLevelType w:val="hybridMultilevel"/>
    <w:tmpl w:val="5D62CB38"/>
    <w:lvl w:ilvl="0" w:tplc="9A88F372">
      <w:start w:val="1"/>
      <w:numFmt w:val="decimal"/>
      <w:lvlText w:val="%1."/>
      <w:lvlJc w:val="left"/>
      <w:pPr>
        <w:tabs>
          <w:tab w:val="num" w:pos="357"/>
        </w:tabs>
        <w:ind w:left="357" w:hanging="357"/>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15BA32E9"/>
    <w:multiLevelType w:val="hybridMultilevel"/>
    <w:tmpl w:val="A42229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1F6E6695"/>
    <w:multiLevelType w:val="hybridMultilevel"/>
    <w:tmpl w:val="DA8A9662"/>
    <w:lvl w:ilvl="0" w:tplc="C5D627D6">
      <w:start w:val="1"/>
      <w:numFmt w:val="lowerLetter"/>
      <w:pStyle w:val="Tabletextindenta"/>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cs="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cs="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cs="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24">
    <w:nsid w:val="224E3BDC"/>
    <w:multiLevelType w:val="hybridMultilevel"/>
    <w:tmpl w:val="7FDEE53E"/>
    <w:lvl w:ilvl="0" w:tplc="653AE3A8">
      <w:start w:val="1"/>
      <w:numFmt w:val="bullet"/>
      <w:pStyle w:val="BodyTextInden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5">
    <w:nsid w:val="26DA285C"/>
    <w:multiLevelType w:val="hybridMultilevel"/>
    <w:tmpl w:val="25B608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2D3C248F"/>
    <w:multiLevelType w:val="hybridMultilevel"/>
    <w:tmpl w:val="F4727B5A"/>
    <w:lvl w:ilvl="0" w:tplc="8BB2B5A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2E7A3C95"/>
    <w:multiLevelType w:val="hybridMultilevel"/>
    <w:tmpl w:val="5D62CB38"/>
    <w:lvl w:ilvl="0" w:tplc="9A88F372">
      <w:start w:val="1"/>
      <w:numFmt w:val="decimal"/>
      <w:lvlText w:val="%1."/>
      <w:lvlJc w:val="left"/>
      <w:pPr>
        <w:tabs>
          <w:tab w:val="num" w:pos="357"/>
        </w:tabs>
        <w:ind w:left="357" w:hanging="357"/>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30154682"/>
    <w:multiLevelType w:val="hybridMultilevel"/>
    <w:tmpl w:val="861A3AD2"/>
    <w:lvl w:ilvl="0" w:tplc="0C09000F">
      <w:start w:val="1"/>
      <w:numFmt w:val="decimal"/>
      <w:lvlText w:val="%1."/>
      <w:lvlJc w:val="left"/>
      <w:pPr>
        <w:tabs>
          <w:tab w:val="num" w:pos="360"/>
        </w:tabs>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36290A01"/>
    <w:multiLevelType w:val="hybridMultilevel"/>
    <w:tmpl w:val="0CF6BEC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nsid w:val="363313C5"/>
    <w:multiLevelType w:val="hybridMultilevel"/>
    <w:tmpl w:val="5D62CB38"/>
    <w:lvl w:ilvl="0" w:tplc="9A88F372">
      <w:start w:val="1"/>
      <w:numFmt w:val="decimal"/>
      <w:lvlText w:val="%1."/>
      <w:lvlJc w:val="left"/>
      <w:pPr>
        <w:tabs>
          <w:tab w:val="num" w:pos="357"/>
        </w:tabs>
        <w:ind w:left="357" w:hanging="357"/>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395B2A26"/>
    <w:multiLevelType w:val="hybridMultilevel"/>
    <w:tmpl w:val="1E7CE3BA"/>
    <w:lvl w:ilvl="0" w:tplc="9A88F372">
      <w:start w:val="1"/>
      <w:numFmt w:val="decimal"/>
      <w:lvlText w:val="%1."/>
      <w:lvlJc w:val="left"/>
      <w:pPr>
        <w:tabs>
          <w:tab w:val="num" w:pos="357"/>
        </w:tabs>
        <w:ind w:left="357" w:hanging="357"/>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nsid w:val="3C597374"/>
    <w:multiLevelType w:val="hybridMultilevel"/>
    <w:tmpl w:val="CB32E392"/>
    <w:lvl w:ilvl="0" w:tplc="63D452CE">
      <w:start w:val="1"/>
      <w:numFmt w:val="lowerLetter"/>
      <w:lvlText w:val="%1."/>
      <w:lvlJc w:val="left"/>
      <w:pPr>
        <w:tabs>
          <w:tab w:val="num" w:pos="717"/>
        </w:tabs>
        <w:ind w:left="717" w:hanging="360"/>
      </w:pPr>
      <w:rPr>
        <w:rFonts w:cs="Times New Roman" w:hint="default"/>
      </w:rPr>
    </w:lvl>
    <w:lvl w:ilvl="1" w:tplc="0C090019" w:tentative="1">
      <w:start w:val="1"/>
      <w:numFmt w:val="lowerLetter"/>
      <w:lvlText w:val="%2."/>
      <w:lvlJc w:val="left"/>
      <w:pPr>
        <w:tabs>
          <w:tab w:val="num" w:pos="1437"/>
        </w:tabs>
        <w:ind w:left="1437" w:hanging="360"/>
      </w:pPr>
      <w:rPr>
        <w:rFonts w:cs="Times New Roman"/>
      </w:rPr>
    </w:lvl>
    <w:lvl w:ilvl="2" w:tplc="0C09001B" w:tentative="1">
      <w:start w:val="1"/>
      <w:numFmt w:val="lowerRoman"/>
      <w:lvlText w:val="%3."/>
      <w:lvlJc w:val="right"/>
      <w:pPr>
        <w:tabs>
          <w:tab w:val="num" w:pos="2157"/>
        </w:tabs>
        <w:ind w:left="2157" w:hanging="180"/>
      </w:pPr>
      <w:rPr>
        <w:rFonts w:cs="Times New Roman"/>
      </w:rPr>
    </w:lvl>
    <w:lvl w:ilvl="3" w:tplc="0C09000F" w:tentative="1">
      <w:start w:val="1"/>
      <w:numFmt w:val="decimal"/>
      <w:lvlText w:val="%4."/>
      <w:lvlJc w:val="left"/>
      <w:pPr>
        <w:tabs>
          <w:tab w:val="num" w:pos="2877"/>
        </w:tabs>
        <w:ind w:left="2877" w:hanging="360"/>
      </w:pPr>
      <w:rPr>
        <w:rFonts w:cs="Times New Roman"/>
      </w:rPr>
    </w:lvl>
    <w:lvl w:ilvl="4" w:tplc="0C090019" w:tentative="1">
      <w:start w:val="1"/>
      <w:numFmt w:val="lowerLetter"/>
      <w:lvlText w:val="%5."/>
      <w:lvlJc w:val="left"/>
      <w:pPr>
        <w:tabs>
          <w:tab w:val="num" w:pos="3597"/>
        </w:tabs>
        <w:ind w:left="3597" w:hanging="360"/>
      </w:pPr>
      <w:rPr>
        <w:rFonts w:cs="Times New Roman"/>
      </w:rPr>
    </w:lvl>
    <w:lvl w:ilvl="5" w:tplc="0C09001B" w:tentative="1">
      <w:start w:val="1"/>
      <w:numFmt w:val="lowerRoman"/>
      <w:lvlText w:val="%6."/>
      <w:lvlJc w:val="right"/>
      <w:pPr>
        <w:tabs>
          <w:tab w:val="num" w:pos="4317"/>
        </w:tabs>
        <w:ind w:left="4317" w:hanging="180"/>
      </w:pPr>
      <w:rPr>
        <w:rFonts w:cs="Times New Roman"/>
      </w:rPr>
    </w:lvl>
    <w:lvl w:ilvl="6" w:tplc="0C09000F" w:tentative="1">
      <w:start w:val="1"/>
      <w:numFmt w:val="decimal"/>
      <w:lvlText w:val="%7."/>
      <w:lvlJc w:val="left"/>
      <w:pPr>
        <w:tabs>
          <w:tab w:val="num" w:pos="5037"/>
        </w:tabs>
        <w:ind w:left="5037" w:hanging="360"/>
      </w:pPr>
      <w:rPr>
        <w:rFonts w:cs="Times New Roman"/>
      </w:rPr>
    </w:lvl>
    <w:lvl w:ilvl="7" w:tplc="0C090019" w:tentative="1">
      <w:start w:val="1"/>
      <w:numFmt w:val="lowerLetter"/>
      <w:lvlText w:val="%8."/>
      <w:lvlJc w:val="left"/>
      <w:pPr>
        <w:tabs>
          <w:tab w:val="num" w:pos="5757"/>
        </w:tabs>
        <w:ind w:left="5757" w:hanging="360"/>
      </w:pPr>
      <w:rPr>
        <w:rFonts w:cs="Times New Roman"/>
      </w:rPr>
    </w:lvl>
    <w:lvl w:ilvl="8" w:tplc="0C09001B" w:tentative="1">
      <w:start w:val="1"/>
      <w:numFmt w:val="lowerRoman"/>
      <w:lvlText w:val="%9."/>
      <w:lvlJc w:val="right"/>
      <w:pPr>
        <w:tabs>
          <w:tab w:val="num" w:pos="6477"/>
        </w:tabs>
        <w:ind w:left="6477" w:hanging="180"/>
      </w:pPr>
      <w:rPr>
        <w:rFonts w:cs="Times New Roman"/>
      </w:rPr>
    </w:lvl>
  </w:abstractNum>
  <w:abstractNum w:abstractNumId="33">
    <w:nsid w:val="419534FF"/>
    <w:multiLevelType w:val="hybridMultilevel"/>
    <w:tmpl w:val="2B2202B4"/>
    <w:lvl w:ilvl="0" w:tplc="8AC66910">
      <w:start w:val="2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48B2232B"/>
    <w:multiLevelType w:val="hybridMultilevel"/>
    <w:tmpl w:val="FF585850"/>
    <w:lvl w:ilvl="0" w:tplc="50A07030">
      <w:start w:val="1"/>
      <w:numFmt w:val="decimal"/>
      <w:lvlText w:val="%1."/>
      <w:lvlJc w:val="left"/>
      <w:pPr>
        <w:ind w:left="720" w:hanging="360"/>
      </w:pPr>
      <w:rPr>
        <w:rFonts w:asciiTheme="minorHAnsi" w:hAnsiTheme="minorHAnsi" w:hint="default"/>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51255168"/>
    <w:multiLevelType w:val="hybridMultilevel"/>
    <w:tmpl w:val="943A1E60"/>
    <w:lvl w:ilvl="0" w:tplc="7624E11C">
      <w:start w:val="1"/>
      <w:numFmt w:val="lowerLetter"/>
      <w:pStyle w:val="TableTextIndent"/>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5A06579C"/>
    <w:multiLevelType w:val="hybridMultilevel"/>
    <w:tmpl w:val="5D82DBE2"/>
    <w:lvl w:ilvl="0" w:tplc="06B0E086">
      <w:start w:val="1"/>
      <w:numFmt w:val="decimal"/>
      <w:lvlText w:val="%1."/>
      <w:lvlJc w:val="left"/>
      <w:pPr>
        <w:ind w:left="357" w:hanging="357"/>
      </w:pPr>
      <w:rPr>
        <w:rFonts w:asciiTheme="minorHAnsi" w:hAnsiTheme="minorHAnsi" w:cs="Times New Roman" w:hint="default"/>
        <w:b w:val="0"/>
        <w:bCs w:val="0"/>
        <w:i w:val="0"/>
        <w:iCs w:val="0"/>
        <w:strike w:val="0"/>
        <w:color w:val="auto"/>
        <w:sz w:val="16"/>
        <w:szCs w:val="16"/>
        <w:u w:val="none"/>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7">
    <w:nsid w:val="64560CB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D691DBB"/>
    <w:multiLevelType w:val="hybridMultilevel"/>
    <w:tmpl w:val="C1B85960"/>
    <w:lvl w:ilvl="0" w:tplc="9A88F372">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39">
    <w:nsid w:val="71E768A1"/>
    <w:multiLevelType w:val="multilevel"/>
    <w:tmpl w:val="0C09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0">
    <w:nsid w:val="735141C2"/>
    <w:multiLevelType w:val="hybridMultilevel"/>
    <w:tmpl w:val="DA9C0CF8"/>
    <w:lvl w:ilvl="0" w:tplc="9A88F372">
      <w:start w:val="1"/>
      <w:numFmt w:val="decimal"/>
      <w:pStyle w:val="AINotes"/>
      <w:lvlText w:val="%1."/>
      <w:lvlJc w:val="left"/>
      <w:pPr>
        <w:tabs>
          <w:tab w:val="num" w:pos="357"/>
        </w:tabs>
        <w:ind w:left="357" w:hanging="357"/>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nsid w:val="76F0154F"/>
    <w:multiLevelType w:val="hybridMultilevel"/>
    <w:tmpl w:val="0686B5DA"/>
    <w:lvl w:ilvl="0" w:tplc="0A7CB33C">
      <w:start w:val="1"/>
      <w:numFmt w:val="decimal"/>
      <w:lvlText w:val="%1."/>
      <w:lvlJc w:val="left"/>
      <w:pPr>
        <w:ind w:left="357" w:hanging="357"/>
      </w:pPr>
      <w:rPr>
        <w:rFonts w:asciiTheme="minorHAnsi" w:hAnsiTheme="minorHAnsi" w:cs="Times New Roman" w:hint="default"/>
        <w:b w:val="0"/>
        <w:bCs w:val="0"/>
        <w:i w:val="0"/>
        <w:iCs w:val="0"/>
        <w:strike w:val="0"/>
        <w:color w:val="auto"/>
        <w:sz w:val="16"/>
        <w:szCs w:val="16"/>
        <w:u w:val="none"/>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2">
    <w:nsid w:val="77973333"/>
    <w:multiLevelType w:val="multilevel"/>
    <w:tmpl w:val="0C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nsid w:val="7B3730A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9"/>
  </w:num>
  <w:num w:numId="2">
    <w:abstractNumId w:val="10"/>
  </w:num>
  <w:num w:numId="3">
    <w:abstractNumId w:val="11"/>
  </w:num>
  <w:num w:numId="4">
    <w:abstractNumId w:val="12"/>
  </w:num>
  <w:num w:numId="5">
    <w:abstractNumId w:val="13"/>
    <w:lvlOverride w:ilvl="0">
      <w:lvl w:ilvl="0">
        <w:start w:val="1"/>
        <w:numFmt w:val="bullet"/>
        <w:lvlText w:val=""/>
        <w:lvlJc w:val="left"/>
        <w:pPr>
          <w:ind w:left="717" w:hanging="360"/>
        </w:pPr>
        <w:rPr>
          <w:rFonts w:ascii="Symbol" w:hAnsi="Symbol" w:hint="default"/>
          <w:b w:val="0"/>
          <w:i w:val="0"/>
          <w:strike w:val="0"/>
          <w:color w:val="auto"/>
          <w:sz w:val="18"/>
          <w:u w:val="none"/>
        </w:rPr>
      </w:lvl>
    </w:lvlOverride>
  </w:num>
  <w:num w:numId="6">
    <w:abstractNumId w:val="15"/>
  </w:num>
  <w:num w:numId="7">
    <w:abstractNumId w:val="16"/>
  </w:num>
  <w:num w:numId="8">
    <w:abstractNumId w:val="38"/>
  </w:num>
  <w:num w:numId="9">
    <w:abstractNumId w:val="43"/>
  </w:num>
  <w:num w:numId="10">
    <w:abstractNumId w:val="37"/>
  </w:num>
  <w:num w:numId="11">
    <w:abstractNumId w:val="40"/>
  </w:num>
  <w:num w:numId="12">
    <w:abstractNumId w:val="42"/>
  </w:num>
  <w:num w:numId="13">
    <w:abstractNumId w:val="24"/>
  </w:num>
  <w:num w:numId="14">
    <w:abstractNumId w:val="17"/>
  </w:num>
  <w:num w:numId="15">
    <w:abstractNumId w:val="23"/>
  </w:num>
  <w:num w:numId="16">
    <w:abstractNumId w:val="3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5"/>
  </w:num>
  <w:num w:numId="28">
    <w:abstractNumId w:val="40"/>
    <w:lvlOverride w:ilvl="0">
      <w:startOverride w:val="1"/>
    </w:lvlOverride>
  </w:num>
  <w:num w:numId="29">
    <w:abstractNumId w:val="40"/>
    <w:lvlOverride w:ilvl="0">
      <w:startOverride w:val="1"/>
    </w:lvlOverride>
  </w:num>
  <w:num w:numId="30">
    <w:abstractNumId w:val="40"/>
    <w:lvlOverride w:ilvl="0">
      <w:startOverride w:val="1"/>
    </w:lvlOverride>
  </w:num>
  <w:num w:numId="31">
    <w:abstractNumId w:val="40"/>
    <w:lvlOverride w:ilvl="0">
      <w:startOverride w:val="1"/>
    </w:lvlOverride>
  </w:num>
  <w:num w:numId="32">
    <w:abstractNumId w:val="40"/>
    <w:lvlOverride w:ilvl="0">
      <w:startOverride w:val="1"/>
    </w:lvlOverride>
  </w:num>
  <w:num w:numId="33">
    <w:abstractNumId w:val="18"/>
  </w:num>
  <w:num w:numId="34">
    <w:abstractNumId w:val="21"/>
  </w:num>
  <w:num w:numId="35">
    <w:abstractNumId w:val="41"/>
  </w:num>
  <w:num w:numId="36">
    <w:abstractNumId w:val="40"/>
    <w:lvlOverride w:ilvl="0">
      <w:startOverride w:val="1"/>
    </w:lvlOverride>
  </w:num>
  <w:num w:numId="37">
    <w:abstractNumId w:val="14"/>
  </w:num>
  <w:num w:numId="38">
    <w:abstractNumId w:val="32"/>
  </w:num>
  <w:num w:numId="39">
    <w:abstractNumId w:val="36"/>
  </w:num>
  <w:num w:numId="40">
    <w:abstractNumId w:val="26"/>
  </w:num>
  <w:num w:numId="41">
    <w:abstractNumId w:val="22"/>
  </w:num>
  <w:num w:numId="42">
    <w:abstractNumId w:val="30"/>
  </w:num>
  <w:num w:numId="43">
    <w:abstractNumId w:val="27"/>
  </w:num>
  <w:num w:numId="44">
    <w:abstractNumId w:val="31"/>
  </w:num>
  <w:num w:numId="45">
    <w:abstractNumId w:val="20"/>
  </w:num>
  <w:num w:numId="46">
    <w:abstractNumId w:val="28"/>
  </w:num>
  <w:num w:numId="47">
    <w:abstractNumId w:val="40"/>
    <w:lvlOverride w:ilvl="0">
      <w:startOverride w:val="1"/>
    </w:lvlOverride>
  </w:num>
  <w:num w:numId="48">
    <w:abstractNumId w:val="40"/>
    <w:lvlOverride w:ilvl="0">
      <w:startOverride w:val="1"/>
    </w:lvlOverride>
  </w:num>
  <w:num w:numId="49">
    <w:abstractNumId w:val="40"/>
    <w:lvlOverride w:ilvl="0">
      <w:startOverride w:val="1"/>
    </w:lvlOverride>
  </w:num>
  <w:num w:numId="50">
    <w:abstractNumId w:val="40"/>
    <w:lvlOverride w:ilvl="0">
      <w:startOverride w:val="1"/>
    </w:lvlOverride>
  </w:num>
  <w:num w:numId="51">
    <w:abstractNumId w:val="40"/>
    <w:lvlOverride w:ilvl="0">
      <w:startOverride w:val="1"/>
    </w:lvlOverride>
  </w:num>
  <w:num w:numId="52">
    <w:abstractNumId w:val="29"/>
  </w:num>
  <w:num w:numId="53">
    <w:abstractNumId w:val="25"/>
  </w:num>
  <w:num w:numId="54">
    <w:abstractNumId w:val="34"/>
  </w:num>
  <w:num w:numId="55">
    <w:abstractNumId w:val="40"/>
    <w:lvlOverride w:ilvl="0">
      <w:startOverride w:val="1"/>
    </w:lvlOverride>
  </w:num>
  <w:num w:numId="56">
    <w:abstractNumId w:val="40"/>
    <w:lvlOverride w:ilvl="0">
      <w:startOverride w:val="1"/>
    </w:lvlOverride>
  </w:num>
  <w:num w:numId="57">
    <w:abstractNumId w:val="22"/>
    <w:lvlOverride w:ilvl="0">
      <w:startOverride w:val="1"/>
    </w:lvlOverride>
  </w:num>
  <w:num w:numId="58">
    <w:abstractNumId w:val="22"/>
    <w:lvlOverride w:ilvl="0">
      <w:startOverride w:val="1"/>
    </w:lvlOverride>
  </w:num>
  <w:num w:numId="59">
    <w:abstractNumId w:val="22"/>
    <w:lvlOverride w:ilvl="0">
      <w:startOverride w:val="1"/>
    </w:lvlOverride>
  </w:num>
  <w:num w:numId="60">
    <w:abstractNumId w:val="22"/>
    <w:lvlOverride w:ilvl="0">
      <w:startOverride w:val="1"/>
    </w:lvlOverride>
  </w:num>
  <w:num w:numId="61">
    <w:abstractNumId w:val="22"/>
    <w:lvlOverride w:ilvl="0">
      <w:startOverride w:val="1"/>
    </w:lvlOverride>
  </w:num>
  <w:num w:numId="62">
    <w:abstractNumId w:val="22"/>
    <w:lvlOverride w:ilvl="0">
      <w:startOverride w:val="1"/>
    </w:lvlOverride>
  </w:num>
  <w:num w:numId="63">
    <w:abstractNumId w:val="22"/>
    <w:lvlOverride w:ilvl="0">
      <w:startOverride w:val="1"/>
    </w:lvlOverride>
  </w:num>
  <w:num w:numId="64">
    <w:abstractNumId w:val="22"/>
    <w:lvlOverride w:ilvl="0">
      <w:startOverride w:val="1"/>
    </w:lvlOverride>
  </w:num>
  <w:num w:numId="65">
    <w:abstractNumId w:val="22"/>
    <w:lvlOverride w:ilvl="0">
      <w:startOverride w:val="1"/>
    </w:lvlOverride>
  </w:num>
  <w:num w:numId="66">
    <w:abstractNumId w:val="33"/>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rsids>
    <w:rsidRoot w:val="00C67E97"/>
    <w:rsid w:val="00002102"/>
    <w:rsid w:val="0000214D"/>
    <w:rsid w:val="000046C2"/>
    <w:rsid w:val="00006BB7"/>
    <w:rsid w:val="00006BD8"/>
    <w:rsid w:val="000072E3"/>
    <w:rsid w:val="00013549"/>
    <w:rsid w:val="00016B30"/>
    <w:rsid w:val="0002720A"/>
    <w:rsid w:val="000315E2"/>
    <w:rsid w:val="00033351"/>
    <w:rsid w:val="00035C48"/>
    <w:rsid w:val="00037EA0"/>
    <w:rsid w:val="0004247B"/>
    <w:rsid w:val="000477F8"/>
    <w:rsid w:val="000524C0"/>
    <w:rsid w:val="00061580"/>
    <w:rsid w:val="00070A4B"/>
    <w:rsid w:val="000757FD"/>
    <w:rsid w:val="00080674"/>
    <w:rsid w:val="0008156E"/>
    <w:rsid w:val="00084726"/>
    <w:rsid w:val="00092600"/>
    <w:rsid w:val="000955EE"/>
    <w:rsid w:val="000A1325"/>
    <w:rsid w:val="000A18A9"/>
    <w:rsid w:val="000A2062"/>
    <w:rsid w:val="000A5AF5"/>
    <w:rsid w:val="000B0CD0"/>
    <w:rsid w:val="000B2BA4"/>
    <w:rsid w:val="000B69A6"/>
    <w:rsid w:val="000C019B"/>
    <w:rsid w:val="000C20AD"/>
    <w:rsid w:val="000C294E"/>
    <w:rsid w:val="000D3FF8"/>
    <w:rsid w:val="000D4212"/>
    <w:rsid w:val="000E04BF"/>
    <w:rsid w:val="000E13BF"/>
    <w:rsid w:val="000E3959"/>
    <w:rsid w:val="000F6DF3"/>
    <w:rsid w:val="00102C60"/>
    <w:rsid w:val="00105470"/>
    <w:rsid w:val="00106581"/>
    <w:rsid w:val="0010707C"/>
    <w:rsid w:val="00115B2C"/>
    <w:rsid w:val="00117098"/>
    <w:rsid w:val="00121E99"/>
    <w:rsid w:val="00124693"/>
    <w:rsid w:val="00124BB1"/>
    <w:rsid w:val="001274D3"/>
    <w:rsid w:val="00134E37"/>
    <w:rsid w:val="00141495"/>
    <w:rsid w:val="00144D23"/>
    <w:rsid w:val="00153511"/>
    <w:rsid w:val="00156F3B"/>
    <w:rsid w:val="0015723F"/>
    <w:rsid w:val="0016345C"/>
    <w:rsid w:val="001737FA"/>
    <w:rsid w:val="00180889"/>
    <w:rsid w:val="00190735"/>
    <w:rsid w:val="00195323"/>
    <w:rsid w:val="00195872"/>
    <w:rsid w:val="00196367"/>
    <w:rsid w:val="001968E0"/>
    <w:rsid w:val="001A3992"/>
    <w:rsid w:val="001A4D78"/>
    <w:rsid w:val="001A5A9B"/>
    <w:rsid w:val="001A775D"/>
    <w:rsid w:val="001B389B"/>
    <w:rsid w:val="001B4E25"/>
    <w:rsid w:val="001C27DB"/>
    <w:rsid w:val="001C579C"/>
    <w:rsid w:val="001D0433"/>
    <w:rsid w:val="001D27CC"/>
    <w:rsid w:val="001D5AA6"/>
    <w:rsid w:val="001E0AAE"/>
    <w:rsid w:val="001E7C4B"/>
    <w:rsid w:val="001F07B8"/>
    <w:rsid w:val="001F5300"/>
    <w:rsid w:val="001F532C"/>
    <w:rsid w:val="0020014B"/>
    <w:rsid w:val="00201E24"/>
    <w:rsid w:val="002025CC"/>
    <w:rsid w:val="00213C52"/>
    <w:rsid w:val="00216D50"/>
    <w:rsid w:val="0021795B"/>
    <w:rsid w:val="00220A96"/>
    <w:rsid w:val="00231780"/>
    <w:rsid w:val="002422C5"/>
    <w:rsid w:val="002430B9"/>
    <w:rsid w:val="0024356D"/>
    <w:rsid w:val="00244BE1"/>
    <w:rsid w:val="00246C18"/>
    <w:rsid w:val="00246FA1"/>
    <w:rsid w:val="002523AC"/>
    <w:rsid w:val="00255D4A"/>
    <w:rsid w:val="002565E1"/>
    <w:rsid w:val="00263745"/>
    <w:rsid w:val="002642B8"/>
    <w:rsid w:val="00277311"/>
    <w:rsid w:val="00280C37"/>
    <w:rsid w:val="00281632"/>
    <w:rsid w:val="00281EFB"/>
    <w:rsid w:val="00293816"/>
    <w:rsid w:val="00295324"/>
    <w:rsid w:val="00297DA4"/>
    <w:rsid w:val="002A3AD3"/>
    <w:rsid w:val="002A40E5"/>
    <w:rsid w:val="002B61F3"/>
    <w:rsid w:val="002B6E91"/>
    <w:rsid w:val="002C0CD8"/>
    <w:rsid w:val="002C496F"/>
    <w:rsid w:val="002C6DE3"/>
    <w:rsid w:val="002D2F0F"/>
    <w:rsid w:val="002D3051"/>
    <w:rsid w:val="002D38BB"/>
    <w:rsid w:val="002E4520"/>
    <w:rsid w:val="002F2570"/>
    <w:rsid w:val="002F4EAA"/>
    <w:rsid w:val="00307864"/>
    <w:rsid w:val="00323171"/>
    <w:rsid w:val="003267E2"/>
    <w:rsid w:val="003328DB"/>
    <w:rsid w:val="003501BA"/>
    <w:rsid w:val="0035282E"/>
    <w:rsid w:val="003564FB"/>
    <w:rsid w:val="00361D68"/>
    <w:rsid w:val="00363854"/>
    <w:rsid w:val="0036631B"/>
    <w:rsid w:val="00373A84"/>
    <w:rsid w:val="003939A6"/>
    <w:rsid w:val="003947BD"/>
    <w:rsid w:val="0039504A"/>
    <w:rsid w:val="003A09DD"/>
    <w:rsid w:val="003A1641"/>
    <w:rsid w:val="003A58A6"/>
    <w:rsid w:val="003B16D7"/>
    <w:rsid w:val="003B313A"/>
    <w:rsid w:val="003B4AD4"/>
    <w:rsid w:val="003C0369"/>
    <w:rsid w:val="003C1D5E"/>
    <w:rsid w:val="003C55E3"/>
    <w:rsid w:val="003C61EC"/>
    <w:rsid w:val="003D031A"/>
    <w:rsid w:val="003E3CE1"/>
    <w:rsid w:val="003E7FEA"/>
    <w:rsid w:val="003F090E"/>
    <w:rsid w:val="00402708"/>
    <w:rsid w:val="00406B14"/>
    <w:rsid w:val="00413457"/>
    <w:rsid w:val="004137BF"/>
    <w:rsid w:val="00435303"/>
    <w:rsid w:val="00435A7B"/>
    <w:rsid w:val="004444F0"/>
    <w:rsid w:val="00444EE7"/>
    <w:rsid w:val="00451684"/>
    <w:rsid w:val="00455E34"/>
    <w:rsid w:val="0045634F"/>
    <w:rsid w:val="00457709"/>
    <w:rsid w:val="004609E3"/>
    <w:rsid w:val="00467CA8"/>
    <w:rsid w:val="00471051"/>
    <w:rsid w:val="00471AB6"/>
    <w:rsid w:val="00472CEB"/>
    <w:rsid w:val="00473898"/>
    <w:rsid w:val="00476636"/>
    <w:rsid w:val="004775ED"/>
    <w:rsid w:val="00482405"/>
    <w:rsid w:val="00484D1F"/>
    <w:rsid w:val="004905EC"/>
    <w:rsid w:val="00491B0A"/>
    <w:rsid w:val="004A60D9"/>
    <w:rsid w:val="004B6C09"/>
    <w:rsid w:val="004C03B8"/>
    <w:rsid w:val="004D310B"/>
    <w:rsid w:val="004D346F"/>
    <w:rsid w:val="004D4011"/>
    <w:rsid w:val="004D5FA8"/>
    <w:rsid w:val="004D6CE0"/>
    <w:rsid w:val="004E0228"/>
    <w:rsid w:val="004E6018"/>
    <w:rsid w:val="004F10FE"/>
    <w:rsid w:val="004F7608"/>
    <w:rsid w:val="00501A81"/>
    <w:rsid w:val="00523D95"/>
    <w:rsid w:val="0052529E"/>
    <w:rsid w:val="005356AA"/>
    <w:rsid w:val="00536608"/>
    <w:rsid w:val="005420D4"/>
    <w:rsid w:val="00547C3C"/>
    <w:rsid w:val="0055762C"/>
    <w:rsid w:val="005607B8"/>
    <w:rsid w:val="00562E60"/>
    <w:rsid w:val="00567A57"/>
    <w:rsid w:val="005749AA"/>
    <w:rsid w:val="0058029E"/>
    <w:rsid w:val="00580E6E"/>
    <w:rsid w:val="00581CAC"/>
    <w:rsid w:val="00582F89"/>
    <w:rsid w:val="00587DFD"/>
    <w:rsid w:val="005938C2"/>
    <w:rsid w:val="00595160"/>
    <w:rsid w:val="00596972"/>
    <w:rsid w:val="005969AD"/>
    <w:rsid w:val="005979F0"/>
    <w:rsid w:val="00597EA5"/>
    <w:rsid w:val="005A0D9D"/>
    <w:rsid w:val="005B1515"/>
    <w:rsid w:val="005B1916"/>
    <w:rsid w:val="005B2326"/>
    <w:rsid w:val="005B3D45"/>
    <w:rsid w:val="005B71F8"/>
    <w:rsid w:val="005C2E9D"/>
    <w:rsid w:val="005D1FC2"/>
    <w:rsid w:val="005D265B"/>
    <w:rsid w:val="005D6D6D"/>
    <w:rsid w:val="005E1840"/>
    <w:rsid w:val="005E19BD"/>
    <w:rsid w:val="005F50DE"/>
    <w:rsid w:val="00604D0D"/>
    <w:rsid w:val="00606241"/>
    <w:rsid w:val="006268EF"/>
    <w:rsid w:val="00627D53"/>
    <w:rsid w:val="00636F42"/>
    <w:rsid w:val="00646668"/>
    <w:rsid w:val="006523CD"/>
    <w:rsid w:val="00653F1A"/>
    <w:rsid w:val="00656B09"/>
    <w:rsid w:val="00660870"/>
    <w:rsid w:val="00660A08"/>
    <w:rsid w:val="00661206"/>
    <w:rsid w:val="006649EF"/>
    <w:rsid w:val="00665C42"/>
    <w:rsid w:val="00665C75"/>
    <w:rsid w:val="00677F5D"/>
    <w:rsid w:val="00680DAA"/>
    <w:rsid w:val="00684246"/>
    <w:rsid w:val="006860BD"/>
    <w:rsid w:val="00687393"/>
    <w:rsid w:val="00695CD5"/>
    <w:rsid w:val="006A0AE7"/>
    <w:rsid w:val="006B2C0C"/>
    <w:rsid w:val="006B606F"/>
    <w:rsid w:val="006B6992"/>
    <w:rsid w:val="006B71EE"/>
    <w:rsid w:val="006C4DA6"/>
    <w:rsid w:val="006C7DCC"/>
    <w:rsid w:val="006D4EEE"/>
    <w:rsid w:val="006D7DDA"/>
    <w:rsid w:val="006E171E"/>
    <w:rsid w:val="006E1BA2"/>
    <w:rsid w:val="006E3002"/>
    <w:rsid w:val="006E4D43"/>
    <w:rsid w:val="006F3F04"/>
    <w:rsid w:val="00700314"/>
    <w:rsid w:val="00701BAD"/>
    <w:rsid w:val="0070729C"/>
    <w:rsid w:val="007079E7"/>
    <w:rsid w:val="007116C0"/>
    <w:rsid w:val="00712ED2"/>
    <w:rsid w:val="007155DD"/>
    <w:rsid w:val="00717F53"/>
    <w:rsid w:val="007235C9"/>
    <w:rsid w:val="00725B03"/>
    <w:rsid w:val="00726269"/>
    <w:rsid w:val="0073234B"/>
    <w:rsid w:val="0073518C"/>
    <w:rsid w:val="00736C54"/>
    <w:rsid w:val="00741BAB"/>
    <w:rsid w:val="00744B7B"/>
    <w:rsid w:val="007467CD"/>
    <w:rsid w:val="00746B11"/>
    <w:rsid w:val="00750002"/>
    <w:rsid w:val="00755D32"/>
    <w:rsid w:val="00757DE7"/>
    <w:rsid w:val="0076104C"/>
    <w:rsid w:val="007715EA"/>
    <w:rsid w:val="00771A11"/>
    <w:rsid w:val="00772605"/>
    <w:rsid w:val="00781766"/>
    <w:rsid w:val="00783AC6"/>
    <w:rsid w:val="00783B9D"/>
    <w:rsid w:val="00783EE9"/>
    <w:rsid w:val="007856E8"/>
    <w:rsid w:val="00790264"/>
    <w:rsid w:val="0079111F"/>
    <w:rsid w:val="00795467"/>
    <w:rsid w:val="007958BB"/>
    <w:rsid w:val="007A64D1"/>
    <w:rsid w:val="007B0ED7"/>
    <w:rsid w:val="007B32B0"/>
    <w:rsid w:val="007C0B0F"/>
    <w:rsid w:val="007C4866"/>
    <w:rsid w:val="007D0DCE"/>
    <w:rsid w:val="007D685E"/>
    <w:rsid w:val="007E1E6D"/>
    <w:rsid w:val="007E4B4F"/>
    <w:rsid w:val="007E502C"/>
    <w:rsid w:val="007E5D20"/>
    <w:rsid w:val="007F10A9"/>
    <w:rsid w:val="007F3531"/>
    <w:rsid w:val="007F4D65"/>
    <w:rsid w:val="008007D7"/>
    <w:rsid w:val="008033C5"/>
    <w:rsid w:val="00806165"/>
    <w:rsid w:val="00806933"/>
    <w:rsid w:val="008114A6"/>
    <w:rsid w:val="00812F32"/>
    <w:rsid w:val="00814427"/>
    <w:rsid w:val="00822089"/>
    <w:rsid w:val="00823717"/>
    <w:rsid w:val="00823E39"/>
    <w:rsid w:val="00837A73"/>
    <w:rsid w:val="0084729C"/>
    <w:rsid w:val="00847B7B"/>
    <w:rsid w:val="00850C8B"/>
    <w:rsid w:val="00852896"/>
    <w:rsid w:val="00856165"/>
    <w:rsid w:val="008601F3"/>
    <w:rsid w:val="00860241"/>
    <w:rsid w:val="00861F78"/>
    <w:rsid w:val="008657D1"/>
    <w:rsid w:val="00870C93"/>
    <w:rsid w:val="00876573"/>
    <w:rsid w:val="00881491"/>
    <w:rsid w:val="008864CA"/>
    <w:rsid w:val="00890614"/>
    <w:rsid w:val="0089430F"/>
    <w:rsid w:val="00894608"/>
    <w:rsid w:val="0089492F"/>
    <w:rsid w:val="00895079"/>
    <w:rsid w:val="008A2829"/>
    <w:rsid w:val="008A70CA"/>
    <w:rsid w:val="008A7255"/>
    <w:rsid w:val="008A7E03"/>
    <w:rsid w:val="008B264D"/>
    <w:rsid w:val="008B6F53"/>
    <w:rsid w:val="008B7375"/>
    <w:rsid w:val="008C0A4F"/>
    <w:rsid w:val="008C36BA"/>
    <w:rsid w:val="008D20BC"/>
    <w:rsid w:val="008D714F"/>
    <w:rsid w:val="008E3A51"/>
    <w:rsid w:val="008E7587"/>
    <w:rsid w:val="008F0D08"/>
    <w:rsid w:val="008F37D1"/>
    <w:rsid w:val="00902D3A"/>
    <w:rsid w:val="00902D64"/>
    <w:rsid w:val="00905096"/>
    <w:rsid w:val="009121BE"/>
    <w:rsid w:val="00912A38"/>
    <w:rsid w:val="009165B3"/>
    <w:rsid w:val="0092267D"/>
    <w:rsid w:val="00924166"/>
    <w:rsid w:val="00925627"/>
    <w:rsid w:val="009277B9"/>
    <w:rsid w:val="00932F1D"/>
    <w:rsid w:val="00941B10"/>
    <w:rsid w:val="0095559E"/>
    <w:rsid w:val="00961E0D"/>
    <w:rsid w:val="00975187"/>
    <w:rsid w:val="00976446"/>
    <w:rsid w:val="0098010E"/>
    <w:rsid w:val="009843AD"/>
    <w:rsid w:val="00984A17"/>
    <w:rsid w:val="00985BA1"/>
    <w:rsid w:val="0099247F"/>
    <w:rsid w:val="00995303"/>
    <w:rsid w:val="009A60EE"/>
    <w:rsid w:val="009A6500"/>
    <w:rsid w:val="009A7D3E"/>
    <w:rsid w:val="009B20C5"/>
    <w:rsid w:val="009B35B3"/>
    <w:rsid w:val="009B5B4C"/>
    <w:rsid w:val="009B6291"/>
    <w:rsid w:val="009C0117"/>
    <w:rsid w:val="009C1BE6"/>
    <w:rsid w:val="009D46C0"/>
    <w:rsid w:val="009D5717"/>
    <w:rsid w:val="009D59D6"/>
    <w:rsid w:val="009D5C2A"/>
    <w:rsid w:val="009E1E1B"/>
    <w:rsid w:val="009E60B8"/>
    <w:rsid w:val="009F1539"/>
    <w:rsid w:val="009F552B"/>
    <w:rsid w:val="009F662E"/>
    <w:rsid w:val="00A0516E"/>
    <w:rsid w:val="00A064FB"/>
    <w:rsid w:val="00A12EB6"/>
    <w:rsid w:val="00A13367"/>
    <w:rsid w:val="00A1462F"/>
    <w:rsid w:val="00A2331E"/>
    <w:rsid w:val="00A26EA4"/>
    <w:rsid w:val="00A35751"/>
    <w:rsid w:val="00A35AE8"/>
    <w:rsid w:val="00A40B66"/>
    <w:rsid w:val="00A51972"/>
    <w:rsid w:val="00A5520E"/>
    <w:rsid w:val="00A60F00"/>
    <w:rsid w:val="00A61B46"/>
    <w:rsid w:val="00A62253"/>
    <w:rsid w:val="00A646F9"/>
    <w:rsid w:val="00A650D7"/>
    <w:rsid w:val="00A65CB1"/>
    <w:rsid w:val="00A66E65"/>
    <w:rsid w:val="00A719EA"/>
    <w:rsid w:val="00A83A35"/>
    <w:rsid w:val="00A867DE"/>
    <w:rsid w:val="00A91172"/>
    <w:rsid w:val="00A9634C"/>
    <w:rsid w:val="00A9659D"/>
    <w:rsid w:val="00A97F57"/>
    <w:rsid w:val="00AA00D9"/>
    <w:rsid w:val="00AA6895"/>
    <w:rsid w:val="00AA787A"/>
    <w:rsid w:val="00AB21D3"/>
    <w:rsid w:val="00AB4BB0"/>
    <w:rsid w:val="00AC000C"/>
    <w:rsid w:val="00AD3E15"/>
    <w:rsid w:val="00AE07FA"/>
    <w:rsid w:val="00AE1C0E"/>
    <w:rsid w:val="00AE57BE"/>
    <w:rsid w:val="00AF15CB"/>
    <w:rsid w:val="00AF2DA3"/>
    <w:rsid w:val="00AF6AE6"/>
    <w:rsid w:val="00B05BB9"/>
    <w:rsid w:val="00B10A55"/>
    <w:rsid w:val="00B146F2"/>
    <w:rsid w:val="00B14849"/>
    <w:rsid w:val="00B1546E"/>
    <w:rsid w:val="00B3010A"/>
    <w:rsid w:val="00B31219"/>
    <w:rsid w:val="00B33167"/>
    <w:rsid w:val="00B36E95"/>
    <w:rsid w:val="00B45EB1"/>
    <w:rsid w:val="00B476CD"/>
    <w:rsid w:val="00B53888"/>
    <w:rsid w:val="00B5639A"/>
    <w:rsid w:val="00B61459"/>
    <w:rsid w:val="00B67441"/>
    <w:rsid w:val="00B67D26"/>
    <w:rsid w:val="00B75906"/>
    <w:rsid w:val="00B761AA"/>
    <w:rsid w:val="00B779CA"/>
    <w:rsid w:val="00B80C9B"/>
    <w:rsid w:val="00B966BB"/>
    <w:rsid w:val="00B97691"/>
    <w:rsid w:val="00BA0C76"/>
    <w:rsid w:val="00BA5F01"/>
    <w:rsid w:val="00BA7B95"/>
    <w:rsid w:val="00BC10D8"/>
    <w:rsid w:val="00BD0311"/>
    <w:rsid w:val="00BD064A"/>
    <w:rsid w:val="00BD19D5"/>
    <w:rsid w:val="00BD272A"/>
    <w:rsid w:val="00BD2FB7"/>
    <w:rsid w:val="00BD47D6"/>
    <w:rsid w:val="00BE0C8C"/>
    <w:rsid w:val="00BE199D"/>
    <w:rsid w:val="00BE2748"/>
    <w:rsid w:val="00BF2AF6"/>
    <w:rsid w:val="00BF7E09"/>
    <w:rsid w:val="00C03940"/>
    <w:rsid w:val="00C14E50"/>
    <w:rsid w:val="00C20914"/>
    <w:rsid w:val="00C20F44"/>
    <w:rsid w:val="00C258E6"/>
    <w:rsid w:val="00C30C07"/>
    <w:rsid w:val="00C31C0B"/>
    <w:rsid w:val="00C367E9"/>
    <w:rsid w:val="00C40601"/>
    <w:rsid w:val="00C418F1"/>
    <w:rsid w:val="00C43C23"/>
    <w:rsid w:val="00C4452D"/>
    <w:rsid w:val="00C44F85"/>
    <w:rsid w:val="00C51370"/>
    <w:rsid w:val="00C6223E"/>
    <w:rsid w:val="00C67E97"/>
    <w:rsid w:val="00C87A57"/>
    <w:rsid w:val="00C91D2C"/>
    <w:rsid w:val="00C93B9A"/>
    <w:rsid w:val="00CA186C"/>
    <w:rsid w:val="00CA5F3D"/>
    <w:rsid w:val="00CB13D8"/>
    <w:rsid w:val="00CB21A9"/>
    <w:rsid w:val="00CB4443"/>
    <w:rsid w:val="00CB66B0"/>
    <w:rsid w:val="00CC0454"/>
    <w:rsid w:val="00CC2302"/>
    <w:rsid w:val="00CC4F04"/>
    <w:rsid w:val="00CC7471"/>
    <w:rsid w:val="00CD0D78"/>
    <w:rsid w:val="00CD1816"/>
    <w:rsid w:val="00CD36C8"/>
    <w:rsid w:val="00CD4283"/>
    <w:rsid w:val="00CD4DC1"/>
    <w:rsid w:val="00CE7C61"/>
    <w:rsid w:val="00CF2D1E"/>
    <w:rsid w:val="00D0467C"/>
    <w:rsid w:val="00D04710"/>
    <w:rsid w:val="00D11B39"/>
    <w:rsid w:val="00D120DC"/>
    <w:rsid w:val="00D1303D"/>
    <w:rsid w:val="00D13DCD"/>
    <w:rsid w:val="00D1510C"/>
    <w:rsid w:val="00D16EC2"/>
    <w:rsid w:val="00D20CCF"/>
    <w:rsid w:val="00D21FF5"/>
    <w:rsid w:val="00D22710"/>
    <w:rsid w:val="00D255B7"/>
    <w:rsid w:val="00D278F3"/>
    <w:rsid w:val="00D334EF"/>
    <w:rsid w:val="00D466A5"/>
    <w:rsid w:val="00D508EA"/>
    <w:rsid w:val="00D60BF6"/>
    <w:rsid w:val="00D65699"/>
    <w:rsid w:val="00D66D5D"/>
    <w:rsid w:val="00D71648"/>
    <w:rsid w:val="00D75E65"/>
    <w:rsid w:val="00D96981"/>
    <w:rsid w:val="00D97238"/>
    <w:rsid w:val="00D977C7"/>
    <w:rsid w:val="00D97D44"/>
    <w:rsid w:val="00DB42C7"/>
    <w:rsid w:val="00DC0FED"/>
    <w:rsid w:val="00DC6FCC"/>
    <w:rsid w:val="00DD23E0"/>
    <w:rsid w:val="00DD694C"/>
    <w:rsid w:val="00DE03CE"/>
    <w:rsid w:val="00DE2D95"/>
    <w:rsid w:val="00DF1954"/>
    <w:rsid w:val="00E05441"/>
    <w:rsid w:val="00E062C0"/>
    <w:rsid w:val="00E12B67"/>
    <w:rsid w:val="00E16499"/>
    <w:rsid w:val="00E2361A"/>
    <w:rsid w:val="00E24B97"/>
    <w:rsid w:val="00E2537C"/>
    <w:rsid w:val="00E303CC"/>
    <w:rsid w:val="00E33B4E"/>
    <w:rsid w:val="00E403E2"/>
    <w:rsid w:val="00E40463"/>
    <w:rsid w:val="00E424C1"/>
    <w:rsid w:val="00E5026B"/>
    <w:rsid w:val="00E55476"/>
    <w:rsid w:val="00E5657F"/>
    <w:rsid w:val="00E624AE"/>
    <w:rsid w:val="00E6317F"/>
    <w:rsid w:val="00E700E2"/>
    <w:rsid w:val="00E71E08"/>
    <w:rsid w:val="00E752D4"/>
    <w:rsid w:val="00E7746B"/>
    <w:rsid w:val="00E80427"/>
    <w:rsid w:val="00E80957"/>
    <w:rsid w:val="00E87CDE"/>
    <w:rsid w:val="00E92974"/>
    <w:rsid w:val="00E966BD"/>
    <w:rsid w:val="00EB5C27"/>
    <w:rsid w:val="00EB6923"/>
    <w:rsid w:val="00EC0434"/>
    <w:rsid w:val="00EC52BA"/>
    <w:rsid w:val="00EC6EEE"/>
    <w:rsid w:val="00ED2A92"/>
    <w:rsid w:val="00ED7637"/>
    <w:rsid w:val="00EE1550"/>
    <w:rsid w:val="00EE46A8"/>
    <w:rsid w:val="00EE658F"/>
    <w:rsid w:val="00EF02E6"/>
    <w:rsid w:val="00EF345A"/>
    <w:rsid w:val="00EF75CB"/>
    <w:rsid w:val="00F07ABB"/>
    <w:rsid w:val="00F07EC9"/>
    <w:rsid w:val="00F15C09"/>
    <w:rsid w:val="00F23BC5"/>
    <w:rsid w:val="00F27814"/>
    <w:rsid w:val="00F42253"/>
    <w:rsid w:val="00F44D04"/>
    <w:rsid w:val="00F47382"/>
    <w:rsid w:val="00F73B09"/>
    <w:rsid w:val="00F75800"/>
    <w:rsid w:val="00F77D9D"/>
    <w:rsid w:val="00F80152"/>
    <w:rsid w:val="00F8241A"/>
    <w:rsid w:val="00F85E88"/>
    <w:rsid w:val="00FA4ECF"/>
    <w:rsid w:val="00FB429D"/>
    <w:rsid w:val="00FB6024"/>
    <w:rsid w:val="00FB620E"/>
    <w:rsid w:val="00FC4AB9"/>
    <w:rsid w:val="00FC747D"/>
    <w:rsid w:val="00FD2A84"/>
    <w:rsid w:val="00FD489F"/>
    <w:rsid w:val="00FE0FB5"/>
    <w:rsid w:val="00FE1887"/>
    <w:rsid w:val="00FE5E2A"/>
    <w:rsid w:val="00FE71A6"/>
    <w:rsid w:val="00FF2D65"/>
    <w:rsid w:val="00FF351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macro" w:uiPriority="99"/>
    <w:lsdException w:name="Title" w:semiHidden="0" w:unhideWhenUsed="0" w:qFormat="1"/>
    <w:lsdException w:name="Default Paragraph Font" w:uiPriority="1"/>
    <w:lsdException w:name="Subtitle" w:semiHidden="0" w:unhideWhenUsed="0" w:qFormat="1"/>
    <w:lsdException w:name="Note Heading"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E97"/>
    <w:rPr>
      <w:rFonts w:eastAsia="Times New Roman"/>
      <w:sz w:val="24"/>
      <w:lang w:eastAsia="en-US"/>
    </w:rPr>
  </w:style>
  <w:style w:type="paragraph" w:styleId="Heading1">
    <w:name w:val="heading 1"/>
    <w:basedOn w:val="Normal"/>
    <w:next w:val="BodyText"/>
    <w:link w:val="Heading1Char"/>
    <w:qFormat/>
    <w:rsid w:val="00C67E97"/>
    <w:pPr>
      <w:keepNext/>
      <w:pBdr>
        <w:bottom w:val="single" w:sz="18" w:space="2" w:color="auto"/>
      </w:pBdr>
      <w:spacing w:after="240"/>
      <w:outlineLvl w:val="0"/>
    </w:pPr>
    <w:rPr>
      <w:rFonts w:ascii="Arial" w:hAnsi="Arial"/>
      <w:b/>
      <w:caps/>
      <w:kern w:val="28"/>
      <w:sz w:val="28"/>
    </w:rPr>
  </w:style>
  <w:style w:type="paragraph" w:styleId="Heading2">
    <w:name w:val="heading 2"/>
    <w:basedOn w:val="Normal"/>
    <w:next w:val="BodyText"/>
    <w:link w:val="Heading2Char"/>
    <w:qFormat/>
    <w:rsid w:val="00C67E97"/>
    <w:pPr>
      <w:keepNext/>
      <w:spacing w:before="60" w:after="60"/>
      <w:jc w:val="center"/>
      <w:outlineLvl w:val="1"/>
    </w:pPr>
    <w:rPr>
      <w:b/>
      <w:snapToGrid w:val="0"/>
      <w:sz w:val="20"/>
    </w:rPr>
  </w:style>
  <w:style w:type="paragraph" w:styleId="Heading3">
    <w:name w:val="heading 3"/>
    <w:basedOn w:val="Normal"/>
    <w:next w:val="BodyText"/>
    <w:link w:val="Heading3Char"/>
    <w:qFormat/>
    <w:rsid w:val="00C67E97"/>
    <w:pPr>
      <w:keepNext/>
      <w:keepLines/>
      <w:spacing w:before="240" w:after="60"/>
      <w:outlineLvl w:val="2"/>
    </w:pPr>
    <w:rPr>
      <w:rFonts w:ascii="Arial" w:hAnsi="Arial" w:cs="Arial"/>
      <w:b/>
      <w:bCs/>
      <w:szCs w:val="26"/>
    </w:rPr>
  </w:style>
  <w:style w:type="paragraph" w:styleId="Heading4">
    <w:name w:val="heading 4"/>
    <w:basedOn w:val="Normal"/>
    <w:next w:val="BodyText"/>
    <w:link w:val="Heading4Char"/>
    <w:qFormat/>
    <w:rsid w:val="00C67E97"/>
    <w:pPr>
      <w:keepNext/>
      <w:keepLines/>
      <w:spacing w:before="240" w:after="120"/>
      <w:outlineLvl w:val="3"/>
    </w:pPr>
    <w:rPr>
      <w:i/>
    </w:rPr>
  </w:style>
  <w:style w:type="paragraph" w:styleId="Heading5">
    <w:name w:val="heading 5"/>
    <w:basedOn w:val="Normal"/>
    <w:next w:val="Normal"/>
    <w:link w:val="Heading5Char"/>
    <w:autoRedefine/>
    <w:qFormat/>
    <w:rsid w:val="00C67E97"/>
    <w:pPr>
      <w:keepNext/>
      <w:numPr>
        <w:ilvl w:val="4"/>
        <w:numId w:val="16"/>
      </w:numPr>
      <w:outlineLvl w:val="4"/>
    </w:pPr>
    <w:rPr>
      <w:b/>
      <w:i/>
      <w:sz w:val="20"/>
    </w:rPr>
  </w:style>
  <w:style w:type="paragraph" w:styleId="Heading6">
    <w:name w:val="heading 6"/>
    <w:basedOn w:val="Normal"/>
    <w:next w:val="Normal"/>
    <w:link w:val="Heading6Char"/>
    <w:qFormat/>
    <w:rsid w:val="00C67E97"/>
    <w:pPr>
      <w:keepNext/>
      <w:jc w:val="right"/>
      <w:outlineLvl w:val="5"/>
    </w:pPr>
    <w:rPr>
      <w:b/>
      <w:sz w:val="20"/>
    </w:rPr>
  </w:style>
  <w:style w:type="paragraph" w:styleId="Heading7">
    <w:name w:val="heading 7"/>
    <w:basedOn w:val="Normal"/>
    <w:next w:val="Normal"/>
    <w:link w:val="Heading7Char"/>
    <w:qFormat/>
    <w:rsid w:val="00C67E97"/>
    <w:pPr>
      <w:keepNext/>
      <w:ind w:left="159" w:hanging="159"/>
      <w:outlineLvl w:val="6"/>
    </w:pPr>
    <w:rPr>
      <w:b/>
      <w:sz w:val="20"/>
    </w:rPr>
  </w:style>
  <w:style w:type="paragraph" w:styleId="Heading8">
    <w:name w:val="heading 8"/>
    <w:basedOn w:val="Normal"/>
    <w:next w:val="Normal"/>
    <w:link w:val="Heading8Char"/>
    <w:qFormat/>
    <w:rsid w:val="00C67E97"/>
    <w:pPr>
      <w:keepNext/>
      <w:numPr>
        <w:ilvl w:val="7"/>
        <w:numId w:val="16"/>
      </w:numPr>
      <w:outlineLvl w:val="7"/>
    </w:pPr>
    <w:rPr>
      <w:rFonts w:ascii="Arial" w:hAnsi="Arial"/>
      <w:b/>
      <w:snapToGrid w:val="0"/>
      <w:color w:val="000000"/>
      <w:sz w:val="20"/>
    </w:rPr>
  </w:style>
  <w:style w:type="paragraph" w:styleId="Heading9">
    <w:name w:val="heading 9"/>
    <w:basedOn w:val="Normal"/>
    <w:next w:val="Normal"/>
    <w:link w:val="Heading9Char"/>
    <w:qFormat/>
    <w:rsid w:val="00C67E97"/>
    <w:pPr>
      <w:keepNext/>
      <w:numPr>
        <w:ilvl w:val="8"/>
        <w:numId w:val="16"/>
      </w:numPr>
      <w:spacing w:after="120"/>
      <w:outlineLvl w:val="8"/>
    </w:pPr>
    <w:rPr>
      <w:rFonts w:ascii="Arial" w:hAnsi="Arial" w:cs="Arial"/>
      <w:b/>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7E97"/>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C67E97"/>
    <w:rPr>
      <w:rFonts w:ascii="Calibri" w:eastAsia="Times New Roman" w:hAnsi="Calibri" w:cs="Times New Roman"/>
      <w:b/>
      <w:snapToGrid w:val="0"/>
      <w:sz w:val="20"/>
      <w:szCs w:val="20"/>
    </w:rPr>
  </w:style>
  <w:style w:type="character" w:customStyle="1" w:styleId="Heading3Char">
    <w:name w:val="Heading 3 Char"/>
    <w:basedOn w:val="DefaultParagraphFont"/>
    <w:link w:val="Heading3"/>
    <w:rsid w:val="00C67E97"/>
    <w:rPr>
      <w:rFonts w:ascii="Arial" w:eastAsia="Times New Roman" w:hAnsi="Arial" w:cs="Arial"/>
      <w:b/>
      <w:bCs/>
      <w:sz w:val="24"/>
      <w:szCs w:val="26"/>
    </w:rPr>
  </w:style>
  <w:style w:type="character" w:customStyle="1" w:styleId="Heading4Char">
    <w:name w:val="Heading 4 Char"/>
    <w:basedOn w:val="DefaultParagraphFont"/>
    <w:link w:val="Heading4"/>
    <w:rsid w:val="00C67E97"/>
    <w:rPr>
      <w:rFonts w:ascii="Calibri" w:eastAsia="Times New Roman" w:hAnsi="Calibri" w:cs="Times New Roman"/>
      <w:i/>
      <w:sz w:val="24"/>
      <w:szCs w:val="20"/>
    </w:rPr>
  </w:style>
  <w:style w:type="character" w:customStyle="1" w:styleId="Heading5Char">
    <w:name w:val="Heading 5 Char"/>
    <w:basedOn w:val="DefaultParagraphFont"/>
    <w:link w:val="Heading5"/>
    <w:rsid w:val="00C67E97"/>
    <w:rPr>
      <w:rFonts w:eastAsia="Times New Roman"/>
      <w:b/>
      <w:i/>
      <w:lang w:eastAsia="en-US"/>
    </w:rPr>
  </w:style>
  <w:style w:type="character" w:customStyle="1" w:styleId="Heading6Char">
    <w:name w:val="Heading 6 Char"/>
    <w:basedOn w:val="DefaultParagraphFont"/>
    <w:link w:val="Heading6"/>
    <w:rsid w:val="00C67E97"/>
    <w:rPr>
      <w:rFonts w:ascii="Calibri" w:eastAsia="Times New Roman" w:hAnsi="Calibri" w:cs="Times New Roman"/>
      <w:b/>
      <w:sz w:val="20"/>
      <w:szCs w:val="20"/>
    </w:rPr>
  </w:style>
  <w:style w:type="character" w:customStyle="1" w:styleId="Heading7Char">
    <w:name w:val="Heading 7 Char"/>
    <w:basedOn w:val="DefaultParagraphFont"/>
    <w:link w:val="Heading7"/>
    <w:rsid w:val="00C67E97"/>
    <w:rPr>
      <w:rFonts w:ascii="Calibri" w:eastAsia="Times New Roman" w:hAnsi="Calibri" w:cs="Times New Roman"/>
      <w:b/>
      <w:sz w:val="20"/>
      <w:szCs w:val="20"/>
    </w:rPr>
  </w:style>
  <w:style w:type="character" w:customStyle="1" w:styleId="Heading8Char">
    <w:name w:val="Heading 8 Char"/>
    <w:basedOn w:val="DefaultParagraphFont"/>
    <w:link w:val="Heading8"/>
    <w:rsid w:val="00C67E97"/>
    <w:rPr>
      <w:rFonts w:ascii="Arial" w:eastAsia="Times New Roman" w:hAnsi="Arial"/>
      <w:b/>
      <w:snapToGrid w:val="0"/>
      <w:color w:val="000000"/>
      <w:lang w:eastAsia="en-US"/>
    </w:rPr>
  </w:style>
  <w:style w:type="character" w:customStyle="1" w:styleId="Heading9Char">
    <w:name w:val="Heading 9 Char"/>
    <w:basedOn w:val="DefaultParagraphFont"/>
    <w:link w:val="Heading9"/>
    <w:rsid w:val="00C67E97"/>
    <w:rPr>
      <w:rFonts w:ascii="Arial" w:eastAsia="Times New Roman" w:hAnsi="Arial" w:cs="Arial"/>
      <w:b/>
      <w:snapToGrid w:val="0"/>
      <w:color w:val="000000"/>
      <w:sz w:val="18"/>
      <w:lang w:eastAsia="en-US"/>
    </w:rPr>
  </w:style>
  <w:style w:type="paragraph" w:customStyle="1" w:styleId="TableHeadingCentre">
    <w:name w:val="Table Heading Centre"/>
    <w:basedOn w:val="Normal"/>
    <w:rsid w:val="00C67E97"/>
    <w:pPr>
      <w:keepNext/>
      <w:jc w:val="center"/>
    </w:pPr>
    <w:rPr>
      <w:b/>
      <w:sz w:val="20"/>
    </w:rPr>
  </w:style>
  <w:style w:type="paragraph" w:styleId="BodyText">
    <w:name w:val="Body Text"/>
    <w:basedOn w:val="Normal"/>
    <w:link w:val="BodyTextChar"/>
    <w:rsid w:val="00C67E97"/>
    <w:pPr>
      <w:keepNext/>
      <w:keepLines/>
      <w:spacing w:before="120" w:after="120"/>
      <w:jc w:val="both"/>
    </w:pPr>
  </w:style>
  <w:style w:type="character" w:customStyle="1" w:styleId="BodyTextChar">
    <w:name w:val="Body Text Char"/>
    <w:basedOn w:val="DefaultParagraphFont"/>
    <w:link w:val="BodyText"/>
    <w:rsid w:val="00C67E97"/>
    <w:rPr>
      <w:rFonts w:ascii="Calibri" w:eastAsia="Times New Roman" w:hAnsi="Calibri" w:cs="Times New Roman"/>
      <w:sz w:val="24"/>
      <w:szCs w:val="20"/>
    </w:rPr>
  </w:style>
  <w:style w:type="paragraph" w:styleId="BodyTextIndent">
    <w:name w:val="Body Text Indent"/>
    <w:basedOn w:val="Normal"/>
    <w:next w:val="BodyText"/>
    <w:link w:val="BodyTextIndentChar"/>
    <w:rsid w:val="00C67E97"/>
    <w:pPr>
      <w:keepNext/>
      <w:keepLines/>
      <w:numPr>
        <w:numId w:val="13"/>
      </w:numPr>
      <w:spacing w:after="120"/>
      <w:jc w:val="both"/>
    </w:pPr>
    <w:rPr>
      <w:szCs w:val="24"/>
    </w:rPr>
  </w:style>
  <w:style w:type="character" w:customStyle="1" w:styleId="BodyTextIndentChar">
    <w:name w:val="Body Text Indent Char"/>
    <w:basedOn w:val="DefaultParagraphFont"/>
    <w:link w:val="BodyTextIndent"/>
    <w:rsid w:val="00C67E97"/>
    <w:rPr>
      <w:rFonts w:eastAsia="Times New Roman"/>
      <w:sz w:val="24"/>
      <w:szCs w:val="24"/>
      <w:lang w:eastAsia="en-US"/>
    </w:rPr>
  </w:style>
  <w:style w:type="paragraph" w:styleId="BodyTextIndent2">
    <w:name w:val="Body Text Indent 2"/>
    <w:basedOn w:val="Normal"/>
    <w:link w:val="BodyTextIndent2Char"/>
    <w:rsid w:val="00C67E97"/>
    <w:pPr>
      <w:keepNext/>
      <w:keepLines/>
      <w:numPr>
        <w:numId w:val="14"/>
      </w:numPr>
      <w:spacing w:after="120"/>
      <w:jc w:val="both"/>
    </w:pPr>
  </w:style>
  <w:style w:type="character" w:customStyle="1" w:styleId="BodyTextIndent2Char">
    <w:name w:val="Body Text Indent 2 Char"/>
    <w:basedOn w:val="DefaultParagraphFont"/>
    <w:link w:val="BodyTextIndent2"/>
    <w:rsid w:val="00C67E97"/>
    <w:rPr>
      <w:rFonts w:eastAsia="Times New Roman"/>
      <w:sz w:val="24"/>
      <w:lang w:eastAsia="en-US"/>
    </w:rPr>
  </w:style>
  <w:style w:type="paragraph" w:styleId="BodyTextIndent3">
    <w:name w:val="Body Text Indent 3"/>
    <w:basedOn w:val="Normal"/>
    <w:link w:val="BodyTextIndent3Char"/>
    <w:rsid w:val="00C67E97"/>
    <w:pPr>
      <w:keepNext/>
      <w:keepLines/>
      <w:numPr>
        <w:numId w:val="15"/>
      </w:numPr>
      <w:tabs>
        <w:tab w:val="left" w:pos="1134"/>
      </w:tabs>
      <w:spacing w:after="120"/>
      <w:jc w:val="both"/>
    </w:pPr>
    <w:rPr>
      <w:szCs w:val="24"/>
    </w:rPr>
  </w:style>
  <w:style w:type="character" w:customStyle="1" w:styleId="BodyTextIndent3Char">
    <w:name w:val="Body Text Indent 3 Char"/>
    <w:basedOn w:val="DefaultParagraphFont"/>
    <w:link w:val="BodyTextIndent3"/>
    <w:rsid w:val="00C67E97"/>
    <w:rPr>
      <w:rFonts w:eastAsia="Times New Roman"/>
      <w:sz w:val="24"/>
      <w:szCs w:val="24"/>
      <w:lang w:eastAsia="en-US"/>
    </w:rPr>
  </w:style>
  <w:style w:type="paragraph" w:customStyle="1" w:styleId="BodyTextIndent4">
    <w:name w:val="Body Text Indent 4"/>
    <w:basedOn w:val="BodyText"/>
    <w:next w:val="BodyText"/>
    <w:rsid w:val="00C67E97"/>
    <w:pPr>
      <w:numPr>
        <w:numId w:val="1"/>
      </w:numPr>
      <w:spacing w:before="0"/>
    </w:pPr>
  </w:style>
  <w:style w:type="paragraph" w:customStyle="1" w:styleId="SIHeading1">
    <w:name w:val="SI Heading 1"/>
    <w:basedOn w:val="Normal"/>
    <w:next w:val="BodyText"/>
    <w:rsid w:val="00C67E97"/>
    <w:pPr>
      <w:keepNext/>
      <w:keepLines/>
      <w:spacing w:before="240"/>
      <w:jc w:val="center"/>
      <w:outlineLvl w:val="0"/>
    </w:pPr>
    <w:rPr>
      <w:rFonts w:ascii="Arial" w:hAnsi="Arial"/>
      <w:b/>
      <w:kern w:val="28"/>
      <w:sz w:val="20"/>
    </w:rPr>
  </w:style>
  <w:style w:type="paragraph" w:customStyle="1" w:styleId="SIHeading2">
    <w:name w:val="SI Heading 2"/>
    <w:basedOn w:val="Normal"/>
    <w:next w:val="BodyText"/>
    <w:link w:val="SIHeading2Char"/>
    <w:rsid w:val="00C67E97"/>
    <w:pPr>
      <w:keepNext/>
      <w:keepLines/>
      <w:spacing w:after="240"/>
      <w:jc w:val="center"/>
      <w:outlineLvl w:val="0"/>
    </w:pPr>
    <w:rPr>
      <w:rFonts w:ascii="Arial" w:hAnsi="Arial"/>
      <w:kern w:val="28"/>
      <w:sz w:val="20"/>
    </w:rPr>
  </w:style>
  <w:style w:type="paragraph" w:customStyle="1" w:styleId="Tabletextindenta">
    <w:name w:val="Table text indent a"/>
    <w:aliases w:val="b,c...,c... BP3"/>
    <w:basedOn w:val="Normal"/>
    <w:autoRedefine/>
    <w:semiHidden/>
    <w:rsid w:val="005E1840"/>
    <w:pPr>
      <w:numPr>
        <w:numId w:val="41"/>
      </w:numPr>
      <w:spacing w:before="60"/>
    </w:pPr>
    <w:rPr>
      <w:kern w:val="16"/>
      <w:sz w:val="20"/>
      <w:szCs w:val="24"/>
    </w:rPr>
  </w:style>
  <w:style w:type="paragraph" w:customStyle="1" w:styleId="TableTextRightBold">
    <w:name w:val="Table Text Right Bold"/>
    <w:basedOn w:val="Normal"/>
    <w:rsid w:val="00C67E97"/>
    <w:pPr>
      <w:ind w:left="357" w:hanging="357"/>
      <w:jc w:val="right"/>
    </w:pPr>
    <w:rPr>
      <w:b/>
      <w:sz w:val="20"/>
    </w:rPr>
  </w:style>
  <w:style w:type="paragraph" w:customStyle="1" w:styleId="TableHeadingRight">
    <w:name w:val="Table Heading Right"/>
    <w:basedOn w:val="Normal"/>
    <w:rsid w:val="00C67E97"/>
    <w:pPr>
      <w:keepNext/>
      <w:jc w:val="right"/>
    </w:pPr>
    <w:rPr>
      <w:b/>
      <w:sz w:val="20"/>
      <w:szCs w:val="24"/>
    </w:rPr>
  </w:style>
  <w:style w:type="paragraph" w:customStyle="1" w:styleId="NoteText">
    <w:name w:val="Note Text"/>
    <w:basedOn w:val="Normal"/>
    <w:link w:val="NoteTextChar"/>
    <w:rsid w:val="00C67E97"/>
    <w:pPr>
      <w:jc w:val="both"/>
    </w:pPr>
    <w:rPr>
      <w:iCs/>
      <w:sz w:val="16"/>
    </w:rPr>
  </w:style>
  <w:style w:type="paragraph" w:styleId="Header">
    <w:name w:val="header"/>
    <w:basedOn w:val="Normal"/>
    <w:link w:val="HeaderChar"/>
    <w:semiHidden/>
    <w:rsid w:val="00C67E97"/>
    <w:pPr>
      <w:tabs>
        <w:tab w:val="center" w:pos="4153"/>
        <w:tab w:val="right" w:pos="8306"/>
      </w:tabs>
    </w:pPr>
  </w:style>
  <w:style w:type="character" w:customStyle="1" w:styleId="HeaderChar">
    <w:name w:val="Header Char"/>
    <w:basedOn w:val="DefaultParagraphFont"/>
    <w:link w:val="Header"/>
    <w:semiHidden/>
    <w:rsid w:val="00C67E97"/>
    <w:rPr>
      <w:rFonts w:ascii="Calibri" w:eastAsia="Times New Roman" w:hAnsi="Calibri" w:cs="Times New Roman"/>
      <w:sz w:val="24"/>
      <w:szCs w:val="20"/>
    </w:rPr>
  </w:style>
  <w:style w:type="paragraph" w:customStyle="1" w:styleId="Noteheading">
    <w:name w:val="Note heading"/>
    <w:basedOn w:val="Normal"/>
    <w:autoRedefine/>
    <w:semiHidden/>
    <w:rsid w:val="00C67E97"/>
    <w:pPr>
      <w:spacing w:before="120"/>
      <w:ind w:left="28"/>
    </w:pPr>
    <w:rPr>
      <w:b/>
      <w:bCs/>
      <w:sz w:val="20"/>
    </w:rPr>
  </w:style>
  <w:style w:type="paragraph" w:customStyle="1" w:styleId="TableHeadingLeft">
    <w:name w:val="Table Heading Left"/>
    <w:basedOn w:val="Normal"/>
    <w:link w:val="TableHeadingLeftChar"/>
    <w:rsid w:val="00C67E97"/>
    <w:pPr>
      <w:keepNext/>
    </w:pPr>
    <w:rPr>
      <w:b/>
      <w:sz w:val="20"/>
      <w:lang w:eastAsia="en-AU"/>
    </w:rPr>
  </w:style>
  <w:style w:type="paragraph" w:customStyle="1" w:styleId="TableTextRight">
    <w:name w:val="Table Text Right"/>
    <w:basedOn w:val="Normal"/>
    <w:rsid w:val="00C67E97"/>
    <w:pPr>
      <w:ind w:left="357" w:hanging="357"/>
      <w:jc w:val="right"/>
    </w:pPr>
    <w:rPr>
      <w:sz w:val="20"/>
    </w:rPr>
  </w:style>
  <w:style w:type="paragraph" w:customStyle="1" w:styleId="TableTextLeftBold">
    <w:name w:val="Table Text Left Bold"/>
    <w:basedOn w:val="Normal"/>
    <w:link w:val="TableTextLeftBoldChar"/>
    <w:rsid w:val="00C67E97"/>
    <w:pPr>
      <w:ind w:left="357" w:hanging="357"/>
    </w:pPr>
    <w:rPr>
      <w:b/>
      <w:sz w:val="20"/>
    </w:rPr>
  </w:style>
  <w:style w:type="paragraph" w:customStyle="1" w:styleId="TableTextLeft">
    <w:name w:val="Table Text Left"/>
    <w:basedOn w:val="Normal"/>
    <w:rsid w:val="00C67E97"/>
    <w:pPr>
      <w:ind w:left="357" w:hanging="357"/>
    </w:pPr>
    <w:rPr>
      <w:sz w:val="20"/>
      <w:szCs w:val="18"/>
    </w:rPr>
  </w:style>
  <w:style w:type="paragraph" w:customStyle="1" w:styleId="TableNumbersRight">
    <w:name w:val="Table Numbers Right"/>
    <w:basedOn w:val="TableHeadingRight"/>
    <w:rsid w:val="00C67E97"/>
    <w:rPr>
      <w:b w:val="0"/>
    </w:rPr>
  </w:style>
  <w:style w:type="character" w:customStyle="1" w:styleId="TableHeadingLeftChar">
    <w:name w:val="Table Heading Left Char"/>
    <w:basedOn w:val="DefaultParagraphFont"/>
    <w:link w:val="TableHeadingLeft"/>
    <w:rsid w:val="00C67E97"/>
    <w:rPr>
      <w:rFonts w:ascii="Calibri" w:eastAsia="Times New Roman" w:hAnsi="Calibri" w:cs="Times New Roman"/>
      <w:b/>
      <w:sz w:val="20"/>
      <w:szCs w:val="20"/>
      <w:lang w:eastAsia="en-AU"/>
    </w:rPr>
  </w:style>
  <w:style w:type="paragraph" w:customStyle="1" w:styleId="FooterBP">
    <w:name w:val="Footer BP"/>
    <w:basedOn w:val="Normal"/>
    <w:next w:val="Normal"/>
    <w:rsid w:val="00C67E97"/>
    <w:pPr>
      <w:pBdr>
        <w:top w:val="single" w:sz="4" w:space="1" w:color="auto"/>
      </w:pBdr>
      <w:tabs>
        <w:tab w:val="center" w:pos="4536"/>
        <w:tab w:val="right" w:pos="9356"/>
      </w:tabs>
      <w:ind w:left="-284" w:right="-329"/>
    </w:pPr>
    <w:rPr>
      <w:i/>
      <w:sz w:val="20"/>
    </w:rPr>
  </w:style>
  <w:style w:type="paragraph" w:styleId="Footer">
    <w:name w:val="footer"/>
    <w:basedOn w:val="Normal"/>
    <w:link w:val="FooterChar"/>
    <w:semiHidden/>
    <w:rsid w:val="00C67E97"/>
    <w:pPr>
      <w:tabs>
        <w:tab w:val="center" w:pos="4153"/>
        <w:tab w:val="right" w:pos="8306"/>
      </w:tabs>
    </w:pPr>
  </w:style>
  <w:style w:type="character" w:customStyle="1" w:styleId="FooterChar">
    <w:name w:val="Footer Char"/>
    <w:basedOn w:val="DefaultParagraphFont"/>
    <w:link w:val="Footer"/>
    <w:semiHidden/>
    <w:rsid w:val="00C67E97"/>
    <w:rPr>
      <w:rFonts w:ascii="Calibri" w:eastAsia="Times New Roman" w:hAnsi="Calibri" w:cs="Times New Roman"/>
      <w:sz w:val="24"/>
      <w:szCs w:val="20"/>
    </w:rPr>
  </w:style>
  <w:style w:type="character" w:customStyle="1" w:styleId="TableTextLeftBoldChar">
    <w:name w:val="Table Text Left Bold Char"/>
    <w:basedOn w:val="DefaultParagraphFont"/>
    <w:link w:val="TableTextLeftBold"/>
    <w:rsid w:val="00C67E97"/>
    <w:rPr>
      <w:rFonts w:ascii="Calibri" w:eastAsia="Times New Roman" w:hAnsi="Calibri" w:cs="Times New Roman"/>
      <w:b/>
      <w:sz w:val="20"/>
      <w:szCs w:val="20"/>
    </w:rPr>
  </w:style>
  <w:style w:type="paragraph" w:customStyle="1" w:styleId="Heading3TopofPage">
    <w:name w:val="Heading 3 Top of Page"/>
    <w:basedOn w:val="Heading3"/>
    <w:next w:val="BodyText"/>
    <w:link w:val="Heading3TopofPageChar"/>
    <w:rsid w:val="00C67E97"/>
    <w:pPr>
      <w:spacing w:before="0"/>
    </w:pPr>
    <w:rPr>
      <w:rFonts w:cs="Times New Roman"/>
      <w:lang w:eastAsia="en-AU"/>
    </w:rPr>
  </w:style>
  <w:style w:type="paragraph" w:customStyle="1" w:styleId="Heading3Centred">
    <w:name w:val="Heading 3 Centred"/>
    <w:basedOn w:val="Heading3"/>
    <w:next w:val="BodyText"/>
    <w:rsid w:val="00C67E97"/>
    <w:pPr>
      <w:spacing w:before="0"/>
      <w:jc w:val="center"/>
    </w:pPr>
    <w:rPr>
      <w:rFonts w:cs="Times New Roman"/>
      <w:lang w:eastAsia="en-AU"/>
    </w:rPr>
  </w:style>
  <w:style w:type="numbering" w:styleId="ArticleSection">
    <w:name w:val="Outline List 3"/>
    <w:basedOn w:val="NoList"/>
    <w:semiHidden/>
    <w:rsid w:val="00C67E97"/>
    <w:pPr>
      <w:numPr>
        <w:numId w:val="12"/>
      </w:numPr>
    </w:pPr>
  </w:style>
  <w:style w:type="paragraph" w:styleId="BodyText2">
    <w:name w:val="Body Text 2"/>
    <w:basedOn w:val="Normal"/>
    <w:link w:val="BodyText2Char"/>
    <w:semiHidden/>
    <w:rsid w:val="00C67E97"/>
    <w:pPr>
      <w:spacing w:after="120" w:line="480" w:lineRule="auto"/>
    </w:pPr>
  </w:style>
  <w:style w:type="character" w:customStyle="1" w:styleId="BodyText2Char">
    <w:name w:val="Body Text 2 Char"/>
    <w:basedOn w:val="DefaultParagraphFont"/>
    <w:link w:val="BodyText2"/>
    <w:semiHidden/>
    <w:rsid w:val="00C67E97"/>
    <w:rPr>
      <w:rFonts w:ascii="Calibri" w:eastAsia="Times New Roman" w:hAnsi="Calibri" w:cs="Times New Roman"/>
      <w:sz w:val="24"/>
      <w:szCs w:val="20"/>
    </w:rPr>
  </w:style>
  <w:style w:type="paragraph" w:customStyle="1" w:styleId="SinglePara">
    <w:name w:val="Single Para"/>
    <w:basedOn w:val="Normal"/>
    <w:semiHidden/>
    <w:rsid w:val="00C67E97"/>
  </w:style>
  <w:style w:type="paragraph" w:customStyle="1" w:styleId="xl25">
    <w:name w:val="xl25"/>
    <w:basedOn w:val="Normal"/>
    <w:semiHidden/>
    <w:rsid w:val="00C67E97"/>
    <w:pPr>
      <w:spacing w:before="100" w:beforeAutospacing="1" w:after="100" w:afterAutospacing="1"/>
    </w:pPr>
    <w:rPr>
      <w:rFonts w:eastAsia="Arial Unicode MS"/>
      <w:sz w:val="18"/>
      <w:szCs w:val="18"/>
    </w:rPr>
  </w:style>
  <w:style w:type="paragraph" w:styleId="PlainText">
    <w:name w:val="Plain Text"/>
    <w:basedOn w:val="Normal"/>
    <w:link w:val="PlainTextChar"/>
    <w:semiHidden/>
    <w:rsid w:val="00C67E97"/>
    <w:rPr>
      <w:sz w:val="20"/>
      <w:lang w:val="en-US"/>
    </w:rPr>
  </w:style>
  <w:style w:type="character" w:customStyle="1" w:styleId="PlainTextChar">
    <w:name w:val="Plain Text Char"/>
    <w:basedOn w:val="DefaultParagraphFont"/>
    <w:link w:val="PlainText"/>
    <w:semiHidden/>
    <w:rsid w:val="00C67E97"/>
    <w:rPr>
      <w:rFonts w:ascii="Calibri" w:eastAsia="Times New Roman" w:hAnsi="Calibri" w:cs="Times New Roman"/>
      <w:sz w:val="20"/>
      <w:szCs w:val="20"/>
      <w:lang w:val="en-US"/>
    </w:rPr>
  </w:style>
  <w:style w:type="paragraph" w:styleId="BalloonText">
    <w:name w:val="Balloon Text"/>
    <w:basedOn w:val="Normal"/>
    <w:link w:val="BalloonTextChar"/>
    <w:uiPriority w:val="99"/>
    <w:semiHidden/>
    <w:rsid w:val="00C67E97"/>
    <w:rPr>
      <w:rFonts w:ascii="Tahoma" w:hAnsi="Tahoma" w:cs="Tahoma"/>
      <w:sz w:val="16"/>
      <w:szCs w:val="16"/>
    </w:rPr>
  </w:style>
  <w:style w:type="character" w:customStyle="1" w:styleId="BalloonTextChar">
    <w:name w:val="Balloon Text Char"/>
    <w:basedOn w:val="DefaultParagraphFont"/>
    <w:link w:val="BalloonText"/>
    <w:uiPriority w:val="99"/>
    <w:semiHidden/>
    <w:rsid w:val="00C67E97"/>
    <w:rPr>
      <w:rFonts w:ascii="Tahoma" w:eastAsia="Times New Roman" w:hAnsi="Tahoma" w:cs="Tahoma"/>
      <w:sz w:val="16"/>
      <w:szCs w:val="16"/>
    </w:rPr>
  </w:style>
  <w:style w:type="paragraph" w:customStyle="1" w:styleId="Sub-Heading">
    <w:name w:val="Sub-Heading"/>
    <w:basedOn w:val="Normal"/>
    <w:next w:val="BodyText"/>
    <w:rsid w:val="00C67E97"/>
    <w:pPr>
      <w:keepNext/>
      <w:spacing w:before="240" w:after="120"/>
      <w:outlineLvl w:val="0"/>
    </w:pPr>
    <w:rPr>
      <w:rFonts w:ascii="Arial" w:hAnsi="Arial"/>
      <w:i/>
    </w:rPr>
  </w:style>
  <w:style w:type="paragraph" w:customStyle="1" w:styleId="Sub-Heading2">
    <w:name w:val="Sub-Heading 2"/>
    <w:basedOn w:val="BodyText"/>
    <w:semiHidden/>
    <w:rsid w:val="00C67E97"/>
    <w:rPr>
      <w:i/>
    </w:rPr>
  </w:style>
  <w:style w:type="paragraph" w:customStyle="1" w:styleId="TableName">
    <w:name w:val="Table Name"/>
    <w:basedOn w:val="Normal"/>
    <w:rsid w:val="00C67E97"/>
    <w:pPr>
      <w:keepNext/>
      <w:keepLines/>
      <w:spacing w:after="120"/>
      <w:jc w:val="center"/>
    </w:pPr>
    <w:rPr>
      <w:rFonts w:ascii="Arial" w:hAnsi="Arial"/>
      <w:b/>
      <w:sz w:val="20"/>
    </w:rPr>
  </w:style>
  <w:style w:type="paragraph" w:customStyle="1" w:styleId="AIblurb">
    <w:name w:val="AI blurb"/>
    <w:basedOn w:val="Normal"/>
    <w:rsid w:val="00C67E97"/>
    <w:pPr>
      <w:spacing w:before="120" w:after="240"/>
      <w:ind w:left="380"/>
      <w:jc w:val="both"/>
    </w:pPr>
    <w:rPr>
      <w:sz w:val="20"/>
    </w:rPr>
  </w:style>
  <w:style w:type="paragraph" w:styleId="BodyText3">
    <w:name w:val="Body Text 3"/>
    <w:basedOn w:val="Normal"/>
    <w:link w:val="BodyText3Char"/>
    <w:semiHidden/>
    <w:rsid w:val="00C67E97"/>
    <w:pPr>
      <w:spacing w:after="120"/>
    </w:pPr>
    <w:rPr>
      <w:sz w:val="16"/>
      <w:szCs w:val="16"/>
    </w:rPr>
  </w:style>
  <w:style w:type="character" w:customStyle="1" w:styleId="BodyText3Char">
    <w:name w:val="Body Text 3 Char"/>
    <w:basedOn w:val="DefaultParagraphFont"/>
    <w:link w:val="BodyText3"/>
    <w:semiHidden/>
    <w:rsid w:val="00C67E97"/>
    <w:rPr>
      <w:rFonts w:ascii="Calibri" w:eastAsia="Times New Roman" w:hAnsi="Calibri" w:cs="Times New Roman"/>
      <w:sz w:val="16"/>
      <w:szCs w:val="16"/>
    </w:rPr>
  </w:style>
  <w:style w:type="paragraph" w:customStyle="1" w:styleId="AINotes">
    <w:name w:val="AI Notes"/>
    <w:basedOn w:val="Normal"/>
    <w:link w:val="AINotesChar"/>
    <w:rsid w:val="00C67E97"/>
    <w:pPr>
      <w:numPr>
        <w:numId w:val="11"/>
      </w:numPr>
      <w:jc w:val="both"/>
    </w:pPr>
    <w:rPr>
      <w:sz w:val="16"/>
    </w:rPr>
  </w:style>
  <w:style w:type="paragraph" w:customStyle="1" w:styleId="n">
    <w:name w:val="n"/>
    <w:basedOn w:val="Normal"/>
    <w:semiHidden/>
    <w:rsid w:val="00C67E97"/>
    <w:pPr>
      <w:jc w:val="both"/>
    </w:pPr>
    <w:rPr>
      <w:sz w:val="16"/>
      <w:szCs w:val="24"/>
    </w:rPr>
  </w:style>
  <w:style w:type="paragraph" w:customStyle="1" w:styleId="Notes">
    <w:name w:val="Notes"/>
    <w:basedOn w:val="Normal"/>
    <w:semiHidden/>
    <w:rsid w:val="00C67E97"/>
    <w:pPr>
      <w:spacing w:before="120"/>
      <w:ind w:left="28"/>
    </w:pPr>
    <w:rPr>
      <w:b/>
      <w:sz w:val="20"/>
      <w:szCs w:val="24"/>
    </w:rPr>
  </w:style>
  <w:style w:type="numbering" w:styleId="1ai">
    <w:name w:val="Outline List 1"/>
    <w:basedOn w:val="NoList"/>
    <w:semiHidden/>
    <w:rsid w:val="00C67E97"/>
    <w:pPr>
      <w:numPr>
        <w:numId w:val="10"/>
      </w:numPr>
    </w:pPr>
  </w:style>
  <w:style w:type="numbering" w:styleId="111111">
    <w:name w:val="Outline List 2"/>
    <w:basedOn w:val="NoList"/>
    <w:semiHidden/>
    <w:rsid w:val="00C67E97"/>
    <w:pPr>
      <w:numPr>
        <w:numId w:val="9"/>
      </w:numPr>
    </w:pPr>
  </w:style>
  <w:style w:type="paragraph" w:styleId="BlockText">
    <w:name w:val="Block Text"/>
    <w:basedOn w:val="Normal"/>
    <w:semiHidden/>
    <w:rsid w:val="00C67E97"/>
    <w:pPr>
      <w:spacing w:after="120"/>
      <w:ind w:left="1440" w:right="1440"/>
    </w:pPr>
  </w:style>
  <w:style w:type="paragraph" w:styleId="BodyTextFirstIndent">
    <w:name w:val="Body Text First Indent"/>
    <w:basedOn w:val="BodyText"/>
    <w:link w:val="BodyTextFirstIndentChar"/>
    <w:semiHidden/>
    <w:rsid w:val="00C67E97"/>
    <w:pPr>
      <w:spacing w:before="0"/>
      <w:ind w:firstLine="210"/>
      <w:jc w:val="left"/>
    </w:pPr>
  </w:style>
  <w:style w:type="character" w:customStyle="1" w:styleId="BodyTextFirstIndentChar">
    <w:name w:val="Body Text First Indent Char"/>
    <w:basedOn w:val="BodyTextChar"/>
    <w:link w:val="BodyTextFirstIndent"/>
    <w:semiHidden/>
    <w:rsid w:val="00C67E97"/>
  </w:style>
  <w:style w:type="paragraph" w:styleId="BodyTextFirstIndent2">
    <w:name w:val="Body Text First Indent 2"/>
    <w:basedOn w:val="BodyTextIndent"/>
    <w:link w:val="BodyTextFirstIndent2Char"/>
    <w:semiHidden/>
    <w:rsid w:val="00C67E97"/>
    <w:pPr>
      <w:numPr>
        <w:numId w:val="0"/>
      </w:numPr>
      <w:ind w:left="283" w:firstLine="210"/>
      <w:jc w:val="left"/>
    </w:pPr>
  </w:style>
  <w:style w:type="character" w:customStyle="1" w:styleId="BodyTextFirstIndent2Char">
    <w:name w:val="Body Text First Indent 2 Char"/>
    <w:basedOn w:val="BodyTextIndentChar"/>
    <w:link w:val="BodyTextFirstIndent2"/>
    <w:semiHidden/>
    <w:rsid w:val="00C67E97"/>
  </w:style>
  <w:style w:type="paragraph" w:styleId="Closing">
    <w:name w:val="Closing"/>
    <w:basedOn w:val="Normal"/>
    <w:link w:val="ClosingChar"/>
    <w:semiHidden/>
    <w:rsid w:val="00C67E97"/>
    <w:pPr>
      <w:ind w:left="4252"/>
    </w:pPr>
  </w:style>
  <w:style w:type="character" w:customStyle="1" w:styleId="ClosingChar">
    <w:name w:val="Closing Char"/>
    <w:basedOn w:val="DefaultParagraphFont"/>
    <w:link w:val="Closing"/>
    <w:semiHidden/>
    <w:rsid w:val="00C67E97"/>
    <w:rPr>
      <w:rFonts w:ascii="Calibri" w:eastAsia="Times New Roman" w:hAnsi="Calibri" w:cs="Times New Roman"/>
      <w:sz w:val="24"/>
      <w:szCs w:val="20"/>
    </w:rPr>
  </w:style>
  <w:style w:type="paragraph" w:styleId="Date">
    <w:name w:val="Date"/>
    <w:basedOn w:val="Normal"/>
    <w:next w:val="Normal"/>
    <w:link w:val="DateChar"/>
    <w:semiHidden/>
    <w:rsid w:val="00C67E97"/>
  </w:style>
  <w:style w:type="character" w:customStyle="1" w:styleId="DateChar">
    <w:name w:val="Date Char"/>
    <w:basedOn w:val="DefaultParagraphFont"/>
    <w:link w:val="Date"/>
    <w:semiHidden/>
    <w:rsid w:val="00C67E97"/>
    <w:rPr>
      <w:rFonts w:ascii="Calibri" w:eastAsia="Times New Roman" w:hAnsi="Calibri" w:cs="Times New Roman"/>
      <w:sz w:val="24"/>
      <w:szCs w:val="20"/>
    </w:rPr>
  </w:style>
  <w:style w:type="paragraph" w:styleId="E-mailSignature">
    <w:name w:val="E-mail Signature"/>
    <w:basedOn w:val="Normal"/>
    <w:link w:val="E-mailSignatureChar"/>
    <w:semiHidden/>
    <w:rsid w:val="00C67E97"/>
  </w:style>
  <w:style w:type="character" w:customStyle="1" w:styleId="E-mailSignatureChar">
    <w:name w:val="E-mail Signature Char"/>
    <w:basedOn w:val="DefaultParagraphFont"/>
    <w:link w:val="E-mailSignature"/>
    <w:semiHidden/>
    <w:rsid w:val="00C67E97"/>
    <w:rPr>
      <w:rFonts w:ascii="Calibri" w:eastAsia="Times New Roman" w:hAnsi="Calibri" w:cs="Times New Roman"/>
      <w:sz w:val="24"/>
      <w:szCs w:val="20"/>
    </w:rPr>
  </w:style>
  <w:style w:type="character" w:styleId="Emphasis">
    <w:name w:val="Emphasis"/>
    <w:basedOn w:val="DefaultParagraphFont"/>
    <w:qFormat/>
    <w:rsid w:val="00C67E97"/>
    <w:rPr>
      <w:rFonts w:ascii="Calibri" w:hAnsi="Calibri"/>
      <w:i/>
      <w:iCs/>
    </w:rPr>
  </w:style>
  <w:style w:type="paragraph" w:styleId="EnvelopeAddress">
    <w:name w:val="envelope address"/>
    <w:basedOn w:val="Normal"/>
    <w:semiHidden/>
    <w:rsid w:val="00C67E97"/>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C67E97"/>
    <w:rPr>
      <w:rFonts w:ascii="Arial" w:hAnsi="Arial" w:cs="Arial"/>
      <w:sz w:val="20"/>
    </w:rPr>
  </w:style>
  <w:style w:type="character" w:styleId="FollowedHyperlink">
    <w:name w:val="FollowedHyperlink"/>
    <w:basedOn w:val="DefaultParagraphFont"/>
    <w:uiPriority w:val="99"/>
    <w:semiHidden/>
    <w:rsid w:val="00C67E97"/>
    <w:rPr>
      <w:color w:val="800080"/>
      <w:u w:val="single"/>
    </w:rPr>
  </w:style>
  <w:style w:type="character" w:styleId="HTMLAcronym">
    <w:name w:val="HTML Acronym"/>
    <w:basedOn w:val="DefaultParagraphFont"/>
    <w:semiHidden/>
    <w:rsid w:val="00C67E97"/>
  </w:style>
  <w:style w:type="paragraph" w:styleId="HTMLAddress">
    <w:name w:val="HTML Address"/>
    <w:basedOn w:val="Normal"/>
    <w:link w:val="HTMLAddressChar"/>
    <w:semiHidden/>
    <w:rsid w:val="00C67E97"/>
    <w:rPr>
      <w:i/>
      <w:iCs/>
    </w:rPr>
  </w:style>
  <w:style w:type="character" w:customStyle="1" w:styleId="HTMLAddressChar">
    <w:name w:val="HTML Address Char"/>
    <w:basedOn w:val="DefaultParagraphFont"/>
    <w:link w:val="HTMLAddress"/>
    <w:semiHidden/>
    <w:rsid w:val="00C67E97"/>
    <w:rPr>
      <w:rFonts w:ascii="Calibri" w:eastAsia="Times New Roman" w:hAnsi="Calibri" w:cs="Times New Roman"/>
      <w:i/>
      <w:iCs/>
      <w:sz w:val="24"/>
      <w:szCs w:val="20"/>
    </w:rPr>
  </w:style>
  <w:style w:type="character" w:styleId="HTMLCite">
    <w:name w:val="HTML Cite"/>
    <w:basedOn w:val="DefaultParagraphFont"/>
    <w:semiHidden/>
    <w:rsid w:val="00C67E97"/>
    <w:rPr>
      <w:i/>
      <w:iCs/>
    </w:rPr>
  </w:style>
  <w:style w:type="character" w:styleId="HTMLCode">
    <w:name w:val="HTML Code"/>
    <w:basedOn w:val="DefaultParagraphFont"/>
    <w:semiHidden/>
    <w:rsid w:val="00C67E97"/>
    <w:rPr>
      <w:rFonts w:ascii="Courier New" w:hAnsi="Courier New" w:cs="Courier New"/>
      <w:sz w:val="20"/>
      <w:szCs w:val="20"/>
    </w:rPr>
  </w:style>
  <w:style w:type="character" w:styleId="HTMLDefinition">
    <w:name w:val="HTML Definition"/>
    <w:basedOn w:val="DefaultParagraphFont"/>
    <w:semiHidden/>
    <w:rsid w:val="00C67E97"/>
    <w:rPr>
      <w:i/>
      <w:iCs/>
    </w:rPr>
  </w:style>
  <w:style w:type="character" w:styleId="HTMLKeyboard">
    <w:name w:val="HTML Keyboard"/>
    <w:basedOn w:val="DefaultParagraphFont"/>
    <w:semiHidden/>
    <w:rsid w:val="00C67E97"/>
    <w:rPr>
      <w:rFonts w:ascii="Courier New" w:hAnsi="Courier New" w:cs="Courier New"/>
      <w:sz w:val="20"/>
      <w:szCs w:val="20"/>
    </w:rPr>
  </w:style>
  <w:style w:type="paragraph" w:styleId="HTMLPreformatted">
    <w:name w:val="HTML Preformatted"/>
    <w:basedOn w:val="Normal"/>
    <w:link w:val="HTMLPreformattedChar"/>
    <w:semiHidden/>
    <w:rsid w:val="00C67E97"/>
    <w:rPr>
      <w:rFonts w:ascii="Courier New" w:hAnsi="Courier New" w:cs="Courier New"/>
      <w:sz w:val="20"/>
    </w:rPr>
  </w:style>
  <w:style w:type="character" w:customStyle="1" w:styleId="HTMLPreformattedChar">
    <w:name w:val="HTML Preformatted Char"/>
    <w:basedOn w:val="DefaultParagraphFont"/>
    <w:link w:val="HTMLPreformatted"/>
    <w:semiHidden/>
    <w:rsid w:val="00C67E97"/>
    <w:rPr>
      <w:rFonts w:ascii="Courier New" w:eastAsia="Times New Roman" w:hAnsi="Courier New" w:cs="Courier New"/>
      <w:sz w:val="20"/>
      <w:szCs w:val="20"/>
    </w:rPr>
  </w:style>
  <w:style w:type="character" w:styleId="HTMLSample">
    <w:name w:val="HTML Sample"/>
    <w:basedOn w:val="DefaultParagraphFont"/>
    <w:semiHidden/>
    <w:rsid w:val="00C67E97"/>
    <w:rPr>
      <w:rFonts w:ascii="Courier New" w:hAnsi="Courier New" w:cs="Courier New"/>
    </w:rPr>
  </w:style>
  <w:style w:type="character" w:styleId="HTMLTypewriter">
    <w:name w:val="HTML Typewriter"/>
    <w:basedOn w:val="DefaultParagraphFont"/>
    <w:semiHidden/>
    <w:rsid w:val="00C67E97"/>
    <w:rPr>
      <w:rFonts w:ascii="Courier New" w:hAnsi="Courier New" w:cs="Courier New"/>
      <w:sz w:val="20"/>
      <w:szCs w:val="20"/>
    </w:rPr>
  </w:style>
  <w:style w:type="character" w:styleId="HTMLVariable">
    <w:name w:val="HTML Variable"/>
    <w:basedOn w:val="DefaultParagraphFont"/>
    <w:semiHidden/>
    <w:rsid w:val="00C67E97"/>
    <w:rPr>
      <w:i/>
      <w:iCs/>
    </w:rPr>
  </w:style>
  <w:style w:type="character" w:styleId="Hyperlink">
    <w:name w:val="Hyperlink"/>
    <w:basedOn w:val="DefaultParagraphFont"/>
    <w:uiPriority w:val="99"/>
    <w:semiHidden/>
    <w:rsid w:val="00C67E97"/>
    <w:rPr>
      <w:color w:val="0000FF"/>
      <w:u w:val="single"/>
    </w:rPr>
  </w:style>
  <w:style w:type="character" w:styleId="LineNumber">
    <w:name w:val="line number"/>
    <w:basedOn w:val="DefaultParagraphFont"/>
    <w:semiHidden/>
    <w:rsid w:val="00C67E97"/>
  </w:style>
  <w:style w:type="paragraph" w:styleId="List">
    <w:name w:val="List"/>
    <w:basedOn w:val="Normal"/>
    <w:semiHidden/>
    <w:rsid w:val="00C67E97"/>
    <w:pPr>
      <w:ind w:left="283" w:hanging="283"/>
    </w:pPr>
  </w:style>
  <w:style w:type="paragraph" w:styleId="List2">
    <w:name w:val="List 2"/>
    <w:basedOn w:val="Normal"/>
    <w:semiHidden/>
    <w:rsid w:val="00C67E97"/>
    <w:pPr>
      <w:ind w:left="566" w:hanging="283"/>
    </w:pPr>
  </w:style>
  <w:style w:type="paragraph" w:styleId="List3">
    <w:name w:val="List 3"/>
    <w:basedOn w:val="Normal"/>
    <w:semiHidden/>
    <w:rsid w:val="00C67E97"/>
    <w:pPr>
      <w:ind w:left="849" w:hanging="283"/>
    </w:pPr>
  </w:style>
  <w:style w:type="paragraph" w:styleId="List4">
    <w:name w:val="List 4"/>
    <w:basedOn w:val="Normal"/>
    <w:semiHidden/>
    <w:rsid w:val="00C67E97"/>
    <w:pPr>
      <w:ind w:left="1132" w:hanging="283"/>
    </w:pPr>
  </w:style>
  <w:style w:type="paragraph" w:styleId="List5">
    <w:name w:val="List 5"/>
    <w:basedOn w:val="Normal"/>
    <w:semiHidden/>
    <w:rsid w:val="00C67E97"/>
    <w:pPr>
      <w:ind w:left="1415" w:hanging="283"/>
    </w:pPr>
  </w:style>
  <w:style w:type="paragraph" w:styleId="ListBullet">
    <w:name w:val="List Bullet"/>
    <w:basedOn w:val="Normal"/>
    <w:semiHidden/>
    <w:rsid w:val="00C67E97"/>
    <w:pPr>
      <w:numPr>
        <w:numId w:val="17"/>
      </w:numPr>
    </w:pPr>
  </w:style>
  <w:style w:type="paragraph" w:styleId="ListBullet2">
    <w:name w:val="List Bullet 2"/>
    <w:basedOn w:val="Normal"/>
    <w:semiHidden/>
    <w:rsid w:val="00C67E97"/>
    <w:pPr>
      <w:numPr>
        <w:numId w:val="18"/>
      </w:numPr>
    </w:pPr>
  </w:style>
  <w:style w:type="paragraph" w:styleId="ListBullet3">
    <w:name w:val="List Bullet 3"/>
    <w:basedOn w:val="Normal"/>
    <w:semiHidden/>
    <w:rsid w:val="00C67E97"/>
    <w:pPr>
      <w:numPr>
        <w:numId w:val="19"/>
      </w:numPr>
    </w:pPr>
  </w:style>
  <w:style w:type="paragraph" w:styleId="ListBullet4">
    <w:name w:val="List Bullet 4"/>
    <w:basedOn w:val="Normal"/>
    <w:semiHidden/>
    <w:rsid w:val="00C67E97"/>
    <w:pPr>
      <w:numPr>
        <w:numId w:val="20"/>
      </w:numPr>
    </w:pPr>
  </w:style>
  <w:style w:type="paragraph" w:styleId="ListBullet5">
    <w:name w:val="List Bullet 5"/>
    <w:basedOn w:val="Normal"/>
    <w:semiHidden/>
    <w:rsid w:val="00C67E97"/>
    <w:pPr>
      <w:numPr>
        <w:numId w:val="21"/>
      </w:numPr>
    </w:pPr>
  </w:style>
  <w:style w:type="paragraph" w:styleId="ListContinue">
    <w:name w:val="List Continue"/>
    <w:basedOn w:val="Normal"/>
    <w:semiHidden/>
    <w:rsid w:val="00C67E97"/>
    <w:pPr>
      <w:spacing w:after="120"/>
      <w:ind w:left="283"/>
    </w:pPr>
  </w:style>
  <w:style w:type="paragraph" w:styleId="ListContinue2">
    <w:name w:val="List Continue 2"/>
    <w:basedOn w:val="Normal"/>
    <w:semiHidden/>
    <w:rsid w:val="00C67E97"/>
    <w:pPr>
      <w:spacing w:after="120"/>
      <w:ind w:left="566"/>
    </w:pPr>
  </w:style>
  <w:style w:type="paragraph" w:styleId="ListContinue3">
    <w:name w:val="List Continue 3"/>
    <w:basedOn w:val="Normal"/>
    <w:semiHidden/>
    <w:rsid w:val="00C67E97"/>
    <w:pPr>
      <w:spacing w:after="120"/>
      <w:ind w:left="849"/>
    </w:pPr>
  </w:style>
  <w:style w:type="paragraph" w:styleId="ListContinue4">
    <w:name w:val="List Continue 4"/>
    <w:basedOn w:val="Normal"/>
    <w:semiHidden/>
    <w:rsid w:val="00C67E97"/>
    <w:pPr>
      <w:spacing w:after="120"/>
      <w:ind w:left="1132"/>
    </w:pPr>
  </w:style>
  <w:style w:type="paragraph" w:styleId="ListContinue5">
    <w:name w:val="List Continue 5"/>
    <w:basedOn w:val="Normal"/>
    <w:semiHidden/>
    <w:rsid w:val="00C67E97"/>
    <w:pPr>
      <w:spacing w:after="120"/>
      <w:ind w:left="1415"/>
    </w:pPr>
  </w:style>
  <w:style w:type="paragraph" w:styleId="ListNumber">
    <w:name w:val="List Number"/>
    <w:basedOn w:val="Normal"/>
    <w:semiHidden/>
    <w:rsid w:val="00C67E97"/>
    <w:pPr>
      <w:numPr>
        <w:numId w:val="22"/>
      </w:numPr>
    </w:pPr>
  </w:style>
  <w:style w:type="paragraph" w:styleId="ListNumber2">
    <w:name w:val="List Number 2"/>
    <w:basedOn w:val="Normal"/>
    <w:semiHidden/>
    <w:rsid w:val="00C67E97"/>
    <w:pPr>
      <w:numPr>
        <w:numId w:val="23"/>
      </w:numPr>
    </w:pPr>
  </w:style>
  <w:style w:type="paragraph" w:styleId="ListNumber3">
    <w:name w:val="List Number 3"/>
    <w:basedOn w:val="Normal"/>
    <w:semiHidden/>
    <w:rsid w:val="00C67E97"/>
    <w:pPr>
      <w:numPr>
        <w:numId w:val="24"/>
      </w:numPr>
    </w:pPr>
  </w:style>
  <w:style w:type="paragraph" w:styleId="ListNumber4">
    <w:name w:val="List Number 4"/>
    <w:basedOn w:val="Normal"/>
    <w:semiHidden/>
    <w:rsid w:val="00C67E97"/>
    <w:pPr>
      <w:numPr>
        <w:numId w:val="25"/>
      </w:numPr>
    </w:pPr>
  </w:style>
  <w:style w:type="paragraph" w:styleId="ListNumber5">
    <w:name w:val="List Number 5"/>
    <w:basedOn w:val="Normal"/>
    <w:semiHidden/>
    <w:rsid w:val="00C67E97"/>
    <w:pPr>
      <w:numPr>
        <w:numId w:val="26"/>
      </w:numPr>
    </w:pPr>
  </w:style>
  <w:style w:type="paragraph" w:styleId="MessageHeader">
    <w:name w:val="Message Header"/>
    <w:basedOn w:val="Normal"/>
    <w:link w:val="MessageHeaderChar"/>
    <w:semiHidden/>
    <w:rsid w:val="00C67E9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semiHidden/>
    <w:rsid w:val="00C67E97"/>
    <w:rPr>
      <w:rFonts w:ascii="Arial" w:eastAsia="Times New Roman" w:hAnsi="Arial" w:cs="Arial"/>
      <w:sz w:val="24"/>
      <w:szCs w:val="24"/>
      <w:shd w:val="pct20" w:color="auto" w:fill="auto"/>
    </w:rPr>
  </w:style>
  <w:style w:type="paragraph" w:styleId="NormalWeb">
    <w:name w:val="Normal (Web)"/>
    <w:basedOn w:val="Normal"/>
    <w:semiHidden/>
    <w:rsid w:val="00C67E97"/>
    <w:rPr>
      <w:szCs w:val="24"/>
    </w:rPr>
  </w:style>
  <w:style w:type="paragraph" w:styleId="NormalIndent">
    <w:name w:val="Normal Indent"/>
    <w:basedOn w:val="Normal"/>
    <w:semiHidden/>
    <w:rsid w:val="00C67E97"/>
    <w:pPr>
      <w:ind w:left="720"/>
    </w:pPr>
  </w:style>
  <w:style w:type="character" w:styleId="PageNumber">
    <w:name w:val="page number"/>
    <w:basedOn w:val="DefaultParagraphFont"/>
    <w:semiHidden/>
    <w:rsid w:val="00C67E97"/>
  </w:style>
  <w:style w:type="paragraph" w:styleId="Salutation">
    <w:name w:val="Salutation"/>
    <w:basedOn w:val="Normal"/>
    <w:next w:val="Normal"/>
    <w:link w:val="SalutationChar"/>
    <w:semiHidden/>
    <w:rsid w:val="00C67E97"/>
  </w:style>
  <w:style w:type="character" w:customStyle="1" w:styleId="SalutationChar">
    <w:name w:val="Salutation Char"/>
    <w:basedOn w:val="DefaultParagraphFont"/>
    <w:link w:val="Salutation"/>
    <w:semiHidden/>
    <w:rsid w:val="00C67E97"/>
    <w:rPr>
      <w:rFonts w:ascii="Calibri" w:eastAsia="Times New Roman" w:hAnsi="Calibri" w:cs="Times New Roman"/>
      <w:sz w:val="24"/>
      <w:szCs w:val="20"/>
    </w:rPr>
  </w:style>
  <w:style w:type="paragraph" w:styleId="Signature">
    <w:name w:val="Signature"/>
    <w:basedOn w:val="Normal"/>
    <w:link w:val="SignatureChar"/>
    <w:semiHidden/>
    <w:rsid w:val="00C67E97"/>
    <w:pPr>
      <w:ind w:left="4252"/>
    </w:pPr>
  </w:style>
  <w:style w:type="character" w:customStyle="1" w:styleId="SignatureChar">
    <w:name w:val="Signature Char"/>
    <w:basedOn w:val="DefaultParagraphFont"/>
    <w:link w:val="Signature"/>
    <w:semiHidden/>
    <w:rsid w:val="00C67E97"/>
    <w:rPr>
      <w:rFonts w:ascii="Calibri" w:eastAsia="Times New Roman" w:hAnsi="Calibri" w:cs="Times New Roman"/>
      <w:sz w:val="24"/>
      <w:szCs w:val="20"/>
    </w:rPr>
  </w:style>
  <w:style w:type="character" w:styleId="Strong">
    <w:name w:val="Strong"/>
    <w:basedOn w:val="DefaultParagraphFont"/>
    <w:qFormat/>
    <w:rsid w:val="00C67E97"/>
    <w:rPr>
      <w:b/>
      <w:bCs/>
    </w:rPr>
  </w:style>
  <w:style w:type="paragraph" w:styleId="Subtitle">
    <w:name w:val="Subtitle"/>
    <w:basedOn w:val="Normal"/>
    <w:link w:val="SubtitleChar"/>
    <w:qFormat/>
    <w:rsid w:val="00C67E97"/>
    <w:pPr>
      <w:spacing w:after="60"/>
      <w:jc w:val="center"/>
      <w:outlineLvl w:val="1"/>
    </w:pPr>
    <w:rPr>
      <w:rFonts w:ascii="Arial" w:hAnsi="Arial" w:cs="Arial"/>
      <w:szCs w:val="24"/>
    </w:rPr>
  </w:style>
  <w:style w:type="character" w:customStyle="1" w:styleId="SubtitleChar">
    <w:name w:val="Subtitle Char"/>
    <w:basedOn w:val="DefaultParagraphFont"/>
    <w:link w:val="Subtitle"/>
    <w:rsid w:val="00C67E97"/>
    <w:rPr>
      <w:rFonts w:ascii="Arial" w:eastAsia="Times New Roman" w:hAnsi="Arial" w:cs="Arial"/>
      <w:sz w:val="24"/>
      <w:szCs w:val="24"/>
    </w:rPr>
  </w:style>
  <w:style w:type="table" w:styleId="Table3Deffects1">
    <w:name w:val="Table 3D effects 1"/>
    <w:basedOn w:val="TableNormal"/>
    <w:semiHidden/>
    <w:rsid w:val="00C67E97"/>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67E97"/>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67E97"/>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67E97"/>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67E97"/>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67E97"/>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67E97"/>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67E97"/>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67E97"/>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67E97"/>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67E97"/>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67E97"/>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67E97"/>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67E97"/>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67E97"/>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67E97"/>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67E97"/>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67E9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C67E97"/>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67E97"/>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67E97"/>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67E97"/>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67E97"/>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67E97"/>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67E97"/>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67E97"/>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67E97"/>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67E97"/>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67E97"/>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67E97"/>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67E97"/>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67E97"/>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67E97"/>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67E97"/>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67E97"/>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67E97"/>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67E97"/>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67E97"/>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67E97"/>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67E97"/>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67E9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C67E97"/>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67E97"/>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67E97"/>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67E9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67E97"/>
    <w:rPr>
      <w:rFonts w:ascii="Arial" w:eastAsia="Times New Roman" w:hAnsi="Arial" w:cs="Arial"/>
      <w:b/>
      <w:bCs/>
      <w:kern w:val="28"/>
      <w:sz w:val="32"/>
      <w:szCs w:val="32"/>
    </w:rPr>
  </w:style>
  <w:style w:type="paragraph" w:styleId="NoteHeading0">
    <w:name w:val="Note Heading"/>
    <w:basedOn w:val="Normal"/>
    <w:next w:val="Normal"/>
    <w:link w:val="NoteHeadingChar"/>
    <w:uiPriority w:val="99"/>
    <w:rsid w:val="00C67E97"/>
    <w:pPr>
      <w:spacing w:before="120"/>
    </w:pPr>
    <w:rPr>
      <w:b/>
      <w:sz w:val="16"/>
    </w:rPr>
  </w:style>
  <w:style w:type="character" w:customStyle="1" w:styleId="NoteHeadingChar">
    <w:name w:val="Note Heading Char"/>
    <w:basedOn w:val="DefaultParagraphFont"/>
    <w:link w:val="NoteHeading0"/>
    <w:uiPriority w:val="99"/>
    <w:rsid w:val="00C67E97"/>
    <w:rPr>
      <w:rFonts w:ascii="Calibri" w:eastAsia="Times New Roman" w:hAnsi="Calibri" w:cs="Times New Roman"/>
      <w:b/>
      <w:sz w:val="16"/>
      <w:szCs w:val="20"/>
    </w:rPr>
  </w:style>
  <w:style w:type="paragraph" w:customStyle="1" w:styleId="TableNumber">
    <w:name w:val="Table Number"/>
    <w:basedOn w:val="TableName"/>
    <w:next w:val="TableName"/>
    <w:rsid w:val="00C67E97"/>
    <w:pPr>
      <w:spacing w:before="60" w:after="0"/>
    </w:pPr>
  </w:style>
  <w:style w:type="paragraph" w:customStyle="1" w:styleId="TableTextIndent">
    <w:name w:val="Table Text Indent"/>
    <w:rsid w:val="00C67E97"/>
    <w:pPr>
      <w:numPr>
        <w:numId w:val="27"/>
      </w:numPr>
      <w:spacing w:before="60"/>
    </w:pPr>
    <w:rPr>
      <w:rFonts w:eastAsia="Times New Roman"/>
      <w:szCs w:val="24"/>
      <w:lang w:eastAsia="en-US"/>
    </w:rPr>
  </w:style>
  <w:style w:type="character" w:customStyle="1" w:styleId="CharChar10">
    <w:name w:val="Char Char10"/>
    <w:basedOn w:val="DefaultParagraphFont"/>
    <w:rsid w:val="00C67E97"/>
    <w:rPr>
      <w:rFonts w:ascii="Arial" w:hAnsi="Arial" w:cs="Arial"/>
      <w:b/>
      <w:bCs/>
      <w:sz w:val="24"/>
      <w:szCs w:val="26"/>
      <w:lang w:val="en-AU" w:eastAsia="en-AU" w:bidi="ar-SA"/>
    </w:rPr>
  </w:style>
  <w:style w:type="paragraph" w:customStyle="1" w:styleId="TableHeadingCentre-BP4">
    <w:name w:val="Table Heading Centre - BP4"/>
    <w:basedOn w:val="Normal"/>
    <w:rsid w:val="00C67E97"/>
    <w:pPr>
      <w:keepNext/>
      <w:jc w:val="center"/>
    </w:pPr>
    <w:rPr>
      <w:b/>
      <w:sz w:val="18"/>
    </w:rPr>
  </w:style>
  <w:style w:type="character" w:customStyle="1" w:styleId="CharChar4">
    <w:name w:val="Char Char4"/>
    <w:basedOn w:val="DefaultParagraphFont"/>
    <w:rsid w:val="00C67E97"/>
    <w:rPr>
      <w:sz w:val="24"/>
      <w:szCs w:val="24"/>
      <w:lang w:val="en-AU" w:eastAsia="en-AU" w:bidi="ar-SA"/>
    </w:rPr>
  </w:style>
  <w:style w:type="paragraph" w:customStyle="1" w:styleId="TableTextRightBold-BP4">
    <w:name w:val="Table Text Right Bold - BP4"/>
    <w:basedOn w:val="Normal"/>
    <w:rsid w:val="00C67E97"/>
    <w:pPr>
      <w:jc w:val="right"/>
    </w:pPr>
    <w:rPr>
      <w:b/>
      <w:sz w:val="18"/>
    </w:rPr>
  </w:style>
  <w:style w:type="paragraph" w:customStyle="1" w:styleId="TableHeadingRight-BP4">
    <w:name w:val="Table Heading Right - BP4"/>
    <w:basedOn w:val="Normal"/>
    <w:rsid w:val="00C67E97"/>
    <w:pPr>
      <w:keepNext/>
      <w:jc w:val="right"/>
    </w:pPr>
    <w:rPr>
      <w:b/>
      <w:sz w:val="18"/>
      <w:szCs w:val="24"/>
    </w:rPr>
  </w:style>
  <w:style w:type="character" w:customStyle="1" w:styleId="NoteTextChar">
    <w:name w:val="Note Text Char"/>
    <w:basedOn w:val="DefaultParagraphFont"/>
    <w:link w:val="NoteText"/>
    <w:rsid w:val="00C67E97"/>
    <w:rPr>
      <w:rFonts w:ascii="Calibri" w:eastAsia="Times New Roman" w:hAnsi="Calibri" w:cs="Times New Roman"/>
      <w:iCs/>
      <w:sz w:val="16"/>
      <w:szCs w:val="20"/>
    </w:rPr>
  </w:style>
  <w:style w:type="paragraph" w:customStyle="1" w:styleId="TableHeadingLeft-BP4">
    <w:name w:val="Table Heading Left - BP4"/>
    <w:basedOn w:val="Normal"/>
    <w:link w:val="TableHeadingLeft-BP4CharChar"/>
    <w:rsid w:val="00C67E97"/>
    <w:pPr>
      <w:keepNext/>
    </w:pPr>
    <w:rPr>
      <w:b/>
      <w:sz w:val="18"/>
      <w:lang w:eastAsia="en-AU"/>
    </w:rPr>
  </w:style>
  <w:style w:type="character" w:customStyle="1" w:styleId="TableHeadingLeft-BP4CharChar">
    <w:name w:val="Table Heading Left - BP4 Char Char"/>
    <w:basedOn w:val="DefaultParagraphFont"/>
    <w:link w:val="TableHeadingLeft-BP4"/>
    <w:rsid w:val="00C67E97"/>
    <w:rPr>
      <w:rFonts w:ascii="Calibri" w:eastAsia="Times New Roman" w:hAnsi="Calibri" w:cs="Times New Roman"/>
      <w:b/>
      <w:sz w:val="18"/>
      <w:szCs w:val="20"/>
      <w:lang w:eastAsia="en-AU"/>
    </w:rPr>
  </w:style>
  <w:style w:type="paragraph" w:customStyle="1" w:styleId="TableTextRight-BP4">
    <w:name w:val="Table Text Right - BP4"/>
    <w:basedOn w:val="Normal"/>
    <w:rsid w:val="00C67E97"/>
    <w:pPr>
      <w:jc w:val="right"/>
    </w:pPr>
    <w:rPr>
      <w:sz w:val="18"/>
    </w:rPr>
  </w:style>
  <w:style w:type="paragraph" w:customStyle="1" w:styleId="TableTextLeftBold-BP4">
    <w:name w:val="Table Text Left Bold - BP4"/>
    <w:basedOn w:val="Normal"/>
    <w:link w:val="TableTextLeftBold-BP4CharChar"/>
    <w:rsid w:val="00C67E97"/>
    <w:pPr>
      <w:ind w:left="142" w:hanging="142"/>
    </w:pPr>
    <w:rPr>
      <w:b/>
      <w:sz w:val="18"/>
    </w:rPr>
  </w:style>
  <w:style w:type="character" w:customStyle="1" w:styleId="TableTextLeftBold-BP4CharChar">
    <w:name w:val="Table Text Left Bold - BP4 Char Char"/>
    <w:basedOn w:val="DefaultParagraphFont"/>
    <w:link w:val="TableTextLeftBold-BP4"/>
    <w:rsid w:val="00C67E97"/>
    <w:rPr>
      <w:rFonts w:ascii="Calibri" w:eastAsia="Times New Roman" w:hAnsi="Calibri" w:cs="Times New Roman"/>
      <w:b/>
      <w:sz w:val="18"/>
      <w:szCs w:val="20"/>
    </w:rPr>
  </w:style>
  <w:style w:type="paragraph" w:customStyle="1" w:styleId="TableTextLeft-BP4">
    <w:name w:val="Table Text Left - BP4"/>
    <w:basedOn w:val="Normal"/>
    <w:rsid w:val="00C67E97"/>
    <w:pPr>
      <w:ind w:left="142" w:hanging="142"/>
    </w:pPr>
    <w:rPr>
      <w:sz w:val="18"/>
      <w:szCs w:val="18"/>
    </w:rPr>
  </w:style>
  <w:style w:type="paragraph" w:customStyle="1" w:styleId="TableNumbersRight-BP4">
    <w:name w:val="Table Numbers Right - BP4"/>
    <w:basedOn w:val="Normal"/>
    <w:rsid w:val="00C67E97"/>
    <w:pPr>
      <w:jc w:val="right"/>
    </w:pPr>
    <w:rPr>
      <w:sz w:val="18"/>
    </w:rPr>
  </w:style>
  <w:style w:type="character" w:customStyle="1" w:styleId="Heading3TopofPageChar">
    <w:name w:val="Heading 3 Top of Page Char"/>
    <w:basedOn w:val="CharChar10"/>
    <w:link w:val="Heading3TopofPage"/>
    <w:locked/>
    <w:rsid w:val="00C67E97"/>
    <w:rPr>
      <w:rFonts w:eastAsia="Times New Roman" w:cs="Times New Roman"/>
      <w:b/>
      <w:bCs/>
    </w:rPr>
  </w:style>
  <w:style w:type="paragraph" w:customStyle="1" w:styleId="AITableText">
    <w:name w:val="AI Table Text"/>
    <w:basedOn w:val="Normal"/>
    <w:link w:val="AITableTextChar"/>
    <w:rsid w:val="00C67E97"/>
    <w:pPr>
      <w:jc w:val="right"/>
    </w:pPr>
    <w:rPr>
      <w:sz w:val="20"/>
      <w:szCs w:val="24"/>
    </w:rPr>
  </w:style>
  <w:style w:type="character" w:customStyle="1" w:styleId="AITableTextChar">
    <w:name w:val="AI Table Text Char"/>
    <w:basedOn w:val="DefaultParagraphFont"/>
    <w:link w:val="AITableText"/>
    <w:rsid w:val="00C67E97"/>
    <w:rPr>
      <w:rFonts w:ascii="Calibri" w:eastAsia="Times New Roman" w:hAnsi="Calibri" w:cs="Times New Roman"/>
      <w:sz w:val="20"/>
      <w:szCs w:val="24"/>
    </w:rPr>
  </w:style>
  <w:style w:type="paragraph" w:customStyle="1" w:styleId="AIIndent">
    <w:name w:val="AI Indent"/>
    <w:basedOn w:val="Normal"/>
    <w:rsid w:val="00C67E97"/>
    <w:pPr>
      <w:tabs>
        <w:tab w:val="num" w:pos="360"/>
      </w:tabs>
      <w:ind w:left="357" w:hanging="357"/>
    </w:pPr>
    <w:rPr>
      <w:sz w:val="20"/>
    </w:rPr>
  </w:style>
  <w:style w:type="character" w:customStyle="1" w:styleId="AINotesChar">
    <w:name w:val="AI Notes Char"/>
    <w:basedOn w:val="DefaultParagraphFont"/>
    <w:link w:val="AINotes"/>
    <w:rsid w:val="00C67E97"/>
    <w:rPr>
      <w:rFonts w:eastAsia="Times New Roman"/>
      <w:sz w:val="16"/>
      <w:lang w:eastAsia="en-US"/>
    </w:rPr>
  </w:style>
  <w:style w:type="paragraph" w:customStyle="1" w:styleId="TableHeadingCentre-BP3">
    <w:name w:val="Table Heading Centre - BP3"/>
    <w:basedOn w:val="TableHeadingCentre-BP4"/>
    <w:rsid w:val="00C67E97"/>
    <w:rPr>
      <w:sz w:val="20"/>
    </w:rPr>
  </w:style>
  <w:style w:type="paragraph" w:customStyle="1" w:styleId="TableHeadingLeft-BP3">
    <w:name w:val="Table Heading Left - BP3"/>
    <w:basedOn w:val="TableHeadingLeft-BP4"/>
    <w:rsid w:val="00C67E97"/>
    <w:rPr>
      <w:sz w:val="20"/>
    </w:rPr>
  </w:style>
  <w:style w:type="paragraph" w:customStyle="1" w:styleId="TableHeadingRight-BP3">
    <w:name w:val="Table Heading Right - BP3"/>
    <w:basedOn w:val="TableHeadingRight-BP4"/>
    <w:rsid w:val="00C67E97"/>
    <w:rPr>
      <w:sz w:val="20"/>
    </w:rPr>
  </w:style>
  <w:style w:type="paragraph" w:customStyle="1" w:styleId="TableNumbersRight-BP3">
    <w:name w:val="Table Numbers Right - BP3"/>
    <w:basedOn w:val="TableNumbersRight-BP4"/>
    <w:rsid w:val="00C67E97"/>
    <w:rPr>
      <w:sz w:val="20"/>
    </w:rPr>
  </w:style>
  <w:style w:type="paragraph" w:customStyle="1" w:styleId="TableTextLeft-BP3">
    <w:name w:val="Table Text Left - BP3"/>
    <w:basedOn w:val="TableTextLeft-BP4"/>
    <w:rsid w:val="00C67E97"/>
    <w:rPr>
      <w:sz w:val="20"/>
    </w:rPr>
  </w:style>
  <w:style w:type="paragraph" w:customStyle="1" w:styleId="TableTextLeftBold-BP3">
    <w:name w:val="Table Text Left Bold - BP3"/>
    <w:basedOn w:val="TableTextLeftBold-BP4"/>
    <w:rsid w:val="00C67E97"/>
    <w:rPr>
      <w:sz w:val="20"/>
    </w:rPr>
  </w:style>
  <w:style w:type="paragraph" w:customStyle="1" w:styleId="TableTextRight-BP3">
    <w:name w:val="Table Text Right - BP3"/>
    <w:basedOn w:val="TableTextRight-BP4"/>
    <w:rsid w:val="00C67E97"/>
    <w:rPr>
      <w:sz w:val="20"/>
    </w:rPr>
  </w:style>
  <w:style w:type="paragraph" w:customStyle="1" w:styleId="TableTextRightBold-BP3">
    <w:name w:val="Table Text Right Bold - BP3"/>
    <w:basedOn w:val="TableTextRightBold-BP4"/>
    <w:rsid w:val="00C67E97"/>
  </w:style>
  <w:style w:type="paragraph" w:customStyle="1" w:styleId="TableTextLeft-BP4FS">
    <w:name w:val="Table Text Left - BP4 FS"/>
    <w:basedOn w:val="TableTextLeft-BP4"/>
    <w:rsid w:val="00C67E97"/>
    <w:pPr>
      <w:ind w:left="227"/>
    </w:pPr>
  </w:style>
  <w:style w:type="paragraph" w:customStyle="1" w:styleId="Normal0">
    <w:name w:val="[Normal]"/>
    <w:rsid w:val="00C67E97"/>
    <w:pPr>
      <w:widowControl w:val="0"/>
      <w:autoSpaceDE w:val="0"/>
      <w:autoSpaceDN w:val="0"/>
      <w:adjustRightInd w:val="0"/>
    </w:pPr>
    <w:rPr>
      <w:rFonts w:ascii="Arial" w:eastAsia="Times New Roman" w:hAnsi="Arial" w:cs="Arial"/>
      <w:sz w:val="24"/>
      <w:szCs w:val="24"/>
    </w:rPr>
  </w:style>
  <w:style w:type="paragraph" w:customStyle="1" w:styleId="TableHeadingCentre-BP410pt">
    <w:name w:val="Table Heading Centre - BP4 10pt"/>
    <w:basedOn w:val="TableHeadingCentre-BP4"/>
    <w:rsid w:val="00C67E97"/>
    <w:rPr>
      <w:sz w:val="20"/>
    </w:rPr>
  </w:style>
  <w:style w:type="paragraph" w:customStyle="1" w:styleId="TableHeadingLeft-BP410pt">
    <w:name w:val="Table Heading Left - BP4 10pt"/>
    <w:basedOn w:val="TableHeadingLeft-BP4"/>
    <w:rsid w:val="00C67E97"/>
    <w:rPr>
      <w:sz w:val="20"/>
    </w:rPr>
  </w:style>
  <w:style w:type="paragraph" w:customStyle="1" w:styleId="TableHeadingRight-BP410pt">
    <w:name w:val="Table Heading Right - BP4 10pt"/>
    <w:basedOn w:val="TableHeadingRight-BP4"/>
    <w:rsid w:val="00C67E97"/>
    <w:rPr>
      <w:sz w:val="20"/>
    </w:rPr>
  </w:style>
  <w:style w:type="paragraph" w:customStyle="1" w:styleId="TableTextLeft-BP410pt">
    <w:name w:val="Table Text Left - BP4 10pt"/>
    <w:basedOn w:val="TableTextLeft-BP4"/>
    <w:rsid w:val="00C67E97"/>
    <w:rPr>
      <w:sz w:val="20"/>
    </w:rPr>
  </w:style>
  <w:style w:type="paragraph" w:customStyle="1" w:styleId="TableTextLeftBold-BP410pt">
    <w:name w:val="Table Text Left Bold - BP4 10pt"/>
    <w:basedOn w:val="TableTextLeftBold-BP4"/>
    <w:rsid w:val="00C67E97"/>
    <w:rPr>
      <w:sz w:val="20"/>
    </w:rPr>
  </w:style>
  <w:style w:type="paragraph" w:customStyle="1" w:styleId="TableTextRight-BP410pt">
    <w:name w:val="Table Text Right - BP4 10pt"/>
    <w:basedOn w:val="TableTextRight-BP4"/>
    <w:rsid w:val="00C67E97"/>
    <w:rPr>
      <w:sz w:val="20"/>
    </w:rPr>
  </w:style>
  <w:style w:type="paragraph" w:customStyle="1" w:styleId="TableTextRightBold-BP410pt">
    <w:name w:val="Table Text Right Bold - BP4 10pt"/>
    <w:basedOn w:val="TableTextRightBold-BP4"/>
    <w:rsid w:val="00C67E97"/>
    <w:rPr>
      <w:sz w:val="20"/>
    </w:rPr>
  </w:style>
  <w:style w:type="paragraph" w:customStyle="1" w:styleId="TableText">
    <w:name w:val="TableText"/>
    <w:basedOn w:val="BodyText"/>
    <w:rsid w:val="00C67E97"/>
    <w:pPr>
      <w:keepNext w:val="0"/>
      <w:keepLines w:val="0"/>
      <w:tabs>
        <w:tab w:val="num" w:pos="1797"/>
      </w:tabs>
      <w:spacing w:before="0"/>
      <w:jc w:val="left"/>
    </w:pPr>
    <w:rPr>
      <w:rFonts w:ascii="Arial" w:hAnsi="Arial" w:cs="Arial"/>
      <w:sz w:val="22"/>
      <w:szCs w:val="22"/>
      <w:lang w:eastAsia="en-AU"/>
    </w:rPr>
  </w:style>
  <w:style w:type="paragraph" w:customStyle="1" w:styleId="Heading10">
    <w:name w:val="Heading 10"/>
    <w:basedOn w:val="BodyText"/>
    <w:rsid w:val="00C67E97"/>
    <w:pPr>
      <w:keepNext w:val="0"/>
      <w:keepLines w:val="0"/>
      <w:tabs>
        <w:tab w:val="num" w:pos="1797"/>
      </w:tabs>
      <w:spacing w:after="0"/>
    </w:pPr>
    <w:rPr>
      <w:szCs w:val="24"/>
      <w:u w:val="single"/>
      <w:lang w:eastAsia="en-AU"/>
    </w:rPr>
  </w:style>
  <w:style w:type="paragraph" w:customStyle="1" w:styleId="TableTextLeftNoIndent">
    <w:name w:val="Table Text Left No Indent"/>
    <w:basedOn w:val="TableTextLeft"/>
    <w:rsid w:val="00C67E97"/>
    <w:pPr>
      <w:autoSpaceDE w:val="0"/>
      <w:autoSpaceDN w:val="0"/>
      <w:adjustRightInd w:val="0"/>
      <w:spacing w:before="40" w:after="40"/>
      <w:ind w:left="0" w:firstLine="0"/>
    </w:pPr>
    <w:rPr>
      <w:szCs w:val="20"/>
      <w:lang w:eastAsia="en-AU"/>
    </w:rPr>
  </w:style>
  <w:style w:type="paragraph" w:customStyle="1" w:styleId="TableTextLeftBoldparassmaller">
    <w:name w:val="Table Text Left Bold paras smaller"/>
    <w:basedOn w:val="TableTextLeftBold"/>
    <w:rsid w:val="00C67E97"/>
    <w:pPr>
      <w:keepNext/>
      <w:spacing w:before="20" w:after="20"/>
      <w:ind w:left="164" w:hanging="164"/>
    </w:pPr>
    <w:rPr>
      <w:bCs/>
      <w:sz w:val="18"/>
      <w:szCs w:val="18"/>
    </w:rPr>
  </w:style>
  <w:style w:type="paragraph" w:customStyle="1" w:styleId="aNoteText">
    <w:name w:val="a) Note Text"/>
    <w:basedOn w:val="NoteText"/>
    <w:rsid w:val="00C67E97"/>
    <w:pPr>
      <w:tabs>
        <w:tab w:val="num" w:pos="1797"/>
      </w:tabs>
      <w:ind w:left="1797" w:hanging="360"/>
    </w:pPr>
    <w:rPr>
      <w:iCs w:val="0"/>
      <w:szCs w:val="16"/>
      <w:lang w:eastAsia="en-AU"/>
    </w:rPr>
  </w:style>
  <w:style w:type="paragraph" w:customStyle="1" w:styleId="NoteTexta">
    <w:name w:val="Note Text a)"/>
    <w:basedOn w:val="NoteText"/>
    <w:rsid w:val="00C67E97"/>
    <w:pPr>
      <w:tabs>
        <w:tab w:val="num" w:pos="2016"/>
      </w:tabs>
      <w:ind w:left="2016" w:hanging="360"/>
    </w:pPr>
    <w:rPr>
      <w:iCs w:val="0"/>
      <w:szCs w:val="16"/>
      <w:lang w:eastAsia="en-AU"/>
    </w:rPr>
  </w:style>
  <w:style w:type="paragraph" w:customStyle="1" w:styleId="NoteTexta0">
    <w:name w:val="Note Text a"/>
    <w:basedOn w:val="NoteText"/>
    <w:rsid w:val="00C67E97"/>
    <w:pPr>
      <w:tabs>
        <w:tab w:val="num" w:pos="360"/>
      </w:tabs>
      <w:ind w:left="357" w:hanging="357"/>
    </w:pPr>
    <w:rPr>
      <w:iCs w:val="0"/>
      <w:szCs w:val="16"/>
      <w:lang w:eastAsia="en-AU"/>
    </w:rPr>
  </w:style>
  <w:style w:type="character" w:styleId="FootnoteReference">
    <w:name w:val="footnote reference"/>
    <w:basedOn w:val="DefaultParagraphFont"/>
    <w:rsid w:val="00C67E97"/>
    <w:rPr>
      <w:rFonts w:ascii="Calibri" w:hAnsi="Calibri"/>
      <w:vertAlign w:val="superscript"/>
    </w:rPr>
  </w:style>
  <w:style w:type="paragraph" w:customStyle="1" w:styleId="1n">
    <w:name w:val="1. n"/>
    <w:basedOn w:val="n"/>
    <w:rsid w:val="00C67E97"/>
    <w:rPr>
      <w:iCs/>
      <w:szCs w:val="20"/>
    </w:rPr>
  </w:style>
  <w:style w:type="paragraph" w:customStyle="1" w:styleId="an">
    <w:name w:val="a. n"/>
    <w:basedOn w:val="n"/>
    <w:rsid w:val="00C67E97"/>
    <w:rPr>
      <w:iCs/>
      <w:szCs w:val="20"/>
    </w:rPr>
  </w:style>
  <w:style w:type="paragraph" w:customStyle="1" w:styleId="Notes-Graph">
    <w:name w:val="Notes - Graph"/>
    <w:basedOn w:val="n"/>
    <w:rsid w:val="00C67E97"/>
    <w:pPr>
      <w:spacing w:before="20" w:after="120"/>
    </w:pPr>
    <w:rPr>
      <w:szCs w:val="16"/>
    </w:rPr>
  </w:style>
  <w:style w:type="paragraph" w:customStyle="1" w:styleId="AIBlurb0">
    <w:name w:val="AI Blurb"/>
    <w:basedOn w:val="Normal"/>
    <w:rsid w:val="00C67E97"/>
    <w:pPr>
      <w:ind w:left="380"/>
      <w:jc w:val="both"/>
    </w:pPr>
    <w:rPr>
      <w:sz w:val="20"/>
    </w:rPr>
  </w:style>
  <w:style w:type="character" w:customStyle="1" w:styleId="AIBlurbChar">
    <w:name w:val="AI Blurb Char"/>
    <w:basedOn w:val="DefaultParagraphFont"/>
    <w:rsid w:val="00C67E97"/>
    <w:rPr>
      <w:rFonts w:cs="Times New Roman"/>
    </w:rPr>
  </w:style>
  <w:style w:type="paragraph" w:customStyle="1" w:styleId="TableTextNumbersBold">
    <w:name w:val="Table Text Numbers Bold"/>
    <w:basedOn w:val="Normal"/>
    <w:rsid w:val="00C67E97"/>
    <w:pPr>
      <w:jc w:val="right"/>
    </w:pPr>
    <w:rPr>
      <w:b/>
      <w:bCs/>
      <w:sz w:val="18"/>
      <w:szCs w:val="18"/>
    </w:rPr>
  </w:style>
  <w:style w:type="paragraph" w:customStyle="1" w:styleId="TableHeading">
    <w:name w:val="Table Heading"/>
    <w:basedOn w:val="Normal"/>
    <w:rsid w:val="00C67E97"/>
    <w:pPr>
      <w:spacing w:after="120"/>
      <w:jc w:val="center"/>
    </w:pPr>
    <w:rPr>
      <w:rFonts w:ascii="Arial" w:hAnsi="Arial" w:cs="Arial"/>
      <w:b/>
      <w:bCs/>
    </w:rPr>
  </w:style>
  <w:style w:type="paragraph" w:customStyle="1" w:styleId="TableTextNumbersCentred">
    <w:name w:val="Table Text Numbers Centred"/>
    <w:basedOn w:val="Normal"/>
    <w:rsid w:val="00C67E97"/>
    <w:pPr>
      <w:jc w:val="center"/>
    </w:pPr>
    <w:rPr>
      <w:sz w:val="18"/>
      <w:szCs w:val="18"/>
    </w:rPr>
  </w:style>
  <w:style w:type="paragraph" w:styleId="FootnoteText">
    <w:name w:val="footnote text"/>
    <w:basedOn w:val="Normal"/>
    <w:link w:val="FootnoteTextChar"/>
    <w:rsid w:val="00C67E97"/>
    <w:rPr>
      <w:sz w:val="20"/>
    </w:rPr>
  </w:style>
  <w:style w:type="character" w:customStyle="1" w:styleId="FootnoteTextChar">
    <w:name w:val="Footnote Text Char"/>
    <w:basedOn w:val="DefaultParagraphFont"/>
    <w:link w:val="FootnoteText"/>
    <w:rsid w:val="00C67E97"/>
    <w:rPr>
      <w:rFonts w:ascii="Calibri" w:eastAsia="Times New Roman" w:hAnsi="Calibri" w:cs="Times New Roman"/>
      <w:sz w:val="20"/>
      <w:szCs w:val="20"/>
    </w:rPr>
  </w:style>
  <w:style w:type="paragraph" w:customStyle="1" w:styleId="TableFootnoteText">
    <w:name w:val="Table Footnote Text"/>
    <w:basedOn w:val="FootnoteText"/>
    <w:rsid w:val="00C67E97"/>
    <w:pPr>
      <w:keepNext/>
      <w:tabs>
        <w:tab w:val="left" w:pos="426"/>
      </w:tabs>
      <w:spacing w:after="120"/>
      <w:jc w:val="both"/>
    </w:pPr>
    <w:rPr>
      <w:i/>
      <w:iCs/>
      <w:sz w:val="16"/>
      <w:szCs w:val="16"/>
    </w:rPr>
  </w:style>
  <w:style w:type="paragraph" w:customStyle="1" w:styleId="TableTextNumbers">
    <w:name w:val="Table Text Numbers"/>
    <w:basedOn w:val="Normal"/>
    <w:rsid w:val="00C67E97"/>
    <w:pPr>
      <w:spacing w:before="60" w:after="60"/>
      <w:jc w:val="right"/>
    </w:pPr>
    <w:rPr>
      <w:sz w:val="18"/>
      <w:szCs w:val="18"/>
    </w:rPr>
  </w:style>
  <w:style w:type="paragraph" w:customStyle="1" w:styleId="Chapters">
    <w:name w:val="Chapters"/>
    <w:basedOn w:val="Normal"/>
    <w:rsid w:val="00C67E97"/>
    <w:pPr>
      <w:tabs>
        <w:tab w:val="left" w:pos="284"/>
        <w:tab w:val="left" w:pos="1985"/>
        <w:tab w:val="left" w:pos="7797"/>
        <w:tab w:val="right" w:pos="8505"/>
      </w:tabs>
    </w:pPr>
    <w:rPr>
      <w:rFonts w:ascii="Arial" w:hAnsi="Arial" w:cs="Arial"/>
      <w:b/>
      <w:bCs/>
      <w:sz w:val="28"/>
      <w:szCs w:val="28"/>
    </w:rPr>
  </w:style>
  <w:style w:type="paragraph" w:styleId="DocumentMap">
    <w:name w:val="Document Map"/>
    <w:basedOn w:val="Normal"/>
    <w:link w:val="DocumentMapChar"/>
    <w:rsid w:val="00C67E97"/>
    <w:rPr>
      <w:rFonts w:ascii="Tahoma" w:hAnsi="Tahoma" w:cs="Tahoma"/>
      <w:color w:val="FFFFFF"/>
      <w:sz w:val="20"/>
      <w:shd w:val="clear" w:color="auto" w:fill="000080"/>
    </w:rPr>
  </w:style>
  <w:style w:type="character" w:customStyle="1" w:styleId="DocumentMapChar">
    <w:name w:val="Document Map Char"/>
    <w:basedOn w:val="DefaultParagraphFont"/>
    <w:link w:val="DocumentMap"/>
    <w:rsid w:val="00C67E97"/>
    <w:rPr>
      <w:rFonts w:ascii="Tahoma" w:eastAsia="Times New Roman" w:hAnsi="Tahoma" w:cs="Tahoma"/>
      <w:color w:val="FFFFFF"/>
      <w:sz w:val="20"/>
      <w:szCs w:val="20"/>
    </w:rPr>
  </w:style>
  <w:style w:type="paragraph" w:styleId="EndnoteText">
    <w:name w:val="endnote text"/>
    <w:basedOn w:val="Normal"/>
    <w:link w:val="EndnoteTextChar"/>
    <w:rsid w:val="00C67E97"/>
    <w:rPr>
      <w:sz w:val="20"/>
    </w:rPr>
  </w:style>
  <w:style w:type="character" w:customStyle="1" w:styleId="EndnoteTextChar">
    <w:name w:val="Endnote Text Char"/>
    <w:basedOn w:val="DefaultParagraphFont"/>
    <w:link w:val="EndnoteText"/>
    <w:rsid w:val="00C67E97"/>
    <w:rPr>
      <w:rFonts w:ascii="Calibri" w:eastAsia="Times New Roman" w:hAnsi="Calibri" w:cs="Times New Roman"/>
      <w:sz w:val="20"/>
      <w:szCs w:val="20"/>
    </w:rPr>
  </w:style>
  <w:style w:type="paragraph" w:customStyle="1" w:styleId="Footnote">
    <w:name w:val="Footnote"/>
    <w:basedOn w:val="Normal"/>
    <w:rsid w:val="00C67E97"/>
    <w:rPr>
      <w:position w:val="6"/>
    </w:rPr>
  </w:style>
  <w:style w:type="paragraph" w:customStyle="1" w:styleId="MajorHeading">
    <w:name w:val="Major Heading"/>
    <w:basedOn w:val="Normal"/>
    <w:rsid w:val="00C67E97"/>
    <w:pPr>
      <w:pBdr>
        <w:bottom w:val="single" w:sz="18" w:space="1" w:color="auto"/>
      </w:pBdr>
      <w:tabs>
        <w:tab w:val="right" w:pos="9072"/>
      </w:tabs>
      <w:spacing w:before="240" w:after="240"/>
    </w:pPr>
    <w:rPr>
      <w:rFonts w:ascii="Arial" w:hAnsi="Arial" w:cs="Arial"/>
      <w:b/>
      <w:bCs/>
      <w:sz w:val="28"/>
      <w:szCs w:val="28"/>
    </w:rPr>
  </w:style>
  <w:style w:type="paragraph" w:customStyle="1" w:styleId="Sub-Headings">
    <w:name w:val="Sub-Headings"/>
    <w:basedOn w:val="Normal"/>
    <w:rsid w:val="00C67E97"/>
    <w:pPr>
      <w:keepNext/>
      <w:spacing w:before="240" w:after="120"/>
    </w:pPr>
    <w:rPr>
      <w:rFonts w:ascii="Arial" w:hAnsi="Arial" w:cs="Arial"/>
      <w:i/>
      <w:iCs/>
    </w:rPr>
  </w:style>
  <w:style w:type="paragraph" w:styleId="TableofFigures">
    <w:name w:val="table of figures"/>
    <w:basedOn w:val="Normal"/>
    <w:next w:val="Normal"/>
    <w:rsid w:val="00C67E97"/>
  </w:style>
  <w:style w:type="paragraph" w:customStyle="1" w:styleId="TableText1">
    <w:name w:val="Table Text 1"/>
    <w:basedOn w:val="Normal"/>
    <w:rsid w:val="00C67E97"/>
    <w:rPr>
      <w:sz w:val="18"/>
      <w:szCs w:val="18"/>
    </w:rPr>
  </w:style>
  <w:style w:type="paragraph" w:customStyle="1" w:styleId="TableTextHeading1">
    <w:name w:val="Table Text Heading 1"/>
    <w:basedOn w:val="Normal"/>
    <w:rsid w:val="00C67E97"/>
    <w:pPr>
      <w:jc w:val="right"/>
    </w:pPr>
    <w:rPr>
      <w:b/>
      <w:bCs/>
      <w:sz w:val="18"/>
      <w:szCs w:val="18"/>
    </w:rPr>
  </w:style>
  <w:style w:type="paragraph" w:customStyle="1" w:styleId="TableTextHeading2">
    <w:name w:val="Table Text Heading 2"/>
    <w:basedOn w:val="Normal"/>
    <w:rsid w:val="00C67E97"/>
    <w:rPr>
      <w:b/>
      <w:bCs/>
      <w:sz w:val="18"/>
      <w:szCs w:val="18"/>
    </w:rPr>
  </w:style>
  <w:style w:type="paragraph" w:customStyle="1" w:styleId="TableTextTotals">
    <w:name w:val="Table Text Totals"/>
    <w:basedOn w:val="Normal"/>
    <w:rsid w:val="00C67E97"/>
    <w:pPr>
      <w:jc w:val="right"/>
    </w:pPr>
    <w:rPr>
      <w:b/>
      <w:bCs/>
      <w:sz w:val="18"/>
      <w:szCs w:val="18"/>
    </w:rPr>
  </w:style>
  <w:style w:type="paragraph" w:customStyle="1" w:styleId="Normal12">
    <w:name w:val="Normal+12"/>
    <w:basedOn w:val="Normal"/>
    <w:next w:val="Normal"/>
    <w:rsid w:val="00C67E97"/>
  </w:style>
  <w:style w:type="paragraph" w:customStyle="1" w:styleId="TableHeading0">
    <w:name w:val="TableHeading"/>
    <w:basedOn w:val="Normal"/>
    <w:rsid w:val="00C67E97"/>
    <w:rPr>
      <w:rFonts w:ascii="Arial" w:hAnsi="Arial" w:cs="Arial"/>
      <w:b/>
      <w:bCs/>
      <w:sz w:val="22"/>
      <w:szCs w:val="22"/>
    </w:rPr>
  </w:style>
  <w:style w:type="paragraph" w:customStyle="1" w:styleId="Normal2">
    <w:name w:val="Normal+2"/>
    <w:basedOn w:val="Normal"/>
    <w:next w:val="Normal"/>
    <w:rsid w:val="00C67E97"/>
  </w:style>
  <w:style w:type="paragraph" w:customStyle="1" w:styleId="xl23">
    <w:name w:val="xl23"/>
    <w:basedOn w:val="Normal"/>
    <w:rsid w:val="00C67E97"/>
    <w:pPr>
      <w:spacing w:before="100" w:after="100"/>
    </w:pPr>
    <w:rPr>
      <w:sz w:val="16"/>
      <w:szCs w:val="16"/>
    </w:rPr>
  </w:style>
  <w:style w:type="paragraph" w:customStyle="1" w:styleId="xl24">
    <w:name w:val="xl24"/>
    <w:basedOn w:val="Normal"/>
    <w:rsid w:val="00C67E97"/>
    <w:pPr>
      <w:spacing w:before="100" w:after="100"/>
    </w:pPr>
    <w:rPr>
      <w:rFonts w:ascii="Arial" w:hAnsi="Arial" w:cs="Arial"/>
      <w:b/>
      <w:bCs/>
      <w:sz w:val="16"/>
      <w:szCs w:val="16"/>
    </w:rPr>
  </w:style>
  <w:style w:type="paragraph" w:customStyle="1" w:styleId="xl26">
    <w:name w:val="xl26"/>
    <w:basedOn w:val="Normal"/>
    <w:rsid w:val="00C67E97"/>
    <w:pPr>
      <w:pBdr>
        <w:bottom w:val="single" w:sz="4" w:space="0" w:color="auto"/>
      </w:pBdr>
      <w:spacing w:before="100" w:after="100"/>
    </w:pPr>
    <w:rPr>
      <w:rFonts w:ascii="Arial" w:hAnsi="Arial" w:cs="Arial"/>
      <w:b/>
      <w:bCs/>
      <w:sz w:val="16"/>
      <w:szCs w:val="16"/>
    </w:rPr>
  </w:style>
  <w:style w:type="paragraph" w:customStyle="1" w:styleId="xl27">
    <w:name w:val="xl27"/>
    <w:basedOn w:val="Normal"/>
    <w:rsid w:val="00C67E97"/>
    <w:pPr>
      <w:spacing w:before="100" w:after="100"/>
    </w:pPr>
    <w:rPr>
      <w:sz w:val="16"/>
      <w:szCs w:val="16"/>
    </w:rPr>
  </w:style>
  <w:style w:type="paragraph" w:customStyle="1" w:styleId="xl28">
    <w:name w:val="xl28"/>
    <w:basedOn w:val="Normal"/>
    <w:rsid w:val="00C67E97"/>
    <w:pPr>
      <w:pBdr>
        <w:top w:val="single" w:sz="4" w:space="0" w:color="auto"/>
      </w:pBdr>
      <w:spacing w:before="100" w:after="100"/>
      <w:jc w:val="right"/>
    </w:pPr>
    <w:rPr>
      <w:rFonts w:ascii="Arial" w:hAnsi="Arial" w:cs="Arial"/>
      <w:b/>
      <w:bCs/>
      <w:sz w:val="16"/>
      <w:szCs w:val="16"/>
    </w:rPr>
  </w:style>
  <w:style w:type="paragraph" w:customStyle="1" w:styleId="xl29">
    <w:name w:val="xl29"/>
    <w:basedOn w:val="Normal"/>
    <w:rsid w:val="00C67E97"/>
    <w:pPr>
      <w:spacing w:before="100" w:after="100"/>
      <w:jc w:val="right"/>
    </w:pPr>
    <w:rPr>
      <w:rFonts w:ascii="Arial" w:hAnsi="Arial" w:cs="Arial"/>
      <w:b/>
      <w:bCs/>
      <w:sz w:val="16"/>
      <w:szCs w:val="16"/>
    </w:rPr>
  </w:style>
  <w:style w:type="paragraph" w:customStyle="1" w:styleId="xl30">
    <w:name w:val="xl30"/>
    <w:basedOn w:val="Normal"/>
    <w:rsid w:val="00C67E97"/>
    <w:pPr>
      <w:pBdr>
        <w:bottom w:val="single" w:sz="4" w:space="0" w:color="auto"/>
      </w:pBdr>
      <w:spacing w:before="100" w:after="100"/>
      <w:jc w:val="right"/>
    </w:pPr>
    <w:rPr>
      <w:rFonts w:ascii="Arial" w:hAnsi="Arial" w:cs="Arial"/>
      <w:b/>
      <w:bCs/>
      <w:sz w:val="16"/>
      <w:szCs w:val="16"/>
    </w:rPr>
  </w:style>
  <w:style w:type="paragraph" w:customStyle="1" w:styleId="xl31">
    <w:name w:val="xl31"/>
    <w:basedOn w:val="Normal"/>
    <w:rsid w:val="00C67E97"/>
    <w:pPr>
      <w:spacing w:before="100" w:after="100"/>
      <w:jc w:val="center"/>
    </w:pPr>
    <w:rPr>
      <w:sz w:val="16"/>
      <w:szCs w:val="16"/>
    </w:rPr>
  </w:style>
  <w:style w:type="paragraph" w:customStyle="1" w:styleId="xl32">
    <w:name w:val="xl32"/>
    <w:basedOn w:val="Normal"/>
    <w:rsid w:val="00C67E97"/>
    <w:pPr>
      <w:pBdr>
        <w:bottom w:val="single" w:sz="4" w:space="0" w:color="auto"/>
      </w:pBdr>
      <w:spacing w:before="100" w:after="100"/>
    </w:pPr>
    <w:rPr>
      <w:rFonts w:ascii="Arial" w:hAnsi="Arial" w:cs="Arial"/>
      <w:b/>
      <w:bCs/>
      <w:sz w:val="16"/>
      <w:szCs w:val="16"/>
    </w:rPr>
  </w:style>
  <w:style w:type="paragraph" w:customStyle="1" w:styleId="xl33">
    <w:name w:val="xl33"/>
    <w:basedOn w:val="Normal"/>
    <w:rsid w:val="00C67E97"/>
    <w:pPr>
      <w:spacing w:before="100" w:after="100"/>
    </w:pPr>
    <w:rPr>
      <w:sz w:val="16"/>
      <w:szCs w:val="16"/>
    </w:rPr>
  </w:style>
  <w:style w:type="paragraph" w:customStyle="1" w:styleId="xl34">
    <w:name w:val="xl34"/>
    <w:basedOn w:val="Normal"/>
    <w:rsid w:val="00C67E97"/>
    <w:pPr>
      <w:pBdr>
        <w:top w:val="single" w:sz="4" w:space="0" w:color="auto"/>
      </w:pBdr>
      <w:spacing w:before="100" w:after="100"/>
      <w:jc w:val="right"/>
    </w:pPr>
    <w:rPr>
      <w:rFonts w:ascii="Arial" w:hAnsi="Arial" w:cs="Arial"/>
      <w:b/>
      <w:bCs/>
      <w:sz w:val="16"/>
      <w:szCs w:val="16"/>
    </w:rPr>
  </w:style>
  <w:style w:type="paragraph" w:customStyle="1" w:styleId="xl35">
    <w:name w:val="xl35"/>
    <w:basedOn w:val="Normal"/>
    <w:rsid w:val="00C67E97"/>
    <w:pPr>
      <w:spacing w:before="100" w:after="100"/>
      <w:jc w:val="right"/>
    </w:pPr>
    <w:rPr>
      <w:rFonts w:ascii="Arial" w:hAnsi="Arial" w:cs="Arial"/>
      <w:b/>
      <w:bCs/>
      <w:sz w:val="16"/>
      <w:szCs w:val="16"/>
    </w:rPr>
  </w:style>
  <w:style w:type="paragraph" w:customStyle="1" w:styleId="xl36">
    <w:name w:val="xl36"/>
    <w:basedOn w:val="Normal"/>
    <w:rsid w:val="00C67E97"/>
    <w:pPr>
      <w:pBdr>
        <w:bottom w:val="single" w:sz="4" w:space="0" w:color="auto"/>
      </w:pBdr>
      <w:spacing w:before="100" w:after="100"/>
      <w:jc w:val="right"/>
    </w:pPr>
    <w:rPr>
      <w:rFonts w:ascii="Arial" w:hAnsi="Arial" w:cs="Arial"/>
      <w:b/>
      <w:bCs/>
      <w:sz w:val="16"/>
      <w:szCs w:val="16"/>
    </w:rPr>
  </w:style>
  <w:style w:type="paragraph" w:customStyle="1" w:styleId="xl37">
    <w:name w:val="xl37"/>
    <w:basedOn w:val="Normal"/>
    <w:rsid w:val="00C67E97"/>
    <w:pPr>
      <w:spacing w:before="100" w:after="100"/>
    </w:pPr>
    <w:rPr>
      <w:rFonts w:ascii="Arial" w:hAnsi="Arial" w:cs="Arial"/>
      <w:sz w:val="16"/>
      <w:szCs w:val="16"/>
    </w:rPr>
  </w:style>
  <w:style w:type="paragraph" w:customStyle="1" w:styleId="xl38">
    <w:name w:val="xl38"/>
    <w:basedOn w:val="Normal"/>
    <w:rsid w:val="00C67E97"/>
    <w:pPr>
      <w:spacing w:before="100" w:after="100"/>
    </w:pPr>
    <w:rPr>
      <w:sz w:val="18"/>
      <w:szCs w:val="18"/>
    </w:rPr>
  </w:style>
  <w:style w:type="paragraph" w:customStyle="1" w:styleId="xl39">
    <w:name w:val="xl39"/>
    <w:basedOn w:val="Normal"/>
    <w:rsid w:val="00C67E97"/>
    <w:pPr>
      <w:spacing w:before="100" w:after="100"/>
    </w:pPr>
    <w:rPr>
      <w:sz w:val="18"/>
      <w:szCs w:val="18"/>
    </w:rPr>
  </w:style>
  <w:style w:type="paragraph" w:customStyle="1" w:styleId="xl40">
    <w:name w:val="xl40"/>
    <w:basedOn w:val="Normal"/>
    <w:rsid w:val="00C67E97"/>
    <w:pPr>
      <w:spacing w:before="100" w:after="100"/>
    </w:pPr>
    <w:rPr>
      <w:sz w:val="18"/>
      <w:szCs w:val="18"/>
    </w:rPr>
  </w:style>
  <w:style w:type="paragraph" w:customStyle="1" w:styleId="xl41">
    <w:name w:val="xl41"/>
    <w:basedOn w:val="Normal"/>
    <w:rsid w:val="00C67E97"/>
    <w:pPr>
      <w:spacing w:before="100" w:after="100"/>
    </w:pPr>
    <w:rPr>
      <w:rFonts w:ascii="Arial" w:hAnsi="Arial" w:cs="Arial"/>
      <w:b/>
      <w:bCs/>
      <w:sz w:val="16"/>
      <w:szCs w:val="16"/>
    </w:rPr>
  </w:style>
  <w:style w:type="paragraph" w:customStyle="1" w:styleId="xl42">
    <w:name w:val="xl42"/>
    <w:basedOn w:val="Normal"/>
    <w:rsid w:val="00C67E97"/>
    <w:pPr>
      <w:spacing w:before="100" w:after="100"/>
    </w:pPr>
    <w:rPr>
      <w:rFonts w:ascii="Arial" w:hAnsi="Arial" w:cs="Arial"/>
      <w:sz w:val="16"/>
      <w:szCs w:val="16"/>
    </w:rPr>
  </w:style>
  <w:style w:type="paragraph" w:customStyle="1" w:styleId="xl43">
    <w:name w:val="xl43"/>
    <w:basedOn w:val="Normal"/>
    <w:rsid w:val="00C67E97"/>
    <w:pPr>
      <w:spacing w:before="100" w:after="100"/>
    </w:pPr>
    <w:rPr>
      <w:rFonts w:ascii="Arial" w:hAnsi="Arial" w:cs="Arial"/>
      <w:sz w:val="16"/>
      <w:szCs w:val="16"/>
    </w:rPr>
  </w:style>
  <w:style w:type="paragraph" w:customStyle="1" w:styleId="xl44">
    <w:name w:val="xl44"/>
    <w:basedOn w:val="Normal"/>
    <w:rsid w:val="00C67E97"/>
    <w:pPr>
      <w:spacing w:before="100" w:after="100"/>
    </w:pPr>
    <w:rPr>
      <w:rFonts w:ascii="Arial" w:hAnsi="Arial" w:cs="Arial"/>
      <w:sz w:val="16"/>
      <w:szCs w:val="16"/>
    </w:rPr>
  </w:style>
  <w:style w:type="paragraph" w:customStyle="1" w:styleId="xl45">
    <w:name w:val="xl45"/>
    <w:basedOn w:val="Normal"/>
    <w:rsid w:val="00C67E97"/>
    <w:pPr>
      <w:spacing w:before="100" w:after="100"/>
    </w:pPr>
    <w:rPr>
      <w:rFonts w:ascii="Arial" w:hAnsi="Arial" w:cs="Arial"/>
      <w:b/>
      <w:bCs/>
      <w:sz w:val="16"/>
      <w:szCs w:val="16"/>
    </w:rPr>
  </w:style>
  <w:style w:type="paragraph" w:customStyle="1" w:styleId="xl46">
    <w:name w:val="xl46"/>
    <w:basedOn w:val="Normal"/>
    <w:rsid w:val="00C67E97"/>
    <w:pPr>
      <w:spacing w:before="100" w:after="100"/>
    </w:pPr>
    <w:rPr>
      <w:rFonts w:ascii="Arial" w:hAnsi="Arial" w:cs="Arial"/>
      <w:sz w:val="16"/>
      <w:szCs w:val="16"/>
    </w:rPr>
  </w:style>
  <w:style w:type="paragraph" w:customStyle="1" w:styleId="xl47">
    <w:name w:val="xl47"/>
    <w:basedOn w:val="Normal"/>
    <w:rsid w:val="00C67E97"/>
    <w:pPr>
      <w:spacing w:before="100" w:after="100"/>
    </w:pPr>
    <w:rPr>
      <w:rFonts w:ascii="Arial" w:hAnsi="Arial" w:cs="Arial"/>
      <w:b/>
      <w:bCs/>
      <w:sz w:val="16"/>
      <w:szCs w:val="16"/>
    </w:rPr>
  </w:style>
  <w:style w:type="paragraph" w:customStyle="1" w:styleId="xl48">
    <w:name w:val="xl48"/>
    <w:basedOn w:val="Normal"/>
    <w:rsid w:val="00C67E97"/>
    <w:pPr>
      <w:spacing w:before="100" w:after="100"/>
    </w:pPr>
    <w:rPr>
      <w:sz w:val="16"/>
      <w:szCs w:val="16"/>
    </w:rPr>
  </w:style>
  <w:style w:type="paragraph" w:customStyle="1" w:styleId="xl49">
    <w:name w:val="xl49"/>
    <w:basedOn w:val="Normal"/>
    <w:rsid w:val="00C67E97"/>
    <w:pPr>
      <w:spacing w:before="100" w:after="100"/>
    </w:pPr>
    <w:rPr>
      <w:rFonts w:ascii="Arial" w:hAnsi="Arial" w:cs="Arial"/>
      <w:sz w:val="16"/>
      <w:szCs w:val="16"/>
    </w:rPr>
  </w:style>
  <w:style w:type="paragraph" w:customStyle="1" w:styleId="xl50">
    <w:name w:val="xl50"/>
    <w:basedOn w:val="Normal"/>
    <w:rsid w:val="00C67E97"/>
    <w:pPr>
      <w:pBdr>
        <w:bottom w:val="single" w:sz="4" w:space="0" w:color="auto"/>
      </w:pBdr>
      <w:spacing w:before="100" w:after="100"/>
    </w:pPr>
    <w:rPr>
      <w:rFonts w:ascii="Arial" w:hAnsi="Arial" w:cs="Arial"/>
      <w:b/>
      <w:bCs/>
      <w:sz w:val="16"/>
      <w:szCs w:val="16"/>
    </w:rPr>
  </w:style>
  <w:style w:type="paragraph" w:customStyle="1" w:styleId="xl51">
    <w:name w:val="xl51"/>
    <w:basedOn w:val="Normal"/>
    <w:rsid w:val="00C67E97"/>
    <w:pPr>
      <w:spacing w:before="100" w:after="100"/>
    </w:pPr>
    <w:rPr>
      <w:rFonts w:ascii="Arial" w:hAnsi="Arial" w:cs="Arial"/>
      <w:sz w:val="16"/>
      <w:szCs w:val="16"/>
    </w:rPr>
  </w:style>
  <w:style w:type="paragraph" w:styleId="ListParagraph">
    <w:name w:val="List Paragraph"/>
    <w:basedOn w:val="Normal"/>
    <w:uiPriority w:val="34"/>
    <w:qFormat/>
    <w:rsid w:val="00C67E97"/>
    <w:pPr>
      <w:ind w:left="720"/>
    </w:pPr>
    <w:rPr>
      <w:szCs w:val="24"/>
    </w:rPr>
  </w:style>
  <w:style w:type="character" w:styleId="CommentReference">
    <w:name w:val="annotation reference"/>
    <w:basedOn w:val="DefaultParagraphFont"/>
    <w:rsid w:val="00C67E97"/>
    <w:rPr>
      <w:rFonts w:ascii="Calibri" w:hAnsi="Calibri"/>
      <w:sz w:val="16"/>
      <w:szCs w:val="16"/>
    </w:rPr>
  </w:style>
  <w:style w:type="paragraph" w:styleId="CommentText">
    <w:name w:val="annotation text"/>
    <w:basedOn w:val="Normal"/>
    <w:link w:val="CommentTextChar"/>
    <w:rsid w:val="00C67E97"/>
    <w:rPr>
      <w:sz w:val="20"/>
    </w:rPr>
  </w:style>
  <w:style w:type="character" w:customStyle="1" w:styleId="CommentTextChar">
    <w:name w:val="Comment Text Char"/>
    <w:basedOn w:val="DefaultParagraphFont"/>
    <w:link w:val="CommentText"/>
    <w:rsid w:val="00C67E97"/>
    <w:rPr>
      <w:rFonts w:ascii="Calibri" w:eastAsia="Times New Roman" w:hAnsi="Calibri" w:cs="Times New Roman"/>
      <w:sz w:val="20"/>
      <w:szCs w:val="20"/>
    </w:rPr>
  </w:style>
  <w:style w:type="paragraph" w:styleId="CommentSubject">
    <w:name w:val="annotation subject"/>
    <w:basedOn w:val="CommentText"/>
    <w:next w:val="CommentText"/>
    <w:link w:val="CommentSubjectChar"/>
    <w:rsid w:val="00C67E97"/>
    <w:rPr>
      <w:b/>
      <w:bCs/>
    </w:rPr>
  </w:style>
  <w:style w:type="character" w:customStyle="1" w:styleId="CommentSubjectChar">
    <w:name w:val="Comment Subject Char"/>
    <w:basedOn w:val="CommentTextChar"/>
    <w:link w:val="CommentSubject"/>
    <w:rsid w:val="00C67E97"/>
    <w:rPr>
      <w:b/>
      <w:bCs/>
    </w:rPr>
  </w:style>
  <w:style w:type="paragraph" w:customStyle="1" w:styleId="Numbering">
    <w:name w:val="Numbering"/>
    <w:basedOn w:val="Normal"/>
    <w:rsid w:val="00C67E97"/>
    <w:pPr>
      <w:numPr>
        <w:numId w:val="2"/>
      </w:numPr>
      <w:spacing w:before="120" w:after="120"/>
      <w:jc w:val="both"/>
    </w:pPr>
    <w:rPr>
      <w:lang w:val="en-US"/>
    </w:rPr>
  </w:style>
  <w:style w:type="paragraph" w:styleId="Revision">
    <w:name w:val="Revision"/>
    <w:hidden/>
    <w:semiHidden/>
    <w:rsid w:val="00C67E97"/>
    <w:rPr>
      <w:rFonts w:ascii="Times New Roman" w:eastAsia="Times New Roman" w:hAnsi="Times New Roman"/>
      <w:sz w:val="24"/>
      <w:szCs w:val="24"/>
    </w:rPr>
  </w:style>
  <w:style w:type="character" w:customStyle="1" w:styleId="SIHeading2Char">
    <w:name w:val="SI Heading 2 Char"/>
    <w:basedOn w:val="DefaultParagraphFont"/>
    <w:link w:val="SIHeading2"/>
    <w:rsid w:val="00C67E97"/>
    <w:rPr>
      <w:rFonts w:ascii="Arial" w:eastAsia="Times New Roman" w:hAnsi="Arial" w:cs="Times New Roman"/>
      <w:kern w:val="28"/>
      <w:sz w:val="20"/>
      <w:szCs w:val="20"/>
    </w:rPr>
  </w:style>
  <w:style w:type="character" w:customStyle="1" w:styleId="CharChar">
    <w:name w:val="Char Char"/>
    <w:basedOn w:val="DefaultParagraphFont"/>
    <w:rsid w:val="00C67E97"/>
    <w:rPr>
      <w:rFonts w:ascii="Calibri" w:hAnsi="Calibri"/>
      <w:sz w:val="24"/>
      <w:lang w:val="en-AU" w:eastAsia="en-US" w:bidi="ar-SA"/>
    </w:rPr>
  </w:style>
  <w:style w:type="character" w:customStyle="1" w:styleId="CharChar1">
    <w:name w:val="Char Char1"/>
    <w:basedOn w:val="DefaultParagraphFont"/>
    <w:rsid w:val="00C67E97"/>
    <w:rPr>
      <w:rFonts w:ascii="Arial" w:hAnsi="Arial" w:cs="Arial"/>
      <w:b/>
      <w:bCs/>
      <w:sz w:val="24"/>
      <w:szCs w:val="26"/>
      <w:lang w:val="en-AU" w:eastAsia="en-US" w:bidi="ar-SA"/>
    </w:rPr>
  </w:style>
  <w:style w:type="table" w:styleId="ColorfulGrid-Accent2">
    <w:name w:val="Colorful Grid Accent 2"/>
    <w:basedOn w:val="TableNormal"/>
    <w:uiPriority w:val="73"/>
    <w:rsid w:val="00C67E97"/>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C67E97"/>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67E97"/>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C67E97"/>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C67E97"/>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EndnoteReference">
    <w:name w:val="endnote reference"/>
    <w:basedOn w:val="DefaultParagraphFont"/>
    <w:rsid w:val="00C67E97"/>
    <w:rPr>
      <w:rFonts w:ascii="Calibri" w:hAnsi="Calibri"/>
      <w:vertAlign w:val="superscript"/>
    </w:rPr>
  </w:style>
  <w:style w:type="paragraph" w:styleId="Index1">
    <w:name w:val="index 1"/>
    <w:basedOn w:val="Normal"/>
    <w:next w:val="Normal"/>
    <w:autoRedefine/>
    <w:rsid w:val="00C67E97"/>
    <w:pPr>
      <w:ind w:left="240" w:hanging="240"/>
    </w:pPr>
  </w:style>
  <w:style w:type="paragraph" w:styleId="Index2">
    <w:name w:val="index 2"/>
    <w:basedOn w:val="Normal"/>
    <w:next w:val="Normal"/>
    <w:autoRedefine/>
    <w:rsid w:val="00C67E97"/>
    <w:pPr>
      <w:ind w:left="480" w:hanging="240"/>
    </w:pPr>
  </w:style>
  <w:style w:type="paragraph" w:styleId="Index3">
    <w:name w:val="index 3"/>
    <w:basedOn w:val="Normal"/>
    <w:next w:val="Normal"/>
    <w:autoRedefine/>
    <w:rsid w:val="00C67E97"/>
    <w:pPr>
      <w:ind w:left="720" w:hanging="240"/>
    </w:pPr>
  </w:style>
  <w:style w:type="paragraph" w:styleId="Index4">
    <w:name w:val="index 4"/>
    <w:basedOn w:val="Normal"/>
    <w:next w:val="Normal"/>
    <w:autoRedefine/>
    <w:rsid w:val="00C67E97"/>
    <w:pPr>
      <w:ind w:left="960" w:hanging="240"/>
    </w:pPr>
  </w:style>
  <w:style w:type="paragraph" w:styleId="Index5">
    <w:name w:val="index 5"/>
    <w:basedOn w:val="Normal"/>
    <w:next w:val="Normal"/>
    <w:autoRedefine/>
    <w:rsid w:val="00C67E97"/>
    <w:pPr>
      <w:ind w:left="1200" w:hanging="240"/>
    </w:pPr>
  </w:style>
  <w:style w:type="paragraph" w:styleId="Index6">
    <w:name w:val="index 6"/>
    <w:basedOn w:val="Normal"/>
    <w:next w:val="Normal"/>
    <w:autoRedefine/>
    <w:rsid w:val="00C67E97"/>
    <w:pPr>
      <w:ind w:left="1440" w:hanging="240"/>
    </w:pPr>
  </w:style>
  <w:style w:type="paragraph" w:styleId="Index7">
    <w:name w:val="index 7"/>
    <w:basedOn w:val="Normal"/>
    <w:next w:val="Normal"/>
    <w:autoRedefine/>
    <w:rsid w:val="00C67E97"/>
    <w:pPr>
      <w:ind w:left="1680" w:hanging="240"/>
    </w:pPr>
  </w:style>
  <w:style w:type="paragraph" w:styleId="Index8">
    <w:name w:val="index 8"/>
    <w:basedOn w:val="Normal"/>
    <w:next w:val="Normal"/>
    <w:autoRedefine/>
    <w:rsid w:val="00C67E97"/>
    <w:pPr>
      <w:ind w:left="1920" w:hanging="240"/>
    </w:pPr>
  </w:style>
  <w:style w:type="paragraph" w:styleId="Index9">
    <w:name w:val="index 9"/>
    <w:basedOn w:val="Normal"/>
    <w:next w:val="Normal"/>
    <w:autoRedefine/>
    <w:rsid w:val="00C67E97"/>
    <w:pPr>
      <w:ind w:left="2160" w:hanging="240"/>
    </w:pPr>
  </w:style>
  <w:style w:type="paragraph" w:styleId="IndexHeading">
    <w:name w:val="index heading"/>
    <w:basedOn w:val="Normal"/>
    <w:next w:val="Index1"/>
    <w:rsid w:val="00C67E97"/>
    <w:rPr>
      <w:b/>
      <w:bCs/>
    </w:rPr>
  </w:style>
  <w:style w:type="paragraph" w:styleId="TableofAuthorities">
    <w:name w:val="table of authorities"/>
    <w:basedOn w:val="Normal"/>
    <w:next w:val="Normal"/>
    <w:rsid w:val="00C67E97"/>
    <w:pPr>
      <w:ind w:left="240" w:hanging="240"/>
    </w:pPr>
  </w:style>
  <w:style w:type="paragraph" w:styleId="TOAHeading">
    <w:name w:val="toa heading"/>
    <w:basedOn w:val="Normal"/>
    <w:next w:val="Normal"/>
    <w:rsid w:val="00C67E97"/>
    <w:pPr>
      <w:spacing w:before="120"/>
    </w:pPr>
    <w:rPr>
      <w:b/>
      <w:bCs/>
      <w:szCs w:val="24"/>
    </w:rPr>
  </w:style>
  <w:style w:type="paragraph" w:styleId="TOC1">
    <w:name w:val="toc 1"/>
    <w:basedOn w:val="Normal"/>
    <w:next w:val="Normal"/>
    <w:autoRedefine/>
    <w:rsid w:val="00C67E97"/>
  </w:style>
  <w:style w:type="paragraph" w:styleId="TOC2">
    <w:name w:val="toc 2"/>
    <w:basedOn w:val="Normal"/>
    <w:next w:val="Normal"/>
    <w:autoRedefine/>
    <w:rsid w:val="00C67E97"/>
    <w:pPr>
      <w:ind w:left="240"/>
    </w:pPr>
  </w:style>
  <w:style w:type="paragraph" w:styleId="TOC3">
    <w:name w:val="toc 3"/>
    <w:basedOn w:val="Normal"/>
    <w:next w:val="Normal"/>
    <w:autoRedefine/>
    <w:rsid w:val="00C67E97"/>
    <w:pPr>
      <w:ind w:left="480"/>
    </w:pPr>
  </w:style>
  <w:style w:type="paragraph" w:styleId="TOC4">
    <w:name w:val="toc 4"/>
    <w:basedOn w:val="Normal"/>
    <w:next w:val="Normal"/>
    <w:autoRedefine/>
    <w:rsid w:val="00C67E97"/>
    <w:pPr>
      <w:ind w:left="720"/>
    </w:pPr>
  </w:style>
  <w:style w:type="paragraph" w:styleId="TOC5">
    <w:name w:val="toc 5"/>
    <w:basedOn w:val="Normal"/>
    <w:next w:val="Normal"/>
    <w:autoRedefine/>
    <w:rsid w:val="00C67E97"/>
    <w:pPr>
      <w:ind w:left="960"/>
    </w:pPr>
  </w:style>
  <w:style w:type="paragraph" w:styleId="TOC6">
    <w:name w:val="toc 6"/>
    <w:basedOn w:val="Normal"/>
    <w:next w:val="Normal"/>
    <w:autoRedefine/>
    <w:rsid w:val="00C67E97"/>
    <w:pPr>
      <w:ind w:left="1200"/>
    </w:pPr>
  </w:style>
  <w:style w:type="paragraph" w:styleId="TOC7">
    <w:name w:val="toc 7"/>
    <w:basedOn w:val="Normal"/>
    <w:next w:val="Normal"/>
    <w:autoRedefine/>
    <w:rsid w:val="00C67E97"/>
    <w:pPr>
      <w:ind w:left="1440"/>
    </w:pPr>
  </w:style>
  <w:style w:type="paragraph" w:styleId="TOC8">
    <w:name w:val="toc 8"/>
    <w:basedOn w:val="Normal"/>
    <w:next w:val="Normal"/>
    <w:autoRedefine/>
    <w:rsid w:val="00C67E97"/>
    <w:pPr>
      <w:ind w:left="1680"/>
    </w:pPr>
  </w:style>
  <w:style w:type="paragraph" w:styleId="TOC9">
    <w:name w:val="toc 9"/>
    <w:basedOn w:val="Normal"/>
    <w:next w:val="Normal"/>
    <w:autoRedefine/>
    <w:rsid w:val="00C67E97"/>
    <w:pPr>
      <w:ind w:left="1920"/>
    </w:pPr>
  </w:style>
  <w:style w:type="paragraph" w:customStyle="1" w:styleId="xl64">
    <w:name w:val="xl64"/>
    <w:basedOn w:val="Normal"/>
    <w:rsid w:val="00C67E97"/>
    <w:pPr>
      <w:spacing w:before="100" w:beforeAutospacing="1" w:after="100" w:afterAutospacing="1"/>
    </w:pPr>
    <w:rPr>
      <w:rFonts w:ascii="Times New Roman" w:hAnsi="Times New Roman"/>
      <w:sz w:val="18"/>
      <w:szCs w:val="18"/>
      <w:lang w:eastAsia="en-AU"/>
    </w:rPr>
  </w:style>
  <w:style w:type="paragraph" w:customStyle="1" w:styleId="xl65">
    <w:name w:val="xl65"/>
    <w:basedOn w:val="Normal"/>
    <w:rsid w:val="00C67E97"/>
    <w:pPr>
      <w:spacing w:before="100" w:beforeAutospacing="1" w:after="100" w:afterAutospacing="1"/>
    </w:pPr>
    <w:rPr>
      <w:rFonts w:ascii="Times New Roman" w:hAnsi="Times New Roman"/>
      <w:sz w:val="18"/>
      <w:szCs w:val="18"/>
      <w:lang w:eastAsia="en-AU"/>
    </w:rPr>
  </w:style>
  <w:style w:type="paragraph" w:customStyle="1" w:styleId="xl66">
    <w:name w:val="xl66"/>
    <w:basedOn w:val="Normal"/>
    <w:rsid w:val="00C67E97"/>
    <w:pPr>
      <w:spacing w:before="100" w:beforeAutospacing="1" w:after="100" w:afterAutospacing="1"/>
    </w:pPr>
    <w:rPr>
      <w:rFonts w:ascii="Times New Roman" w:hAnsi="Times New Roman"/>
      <w:b/>
      <w:bCs/>
      <w:sz w:val="18"/>
      <w:szCs w:val="18"/>
      <w:lang w:eastAsia="en-AU"/>
    </w:rPr>
  </w:style>
  <w:style w:type="paragraph" w:customStyle="1" w:styleId="xl67">
    <w:name w:val="xl67"/>
    <w:basedOn w:val="Normal"/>
    <w:rsid w:val="00C67E97"/>
    <w:pPr>
      <w:spacing w:before="100" w:beforeAutospacing="1" w:after="100" w:afterAutospacing="1"/>
      <w:jc w:val="right"/>
    </w:pPr>
    <w:rPr>
      <w:rFonts w:ascii="Times New Roman" w:hAnsi="Times New Roman"/>
      <w:b/>
      <w:bCs/>
      <w:sz w:val="18"/>
      <w:szCs w:val="18"/>
      <w:lang w:eastAsia="en-AU"/>
    </w:rPr>
  </w:style>
  <w:style w:type="paragraph" w:customStyle="1" w:styleId="xl68">
    <w:name w:val="xl68"/>
    <w:basedOn w:val="Normal"/>
    <w:rsid w:val="00C67E97"/>
    <w:pPr>
      <w:spacing w:before="100" w:beforeAutospacing="1" w:after="100" w:afterAutospacing="1"/>
      <w:jc w:val="center"/>
    </w:pPr>
    <w:rPr>
      <w:rFonts w:ascii="Times New Roman" w:hAnsi="Times New Roman"/>
      <w:sz w:val="18"/>
      <w:szCs w:val="18"/>
      <w:lang w:eastAsia="en-AU"/>
    </w:rPr>
  </w:style>
  <w:style w:type="paragraph" w:customStyle="1" w:styleId="xl69">
    <w:name w:val="xl69"/>
    <w:basedOn w:val="Normal"/>
    <w:rsid w:val="00C67E97"/>
    <w:pPr>
      <w:spacing w:before="100" w:beforeAutospacing="1" w:after="100" w:afterAutospacing="1"/>
    </w:pPr>
    <w:rPr>
      <w:rFonts w:ascii="Times New Roman" w:hAnsi="Times New Roman"/>
      <w:sz w:val="18"/>
      <w:szCs w:val="18"/>
      <w:lang w:eastAsia="en-AU"/>
    </w:rPr>
  </w:style>
  <w:style w:type="paragraph" w:customStyle="1" w:styleId="xl70">
    <w:name w:val="xl70"/>
    <w:basedOn w:val="Normal"/>
    <w:rsid w:val="00C67E97"/>
    <w:pPr>
      <w:spacing w:before="100" w:beforeAutospacing="1" w:after="100" w:afterAutospacing="1"/>
    </w:pPr>
    <w:rPr>
      <w:rFonts w:ascii="Times New Roman" w:hAnsi="Times New Roman"/>
      <w:sz w:val="18"/>
      <w:szCs w:val="18"/>
      <w:lang w:eastAsia="en-AU"/>
    </w:rPr>
  </w:style>
  <w:style w:type="paragraph" w:customStyle="1" w:styleId="xl71">
    <w:name w:val="xl71"/>
    <w:basedOn w:val="Normal"/>
    <w:rsid w:val="00C67E97"/>
    <w:pPr>
      <w:spacing w:before="100" w:beforeAutospacing="1" w:after="100" w:afterAutospacing="1"/>
    </w:pPr>
    <w:rPr>
      <w:rFonts w:ascii="Times New Roman" w:hAnsi="Times New Roman"/>
      <w:b/>
      <w:bCs/>
      <w:sz w:val="18"/>
      <w:szCs w:val="18"/>
      <w:lang w:eastAsia="en-AU"/>
    </w:rPr>
  </w:style>
  <w:style w:type="paragraph" w:customStyle="1" w:styleId="xl72">
    <w:name w:val="xl72"/>
    <w:basedOn w:val="Normal"/>
    <w:rsid w:val="00C67E97"/>
    <w:pPr>
      <w:spacing w:before="100" w:beforeAutospacing="1" w:after="100" w:afterAutospacing="1"/>
    </w:pPr>
    <w:rPr>
      <w:rFonts w:ascii="Times New Roman" w:hAnsi="Times New Roman"/>
      <w:sz w:val="18"/>
      <w:szCs w:val="18"/>
      <w:lang w:eastAsia="en-AU"/>
    </w:rPr>
  </w:style>
  <w:style w:type="paragraph" w:customStyle="1" w:styleId="xl73">
    <w:name w:val="xl73"/>
    <w:basedOn w:val="Normal"/>
    <w:rsid w:val="00C67E97"/>
    <w:pPr>
      <w:spacing w:before="100" w:beforeAutospacing="1" w:after="100" w:afterAutospacing="1"/>
      <w:jc w:val="right"/>
    </w:pPr>
    <w:rPr>
      <w:rFonts w:ascii="Times New Roman" w:hAnsi="Times New Roman"/>
      <w:b/>
      <w:bCs/>
      <w:sz w:val="18"/>
      <w:szCs w:val="18"/>
      <w:lang w:eastAsia="en-AU"/>
    </w:rPr>
  </w:style>
  <w:style w:type="paragraph" w:customStyle="1" w:styleId="xl74">
    <w:name w:val="xl74"/>
    <w:basedOn w:val="Normal"/>
    <w:rsid w:val="00C67E97"/>
    <w:pPr>
      <w:pBdr>
        <w:top w:val="single" w:sz="4" w:space="0" w:color="auto"/>
      </w:pBdr>
      <w:spacing w:before="100" w:beforeAutospacing="1" w:after="100" w:afterAutospacing="1"/>
    </w:pPr>
    <w:rPr>
      <w:rFonts w:ascii="Times New Roman" w:hAnsi="Times New Roman"/>
      <w:b/>
      <w:bCs/>
      <w:sz w:val="18"/>
      <w:szCs w:val="18"/>
      <w:lang w:eastAsia="en-AU"/>
    </w:rPr>
  </w:style>
  <w:style w:type="paragraph" w:customStyle="1" w:styleId="xl75">
    <w:name w:val="xl75"/>
    <w:basedOn w:val="Normal"/>
    <w:rsid w:val="00C67E97"/>
    <w:pPr>
      <w:pBdr>
        <w:top w:val="single" w:sz="4" w:space="0" w:color="auto"/>
      </w:pBdr>
      <w:spacing w:before="100" w:beforeAutospacing="1" w:after="100" w:afterAutospacing="1"/>
      <w:jc w:val="right"/>
    </w:pPr>
    <w:rPr>
      <w:rFonts w:ascii="Times New Roman" w:hAnsi="Times New Roman"/>
      <w:b/>
      <w:bCs/>
      <w:sz w:val="18"/>
      <w:szCs w:val="18"/>
      <w:lang w:eastAsia="en-AU"/>
    </w:rPr>
  </w:style>
  <w:style w:type="paragraph" w:customStyle="1" w:styleId="xl76">
    <w:name w:val="xl76"/>
    <w:basedOn w:val="Normal"/>
    <w:rsid w:val="00C67E97"/>
    <w:pPr>
      <w:pBdr>
        <w:bottom w:val="single" w:sz="4" w:space="0" w:color="auto"/>
      </w:pBdr>
      <w:spacing w:before="100" w:beforeAutospacing="1" w:after="100" w:afterAutospacing="1"/>
    </w:pPr>
    <w:rPr>
      <w:rFonts w:ascii="Times New Roman" w:hAnsi="Times New Roman"/>
      <w:b/>
      <w:bCs/>
      <w:sz w:val="18"/>
      <w:szCs w:val="18"/>
      <w:lang w:eastAsia="en-AU"/>
    </w:rPr>
  </w:style>
  <w:style w:type="paragraph" w:customStyle="1" w:styleId="xl77">
    <w:name w:val="xl77"/>
    <w:basedOn w:val="Normal"/>
    <w:rsid w:val="00C67E97"/>
    <w:pPr>
      <w:pBdr>
        <w:bottom w:val="single" w:sz="4" w:space="0" w:color="auto"/>
      </w:pBdr>
      <w:spacing w:before="100" w:beforeAutospacing="1" w:after="100" w:afterAutospacing="1"/>
      <w:jc w:val="right"/>
    </w:pPr>
    <w:rPr>
      <w:rFonts w:ascii="Times New Roman" w:hAnsi="Times New Roman"/>
      <w:b/>
      <w:bCs/>
      <w:sz w:val="18"/>
      <w:szCs w:val="18"/>
      <w:lang w:eastAsia="en-AU"/>
    </w:rPr>
  </w:style>
  <w:style w:type="paragraph" w:customStyle="1" w:styleId="xl78">
    <w:name w:val="xl78"/>
    <w:basedOn w:val="Normal"/>
    <w:rsid w:val="00C67E97"/>
    <w:pPr>
      <w:pBdr>
        <w:top w:val="single" w:sz="4" w:space="0" w:color="auto"/>
      </w:pBdr>
      <w:spacing w:before="100" w:beforeAutospacing="1" w:after="100" w:afterAutospacing="1"/>
      <w:jc w:val="right"/>
    </w:pPr>
    <w:rPr>
      <w:rFonts w:ascii="Times New Roman" w:hAnsi="Times New Roman"/>
      <w:b/>
      <w:bCs/>
      <w:sz w:val="18"/>
      <w:szCs w:val="18"/>
      <w:lang w:eastAsia="en-AU"/>
    </w:rPr>
  </w:style>
  <w:style w:type="paragraph" w:customStyle="1" w:styleId="xl79">
    <w:name w:val="xl79"/>
    <w:basedOn w:val="Normal"/>
    <w:rsid w:val="00C67E97"/>
    <w:pPr>
      <w:pBdr>
        <w:bottom w:val="single" w:sz="4" w:space="0" w:color="auto"/>
      </w:pBdr>
      <w:spacing w:before="100" w:beforeAutospacing="1" w:after="100" w:afterAutospacing="1"/>
      <w:jc w:val="right"/>
    </w:pPr>
    <w:rPr>
      <w:rFonts w:ascii="Times New Roman" w:hAnsi="Times New Roman"/>
      <w:b/>
      <w:bCs/>
      <w:sz w:val="18"/>
      <w:szCs w:val="18"/>
      <w:lang w:eastAsia="en-AU"/>
    </w:rPr>
  </w:style>
  <w:style w:type="paragraph" w:customStyle="1" w:styleId="xl80">
    <w:name w:val="xl80"/>
    <w:basedOn w:val="Normal"/>
    <w:rsid w:val="00C67E97"/>
    <w:pPr>
      <w:pBdr>
        <w:bottom w:val="single" w:sz="4" w:space="0" w:color="auto"/>
      </w:pBdr>
      <w:spacing w:before="100" w:beforeAutospacing="1" w:after="100" w:afterAutospacing="1"/>
    </w:pPr>
    <w:rPr>
      <w:rFonts w:ascii="Times New Roman" w:hAnsi="Times New Roman"/>
      <w:b/>
      <w:bCs/>
      <w:sz w:val="18"/>
      <w:szCs w:val="18"/>
      <w:lang w:eastAsia="en-AU"/>
    </w:rPr>
  </w:style>
  <w:style w:type="paragraph" w:customStyle="1" w:styleId="xl81">
    <w:name w:val="xl81"/>
    <w:basedOn w:val="Normal"/>
    <w:rsid w:val="00C67E97"/>
    <w:pPr>
      <w:spacing w:before="100" w:beforeAutospacing="1" w:after="100" w:afterAutospacing="1"/>
    </w:pPr>
    <w:rPr>
      <w:rFonts w:ascii="Times New Roman" w:hAnsi="Times New Roman"/>
      <w:sz w:val="18"/>
      <w:szCs w:val="18"/>
      <w:lang w:eastAsia="en-AU"/>
    </w:rPr>
  </w:style>
  <w:style w:type="paragraph" w:customStyle="1" w:styleId="xl82">
    <w:name w:val="xl82"/>
    <w:basedOn w:val="Normal"/>
    <w:rsid w:val="00C67E97"/>
    <w:pPr>
      <w:spacing w:before="100" w:beforeAutospacing="1" w:after="100" w:afterAutospacing="1"/>
    </w:pPr>
    <w:rPr>
      <w:rFonts w:ascii="Times New Roman" w:hAnsi="Times New Roman"/>
      <w:b/>
      <w:bCs/>
      <w:sz w:val="18"/>
      <w:szCs w:val="18"/>
      <w:lang w:eastAsia="en-AU"/>
    </w:rPr>
  </w:style>
  <w:style w:type="paragraph" w:customStyle="1" w:styleId="xl83">
    <w:name w:val="xl83"/>
    <w:basedOn w:val="Normal"/>
    <w:rsid w:val="00C67E97"/>
    <w:pPr>
      <w:pBdr>
        <w:top w:val="single" w:sz="4" w:space="0" w:color="auto"/>
      </w:pBdr>
      <w:spacing w:before="100" w:beforeAutospacing="1" w:after="100" w:afterAutospacing="1"/>
    </w:pPr>
    <w:rPr>
      <w:rFonts w:ascii="Times New Roman" w:hAnsi="Times New Roman"/>
      <w:b/>
      <w:bCs/>
      <w:sz w:val="18"/>
      <w:szCs w:val="18"/>
      <w:lang w:eastAsia="en-AU"/>
    </w:rPr>
  </w:style>
  <w:style w:type="paragraph" w:customStyle="1" w:styleId="xl84">
    <w:name w:val="xl84"/>
    <w:basedOn w:val="Normal"/>
    <w:rsid w:val="00C67E97"/>
    <w:pPr>
      <w:pBdr>
        <w:bottom w:val="single" w:sz="4" w:space="0" w:color="auto"/>
      </w:pBdr>
      <w:spacing w:before="100" w:beforeAutospacing="1" w:after="100" w:afterAutospacing="1"/>
    </w:pPr>
    <w:rPr>
      <w:rFonts w:ascii="Times New Roman" w:hAnsi="Times New Roman"/>
      <w:b/>
      <w:bCs/>
      <w:sz w:val="18"/>
      <w:szCs w:val="18"/>
      <w:lang w:eastAsia="en-AU"/>
    </w:rPr>
  </w:style>
</w:styles>
</file>

<file path=word/webSettings.xml><?xml version="1.0" encoding="utf-8"?>
<w:webSettings xmlns:r="http://schemas.openxmlformats.org/officeDocument/2006/relationships" xmlns:w="http://schemas.openxmlformats.org/wordprocessingml/2006/main">
  <w:divs>
    <w:div w:id="122967248">
      <w:bodyDiv w:val="1"/>
      <w:marLeft w:val="0"/>
      <w:marRight w:val="0"/>
      <w:marTop w:val="0"/>
      <w:marBottom w:val="0"/>
      <w:divBdr>
        <w:top w:val="none" w:sz="0" w:space="0" w:color="auto"/>
        <w:left w:val="none" w:sz="0" w:space="0" w:color="auto"/>
        <w:bottom w:val="none" w:sz="0" w:space="0" w:color="auto"/>
        <w:right w:val="none" w:sz="0" w:space="0" w:color="auto"/>
      </w:divBdr>
    </w:div>
    <w:div w:id="669219488">
      <w:bodyDiv w:val="1"/>
      <w:marLeft w:val="0"/>
      <w:marRight w:val="0"/>
      <w:marTop w:val="0"/>
      <w:marBottom w:val="0"/>
      <w:divBdr>
        <w:top w:val="none" w:sz="0" w:space="0" w:color="auto"/>
        <w:left w:val="none" w:sz="0" w:space="0" w:color="auto"/>
        <w:bottom w:val="none" w:sz="0" w:space="0" w:color="auto"/>
        <w:right w:val="none" w:sz="0" w:space="0" w:color="auto"/>
      </w:divBdr>
    </w:div>
    <w:div w:id="128623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Office_Excel_Worksheet1.xlsx"/><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E0067E-4108-49E8-A00B-D927B8307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14213</Words>
  <Characters>81019</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95042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 Budget Paper 4: Justice and Community Safety Directorate</dc:title>
  <dc:subject>Justice and Community Safety Directorate</dc:subject>
  <dc:creator>Chief Minister and Treasury Directorate</dc:creator>
  <cp:lastModifiedBy>Keaton Paterson</cp:lastModifiedBy>
  <cp:revision>3</cp:revision>
  <cp:lastPrinted>2013-05-28T05:10:00Z</cp:lastPrinted>
  <dcterms:created xsi:type="dcterms:W3CDTF">2013-05-28T09:59:00Z</dcterms:created>
  <dcterms:modified xsi:type="dcterms:W3CDTF">2013-05-30T02:53:00Z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