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5ECB" w14:textId="26BF6A50" w:rsidR="000C264E" w:rsidRDefault="000C264E" w:rsidP="000C264E"/>
    <w:p w14:paraId="185E4D5E" w14:textId="74CABB81" w:rsidR="000C264E" w:rsidRDefault="000C264E" w:rsidP="000C264E"/>
    <w:p w14:paraId="20883216" w14:textId="23F630F6" w:rsidR="000C264E" w:rsidRDefault="000C264E" w:rsidP="000C264E"/>
    <w:p w14:paraId="36C12555" w14:textId="2AC21129" w:rsidR="000C264E" w:rsidRDefault="000C264E" w:rsidP="000C264E"/>
    <w:p w14:paraId="72191F38" w14:textId="48CF9291" w:rsidR="000C264E" w:rsidRDefault="000C264E" w:rsidP="000C264E"/>
    <w:p w14:paraId="5E369BD1" w14:textId="70048447" w:rsidR="000C264E" w:rsidRDefault="000C264E" w:rsidP="000C264E"/>
    <w:p w14:paraId="78539273" w14:textId="39262CF4" w:rsidR="000C264E" w:rsidRDefault="000C264E" w:rsidP="000C264E"/>
    <w:p w14:paraId="08976B21" w14:textId="77777777" w:rsidR="000C264E" w:rsidRDefault="000C264E" w:rsidP="00040E1E"/>
    <w:p w14:paraId="7B3FF2D5" w14:textId="68E97765" w:rsidR="00A5504A" w:rsidRDefault="00EF3CE8" w:rsidP="00EF3CE8">
      <w:pPr>
        <w:pStyle w:val="BCoversheetHeading1"/>
      </w:pPr>
      <w:r>
        <w:t>2020-21 Budget</w:t>
      </w:r>
    </w:p>
    <w:p w14:paraId="3D3C14C8" w14:textId="160FBE7A" w:rsidR="00EF3CE8" w:rsidRDefault="00EF3CE8" w:rsidP="00EF3CE8">
      <w:pPr>
        <w:pStyle w:val="BCoversheetHeading1"/>
      </w:pPr>
      <w:r>
        <w:t xml:space="preserve">Summary and </w:t>
      </w:r>
      <w:r w:rsidR="0092198E">
        <w:t xml:space="preserve">Terms </w:t>
      </w:r>
      <w:r>
        <w:t>of Debt Capital Injection</w:t>
      </w:r>
    </w:p>
    <w:p w14:paraId="4E25EBBC" w14:textId="5E5C88CF" w:rsidR="003D3985" w:rsidRDefault="00EF3CE8">
      <w:r>
        <w:br w:type="page"/>
      </w:r>
      <w:r w:rsidR="003D3985">
        <w:lastRenderedPageBreak/>
        <w:br w:type="page"/>
      </w:r>
    </w:p>
    <w:p w14:paraId="1EF949F6" w14:textId="4D6CE572" w:rsidR="00EF3CE8" w:rsidRDefault="00F37076" w:rsidP="00F37076">
      <w:pPr>
        <w:pStyle w:val="Heading2"/>
        <w:numPr>
          <w:ilvl w:val="0"/>
          <w:numId w:val="0"/>
        </w:numPr>
        <w:ind w:left="576" w:hanging="576"/>
      </w:pPr>
      <w:r>
        <w:lastRenderedPageBreak/>
        <w:t>Summary and Terms of Debt Capital Injection</w:t>
      </w:r>
    </w:p>
    <w:p w14:paraId="016A99CE" w14:textId="120A8FE9" w:rsidR="00EF3CE8" w:rsidRPr="00F37076" w:rsidRDefault="00F37076" w:rsidP="00F37076">
      <w:pPr>
        <w:pStyle w:val="Heading3"/>
      </w:pPr>
      <w:r>
        <w:t>Introduction</w:t>
      </w:r>
    </w:p>
    <w:p w14:paraId="2B0E2AD2" w14:textId="77777777" w:rsidR="00F37076" w:rsidRDefault="00F37076" w:rsidP="00F37076">
      <w:pPr>
        <w:pStyle w:val="Bbodytext"/>
      </w:pPr>
      <w:r w:rsidRPr="003D5A39">
        <w:t xml:space="preserve">The Government may choose to finance a number of agency projects through </w:t>
      </w:r>
      <w:r>
        <w:t>loans</w:t>
      </w:r>
      <w:r w:rsidRPr="003D5A39">
        <w:t>. This decision is based on the nature of the individual project</w:t>
      </w:r>
      <w:r>
        <w:t xml:space="preserve"> and appropriate funding mechanism to support the Government’s priorities and implementation of policy decisions.</w:t>
      </w:r>
      <w:r w:rsidRPr="003D5A39" w:rsidDel="00AE73ED">
        <w:t xml:space="preserve"> </w:t>
      </w:r>
    </w:p>
    <w:p w14:paraId="598D8298" w14:textId="77777777" w:rsidR="00F37076" w:rsidRDefault="00F37076" w:rsidP="00F37076">
      <w:pPr>
        <w:pStyle w:val="Bbodytext"/>
      </w:pPr>
      <w:r w:rsidRPr="003D5A39">
        <w:t xml:space="preserve">Where </w:t>
      </w:r>
      <w:r>
        <w:t>a loan</w:t>
      </w:r>
      <w:r w:rsidRPr="003D5A39">
        <w:t xml:space="preserve"> is provided to an agency by way of capital injection</w:t>
      </w:r>
      <w:r>
        <w:t>,</w:t>
      </w:r>
      <w:r w:rsidRPr="003D5A39">
        <w:t xml:space="preserve"> the terms and conditions are disclosed in the Budget Papers under the provisions of the </w:t>
      </w:r>
      <w:r w:rsidRPr="003D5A39">
        <w:rPr>
          <w:i/>
        </w:rPr>
        <w:t>Financial Management Act 1996</w:t>
      </w:r>
      <w:r w:rsidRPr="003D5A39">
        <w:t>.</w:t>
      </w:r>
    </w:p>
    <w:p w14:paraId="24D7E5ED" w14:textId="19516172" w:rsidR="00F37076" w:rsidRPr="003D5A39" w:rsidRDefault="00F37076" w:rsidP="00F37076">
      <w:pPr>
        <w:pStyle w:val="Bbodytext"/>
      </w:pPr>
      <w:r w:rsidRPr="003D5A39">
        <w:t>Loans provided in the form of repayable capital injections are supported by an appropriation.</w:t>
      </w:r>
    </w:p>
    <w:p w14:paraId="3178987C" w14:textId="7D1FC673" w:rsidR="00F37076" w:rsidRPr="00F37076" w:rsidRDefault="00F37076" w:rsidP="00F37076">
      <w:pPr>
        <w:pStyle w:val="Heading3"/>
      </w:pPr>
      <w:r>
        <w:t>Summary and terms of Debt Capital Injection</w:t>
      </w:r>
    </w:p>
    <w:p w14:paraId="6628D767" w14:textId="13E7D9AC" w:rsidR="00F37076" w:rsidRPr="00F37076" w:rsidRDefault="00F37076" w:rsidP="00F37076">
      <w:pPr>
        <w:pStyle w:val="Bbodytext"/>
      </w:pPr>
      <w:r w:rsidRPr="00F37076">
        <w:t>Details of outstanding issued loans are set out below:</w:t>
      </w:r>
    </w:p>
    <w:p w14:paraId="72B907B0" w14:textId="45F16FCC" w:rsidR="00F37076" w:rsidRPr="00F37076" w:rsidRDefault="00F37076" w:rsidP="00F37076">
      <w:pPr>
        <w:pStyle w:val="Heading4"/>
      </w:pPr>
      <w:r>
        <w:t>Chief Minister, Treasury and Economic Development Directorate</w:t>
      </w:r>
      <w:r w:rsidR="0092198E">
        <w:t xml:space="preserve"> (CMTEDD)</w:t>
      </w:r>
    </w:p>
    <w:p w14:paraId="383C8860" w14:textId="637E04B2" w:rsidR="00F37076" w:rsidRPr="00F37076" w:rsidRDefault="00F37076" w:rsidP="00F37076">
      <w:pPr>
        <w:pStyle w:val="Heading5"/>
      </w:pPr>
      <w:r>
        <w:t>Community Housing Canberra (</w:t>
      </w:r>
      <w:proofErr w:type="spellStart"/>
      <w:r>
        <w:t>CHC</w:t>
      </w:r>
      <w:proofErr w:type="spellEnd"/>
      <w:r>
        <w:t>), 2007-08</w:t>
      </w:r>
    </w:p>
    <w:tbl>
      <w:tblPr>
        <w:tblStyle w:val="TableGrid"/>
        <w:tblW w:w="5000" w:type="pct"/>
        <w:tblLook w:val="04A0" w:firstRow="1" w:lastRow="0" w:firstColumn="1" w:lastColumn="0" w:noHBand="0" w:noVBand="1"/>
      </w:tblPr>
      <w:tblGrid>
        <w:gridCol w:w="3116"/>
        <w:gridCol w:w="5900"/>
      </w:tblGrid>
      <w:tr w:rsidR="00F37076" w:rsidRPr="00337DC9" w14:paraId="7073F289" w14:textId="77777777" w:rsidTr="00BA5199">
        <w:trPr>
          <w:trHeight w:val="257"/>
        </w:trPr>
        <w:tc>
          <w:tcPr>
            <w:tcW w:w="1728" w:type="pct"/>
          </w:tcPr>
          <w:p w14:paraId="301B4015" w14:textId="005E0887" w:rsidR="00F37076" w:rsidRPr="00F37076" w:rsidRDefault="00F37076" w:rsidP="00F37076">
            <w:pPr>
              <w:pStyle w:val="Btabletextunbold"/>
            </w:pPr>
            <w:r w:rsidRPr="00F37076">
              <w:t>Purpose</w:t>
            </w:r>
          </w:p>
        </w:tc>
        <w:tc>
          <w:tcPr>
            <w:tcW w:w="3272" w:type="pct"/>
          </w:tcPr>
          <w:p w14:paraId="20762B9D" w14:textId="09CB2D7A" w:rsidR="00F37076" w:rsidRPr="00F37076" w:rsidRDefault="00F37076" w:rsidP="00F37076">
            <w:pPr>
              <w:pStyle w:val="Btabletextunbold"/>
            </w:pPr>
            <w:r w:rsidRPr="00F37076">
              <w:t xml:space="preserve">The loan capital injection provides a finance facility for </w:t>
            </w:r>
            <w:proofErr w:type="spellStart"/>
            <w:r w:rsidRPr="00F37076">
              <w:t>CHC</w:t>
            </w:r>
            <w:proofErr w:type="spellEnd"/>
            <w:r w:rsidRPr="00F37076">
              <w:t xml:space="preserve">, as part of the Government’s </w:t>
            </w:r>
            <w:r w:rsidRPr="00F37076">
              <w:rPr>
                <w:i/>
                <w:iCs/>
              </w:rPr>
              <w:t>Affordable Housing Action Plan</w:t>
            </w:r>
            <w:r w:rsidRPr="00F37076">
              <w:t xml:space="preserve">. </w:t>
            </w:r>
            <w:proofErr w:type="spellStart"/>
            <w:r w:rsidRPr="00F37076">
              <w:t>CHC</w:t>
            </w:r>
            <w:proofErr w:type="spellEnd"/>
            <w:r w:rsidRPr="00F37076">
              <w:t xml:space="preserve"> is using the funds to increase the supply of affordable housing properties to eligible ACT residents.</w:t>
            </w:r>
          </w:p>
        </w:tc>
      </w:tr>
      <w:tr w:rsidR="00F37076" w:rsidRPr="00337DC9" w14:paraId="42E876E2" w14:textId="77777777" w:rsidTr="00BA5199">
        <w:trPr>
          <w:trHeight w:val="270"/>
        </w:trPr>
        <w:tc>
          <w:tcPr>
            <w:tcW w:w="1728" w:type="pct"/>
          </w:tcPr>
          <w:p w14:paraId="2B2C5D12" w14:textId="06AEC36D" w:rsidR="00F37076" w:rsidRPr="00F37076" w:rsidRDefault="00F37076" w:rsidP="00F37076">
            <w:pPr>
              <w:pStyle w:val="Btabletextunbold"/>
            </w:pPr>
            <w:r w:rsidRPr="00F37076">
              <w:t>Loan Commencement</w:t>
            </w:r>
          </w:p>
        </w:tc>
        <w:tc>
          <w:tcPr>
            <w:tcW w:w="3272" w:type="pct"/>
          </w:tcPr>
          <w:p w14:paraId="5FFB3336" w14:textId="798BDB46" w:rsidR="00F37076" w:rsidRPr="00F37076" w:rsidRDefault="00F37076" w:rsidP="00F37076">
            <w:pPr>
              <w:pStyle w:val="Btabletextunbold"/>
            </w:pPr>
            <w:r w:rsidRPr="00F37076">
              <w:t>2007-08</w:t>
            </w:r>
          </w:p>
        </w:tc>
      </w:tr>
      <w:tr w:rsidR="00F37076" w:rsidRPr="00337DC9" w14:paraId="41FF69A1" w14:textId="77777777" w:rsidTr="00BA5199">
        <w:trPr>
          <w:trHeight w:val="257"/>
        </w:trPr>
        <w:tc>
          <w:tcPr>
            <w:tcW w:w="1728" w:type="pct"/>
          </w:tcPr>
          <w:p w14:paraId="6B2594E4" w14:textId="056812DB" w:rsidR="00F37076" w:rsidRPr="00F37076" w:rsidRDefault="00F37076" w:rsidP="00F37076">
            <w:pPr>
              <w:pStyle w:val="Btabletextunbold"/>
            </w:pPr>
            <w:r w:rsidRPr="00F37076">
              <w:t>Loan Amount</w:t>
            </w:r>
          </w:p>
        </w:tc>
        <w:tc>
          <w:tcPr>
            <w:tcW w:w="3272" w:type="pct"/>
          </w:tcPr>
          <w:p w14:paraId="1BCDD209" w14:textId="04A809F1" w:rsidR="00F37076" w:rsidRPr="00F37076" w:rsidRDefault="00F37076" w:rsidP="00F37076">
            <w:pPr>
              <w:pStyle w:val="Btabletextunbold"/>
            </w:pPr>
            <w:r w:rsidRPr="00F37076">
              <w:t>$50 million</w:t>
            </w:r>
          </w:p>
        </w:tc>
      </w:tr>
      <w:tr w:rsidR="00F37076" w:rsidRPr="00337DC9" w14:paraId="4E7B1881" w14:textId="77777777" w:rsidTr="00BA5199">
        <w:trPr>
          <w:trHeight w:val="257"/>
        </w:trPr>
        <w:tc>
          <w:tcPr>
            <w:tcW w:w="1728" w:type="pct"/>
          </w:tcPr>
          <w:p w14:paraId="7E840E77" w14:textId="3D9226BC" w:rsidR="00F37076" w:rsidRPr="00F37076" w:rsidRDefault="00F37076" w:rsidP="00F37076">
            <w:pPr>
              <w:pStyle w:val="Btabletextunbold"/>
            </w:pPr>
            <w:r w:rsidRPr="00F37076">
              <w:t>Maturity Date</w:t>
            </w:r>
          </w:p>
        </w:tc>
        <w:tc>
          <w:tcPr>
            <w:tcW w:w="3272" w:type="pct"/>
          </w:tcPr>
          <w:p w14:paraId="2B2BE84A" w14:textId="2AE4DF60" w:rsidR="00F37076" w:rsidRPr="00F37076" w:rsidRDefault="00F37076" w:rsidP="00F37076">
            <w:pPr>
              <w:pStyle w:val="Btabletextunbold"/>
            </w:pPr>
            <w:r w:rsidRPr="00F37076">
              <w:t>31 December 2037</w:t>
            </w:r>
          </w:p>
        </w:tc>
      </w:tr>
      <w:tr w:rsidR="00F37076" w:rsidRPr="00337DC9" w14:paraId="05322807" w14:textId="77777777" w:rsidTr="00BA5199">
        <w:trPr>
          <w:trHeight w:val="270"/>
        </w:trPr>
        <w:tc>
          <w:tcPr>
            <w:tcW w:w="1728" w:type="pct"/>
          </w:tcPr>
          <w:p w14:paraId="6367DA7D" w14:textId="295A40FD" w:rsidR="00F37076" w:rsidRPr="00F37076" w:rsidRDefault="00F37076" w:rsidP="00F37076">
            <w:pPr>
              <w:pStyle w:val="Btabletextunbold"/>
            </w:pPr>
            <w:r w:rsidRPr="00F37076">
              <w:t>Interest Rate</w:t>
            </w:r>
          </w:p>
        </w:tc>
        <w:tc>
          <w:tcPr>
            <w:tcW w:w="3272" w:type="pct"/>
          </w:tcPr>
          <w:p w14:paraId="2235CE25" w14:textId="067BFEF5" w:rsidR="00F37076" w:rsidRPr="00F37076" w:rsidRDefault="00F37076" w:rsidP="00F37076">
            <w:pPr>
              <w:pStyle w:val="Btabletextunbold"/>
            </w:pPr>
            <w:r w:rsidRPr="00F37076">
              <w:t>Interest is calculated on the daily outstanding loan balance at the prevailing three month bank bill swap reference rate as at the beginning of the quarter and is payable quarterly in arrears.</w:t>
            </w:r>
          </w:p>
        </w:tc>
      </w:tr>
      <w:tr w:rsidR="00F37076" w:rsidRPr="00337DC9" w14:paraId="1B341FE6" w14:textId="77777777" w:rsidTr="00BA5199">
        <w:trPr>
          <w:trHeight w:val="270"/>
        </w:trPr>
        <w:tc>
          <w:tcPr>
            <w:tcW w:w="1728" w:type="pct"/>
          </w:tcPr>
          <w:p w14:paraId="70364C10" w14:textId="5DF0B6B2" w:rsidR="00F37076" w:rsidRPr="00F37076" w:rsidRDefault="00F37076" w:rsidP="00F37076">
            <w:pPr>
              <w:pStyle w:val="Btabletextunbold"/>
            </w:pPr>
            <w:r w:rsidRPr="00F37076">
              <w:t>Principal Repayments</w:t>
            </w:r>
          </w:p>
        </w:tc>
        <w:tc>
          <w:tcPr>
            <w:tcW w:w="3272" w:type="pct"/>
          </w:tcPr>
          <w:p w14:paraId="6E10F281" w14:textId="769DC59E" w:rsidR="00F37076" w:rsidRPr="00F37076" w:rsidRDefault="00F37076" w:rsidP="00F37076">
            <w:pPr>
              <w:pStyle w:val="Btabletextunbold"/>
            </w:pPr>
            <w:r w:rsidRPr="00F37076">
              <w:t xml:space="preserve">Repayment of the loan principal (annual payments of $2.5 million) commenced in December 2017. In recognition of the effects of the COVID-19 pandemic on </w:t>
            </w:r>
            <w:proofErr w:type="spellStart"/>
            <w:r w:rsidRPr="00F37076">
              <w:t>CHC’s</w:t>
            </w:r>
            <w:proofErr w:type="spellEnd"/>
            <w:r w:rsidRPr="00F37076">
              <w:t xml:space="preserve"> operations, the payment of the 2019-2020 principal repayment of $2.5 million has been deferred, with payment required by 30 June 2021.</w:t>
            </w:r>
          </w:p>
        </w:tc>
      </w:tr>
      <w:tr w:rsidR="00F37076" w:rsidRPr="00337DC9" w14:paraId="7F58F05E" w14:textId="77777777" w:rsidTr="00BA5199">
        <w:trPr>
          <w:trHeight w:val="270"/>
        </w:trPr>
        <w:tc>
          <w:tcPr>
            <w:tcW w:w="1728" w:type="pct"/>
          </w:tcPr>
          <w:p w14:paraId="6ACE4EA8" w14:textId="1DB34160" w:rsidR="00F37076" w:rsidRPr="00F37076" w:rsidRDefault="00F37076" w:rsidP="00F37076">
            <w:pPr>
              <w:pStyle w:val="Btabletextunbold"/>
            </w:pPr>
            <w:r w:rsidRPr="00F37076">
              <w:t>Repayment Structure</w:t>
            </w:r>
          </w:p>
        </w:tc>
        <w:tc>
          <w:tcPr>
            <w:tcW w:w="3272" w:type="pct"/>
          </w:tcPr>
          <w:p w14:paraId="07AC7D8B" w14:textId="00DFC6D6" w:rsidR="00F37076" w:rsidRPr="00F37076" w:rsidRDefault="00F37076" w:rsidP="00F37076">
            <w:pPr>
              <w:pStyle w:val="Btabletextunbold"/>
            </w:pPr>
            <w:proofErr w:type="spellStart"/>
            <w:r w:rsidRPr="00F37076">
              <w:t>CHC</w:t>
            </w:r>
            <w:proofErr w:type="spellEnd"/>
            <w:r w:rsidRPr="00F37076">
              <w:t xml:space="preserve"> will make loan repayments to CMTEDD and CMTEDD will make loan repayments to the Territory Banking Account on the same terms and conditions applying to </w:t>
            </w:r>
            <w:proofErr w:type="spellStart"/>
            <w:r w:rsidRPr="00F37076">
              <w:t>CHC</w:t>
            </w:r>
            <w:proofErr w:type="spellEnd"/>
            <w:r w:rsidRPr="00F37076">
              <w:t>.</w:t>
            </w:r>
          </w:p>
        </w:tc>
      </w:tr>
      <w:tr w:rsidR="00F37076" w:rsidRPr="00337DC9" w14:paraId="594E70C0" w14:textId="77777777" w:rsidTr="00BA5199">
        <w:trPr>
          <w:trHeight w:val="270"/>
        </w:trPr>
        <w:tc>
          <w:tcPr>
            <w:tcW w:w="1728" w:type="pct"/>
          </w:tcPr>
          <w:p w14:paraId="7E0AB694" w14:textId="23DBB3BF" w:rsidR="00F37076" w:rsidRPr="00F37076" w:rsidRDefault="00F37076" w:rsidP="00F37076">
            <w:pPr>
              <w:pStyle w:val="Btabletextunbold"/>
            </w:pPr>
            <w:r w:rsidRPr="00F37076">
              <w:t>Estimated Principal Loan Balance at 30 June 2021</w:t>
            </w:r>
          </w:p>
        </w:tc>
        <w:tc>
          <w:tcPr>
            <w:tcW w:w="3272" w:type="pct"/>
          </w:tcPr>
          <w:p w14:paraId="7C0B51CF" w14:textId="3E8B5C1D" w:rsidR="00F37076" w:rsidRPr="00F37076" w:rsidRDefault="00F37076" w:rsidP="00F37076">
            <w:pPr>
              <w:pStyle w:val="Btabletextunbold"/>
            </w:pPr>
            <w:r w:rsidRPr="00F37076">
              <w:t>$45 million</w:t>
            </w:r>
          </w:p>
        </w:tc>
      </w:tr>
    </w:tbl>
    <w:p w14:paraId="57076A7B" w14:textId="77777777" w:rsidR="00BA5199" w:rsidRDefault="00BA5199" w:rsidP="00BA5199">
      <w:pPr>
        <w:pStyle w:val="Bbodytext"/>
      </w:pPr>
    </w:p>
    <w:p w14:paraId="4EE0F248" w14:textId="46982D1C" w:rsidR="00F37076" w:rsidRDefault="00BA5199" w:rsidP="004A36AF">
      <w:pPr>
        <w:pStyle w:val="Heading5"/>
      </w:pPr>
      <w:r>
        <w:lastRenderedPageBreak/>
        <w:t>Community Housing Canberra (</w:t>
      </w:r>
      <w:proofErr w:type="spellStart"/>
      <w:r>
        <w:t>CHC</w:t>
      </w:r>
      <w:proofErr w:type="spellEnd"/>
      <w:r>
        <w:t>), 2011-12</w:t>
      </w:r>
    </w:p>
    <w:tbl>
      <w:tblPr>
        <w:tblStyle w:val="TableGrid"/>
        <w:tblW w:w="5000" w:type="pct"/>
        <w:tblLook w:val="04A0" w:firstRow="1" w:lastRow="0" w:firstColumn="1" w:lastColumn="0" w:noHBand="0" w:noVBand="1"/>
      </w:tblPr>
      <w:tblGrid>
        <w:gridCol w:w="3114"/>
        <w:gridCol w:w="5902"/>
      </w:tblGrid>
      <w:tr w:rsidR="00BA5199" w:rsidRPr="008F5D57" w14:paraId="2D30BFEC" w14:textId="77777777" w:rsidTr="00D70E80">
        <w:trPr>
          <w:trHeight w:val="156"/>
        </w:trPr>
        <w:tc>
          <w:tcPr>
            <w:tcW w:w="1727" w:type="pct"/>
          </w:tcPr>
          <w:p w14:paraId="34226DD0" w14:textId="5E61A252" w:rsidR="00BA5199" w:rsidRDefault="00BA5199" w:rsidP="004A36AF">
            <w:pPr>
              <w:pStyle w:val="Btabletextunbold"/>
              <w:keepNext/>
              <w:keepLines/>
            </w:pPr>
            <w:r w:rsidRPr="00A470D5">
              <w:t>Purpose</w:t>
            </w:r>
          </w:p>
        </w:tc>
        <w:tc>
          <w:tcPr>
            <w:tcW w:w="3273" w:type="pct"/>
          </w:tcPr>
          <w:p w14:paraId="27DB9004" w14:textId="05AEA9B3" w:rsidR="00BA5199" w:rsidRDefault="00BA5199" w:rsidP="004A36AF">
            <w:pPr>
              <w:pStyle w:val="Btabletextunbold"/>
              <w:keepNext/>
              <w:keepLines/>
            </w:pPr>
            <w:r w:rsidRPr="00A470D5">
              <w:t xml:space="preserve">This loan capital injection builds on the $50 million financing made available to </w:t>
            </w:r>
            <w:proofErr w:type="spellStart"/>
            <w:r w:rsidRPr="00A470D5">
              <w:t>CHC</w:t>
            </w:r>
            <w:proofErr w:type="spellEnd"/>
            <w:r w:rsidRPr="00A470D5">
              <w:t xml:space="preserve"> as part of the Government’s </w:t>
            </w:r>
            <w:r w:rsidRPr="00A470D5">
              <w:rPr>
                <w:i/>
                <w:iCs/>
              </w:rPr>
              <w:t>Affordable Housing Action Plan</w:t>
            </w:r>
            <w:r w:rsidRPr="0060379F">
              <w:t xml:space="preserve">. </w:t>
            </w:r>
            <w:r w:rsidRPr="00A470D5">
              <w:t>It will provide 90 dwellings for affordable rental to ACT residents on low to moderate incomes.</w:t>
            </w:r>
          </w:p>
        </w:tc>
      </w:tr>
      <w:tr w:rsidR="00BA5199" w:rsidRPr="00337DC9" w14:paraId="371A8AF1" w14:textId="77777777" w:rsidTr="00D70E80">
        <w:trPr>
          <w:trHeight w:val="257"/>
        </w:trPr>
        <w:tc>
          <w:tcPr>
            <w:tcW w:w="1727" w:type="pct"/>
          </w:tcPr>
          <w:p w14:paraId="423F8BBD" w14:textId="3CE2EDD7" w:rsidR="00BA5199" w:rsidRPr="00EC74DB" w:rsidRDefault="00BA5199" w:rsidP="004A36AF">
            <w:pPr>
              <w:pStyle w:val="Btabletextunbold"/>
              <w:keepNext/>
              <w:keepLines/>
            </w:pPr>
            <w:r w:rsidRPr="00A470D5">
              <w:t>Loan Commencement</w:t>
            </w:r>
          </w:p>
        </w:tc>
        <w:tc>
          <w:tcPr>
            <w:tcW w:w="3273" w:type="pct"/>
          </w:tcPr>
          <w:p w14:paraId="1AE0A4AF" w14:textId="68CB2805" w:rsidR="00BA5199" w:rsidRPr="00EC74DB" w:rsidRDefault="00BA5199" w:rsidP="004A36AF">
            <w:pPr>
              <w:pStyle w:val="Btabletextunbold"/>
              <w:keepNext/>
              <w:keepLines/>
            </w:pPr>
            <w:r w:rsidRPr="00A470D5">
              <w:t>2011-12</w:t>
            </w:r>
          </w:p>
        </w:tc>
      </w:tr>
      <w:tr w:rsidR="00BA5199" w:rsidRPr="00337DC9" w14:paraId="4B94439E" w14:textId="77777777" w:rsidTr="00D70E80">
        <w:trPr>
          <w:trHeight w:val="270"/>
        </w:trPr>
        <w:tc>
          <w:tcPr>
            <w:tcW w:w="1727" w:type="pct"/>
          </w:tcPr>
          <w:p w14:paraId="10511054" w14:textId="54CB3CA1" w:rsidR="00BA5199" w:rsidRPr="00EC74DB" w:rsidRDefault="00BA5199" w:rsidP="004A36AF">
            <w:pPr>
              <w:pStyle w:val="Btabletextunbold"/>
              <w:keepNext/>
              <w:keepLines/>
            </w:pPr>
            <w:r w:rsidRPr="00A470D5">
              <w:t>Loan Amount</w:t>
            </w:r>
          </w:p>
        </w:tc>
        <w:tc>
          <w:tcPr>
            <w:tcW w:w="3273" w:type="pct"/>
          </w:tcPr>
          <w:p w14:paraId="10EC12A7" w14:textId="13E1CD26" w:rsidR="00BA5199" w:rsidRPr="00EC74DB" w:rsidRDefault="00BA5199" w:rsidP="004A36AF">
            <w:pPr>
              <w:pStyle w:val="Btabletextunbold"/>
              <w:keepNext/>
              <w:keepLines/>
            </w:pPr>
            <w:r w:rsidRPr="00A470D5">
              <w:t>$18.112 million</w:t>
            </w:r>
          </w:p>
        </w:tc>
      </w:tr>
      <w:tr w:rsidR="00BA5199" w:rsidRPr="00337DC9" w14:paraId="74B846E7" w14:textId="77777777" w:rsidTr="00D70E80">
        <w:trPr>
          <w:trHeight w:val="257"/>
        </w:trPr>
        <w:tc>
          <w:tcPr>
            <w:tcW w:w="1727" w:type="pct"/>
          </w:tcPr>
          <w:p w14:paraId="11F2F206" w14:textId="5887EA6B" w:rsidR="00BA5199" w:rsidRPr="00EC74DB" w:rsidRDefault="00BA5199" w:rsidP="004A36AF">
            <w:pPr>
              <w:pStyle w:val="Btabletextunbold"/>
              <w:keepNext/>
              <w:keepLines/>
            </w:pPr>
            <w:r w:rsidRPr="00A470D5">
              <w:t>Maturity Date</w:t>
            </w:r>
          </w:p>
        </w:tc>
        <w:tc>
          <w:tcPr>
            <w:tcW w:w="3273" w:type="pct"/>
          </w:tcPr>
          <w:p w14:paraId="303B79B1" w14:textId="7138ECE0" w:rsidR="00BA5199" w:rsidRPr="00EC74DB" w:rsidRDefault="00BA5199" w:rsidP="004A36AF">
            <w:pPr>
              <w:pStyle w:val="Btabletextunbold"/>
              <w:keepNext/>
              <w:keepLines/>
            </w:pPr>
            <w:r w:rsidRPr="00A470D5">
              <w:t>31 December 2036</w:t>
            </w:r>
          </w:p>
        </w:tc>
      </w:tr>
      <w:tr w:rsidR="00BA5199" w:rsidRPr="00337DC9" w14:paraId="0A537EC8" w14:textId="77777777" w:rsidTr="00D70E80">
        <w:trPr>
          <w:trHeight w:val="257"/>
        </w:trPr>
        <w:tc>
          <w:tcPr>
            <w:tcW w:w="1727" w:type="pct"/>
          </w:tcPr>
          <w:p w14:paraId="5C84F052" w14:textId="2FE43DB2" w:rsidR="00BA5199" w:rsidRPr="00EC74DB" w:rsidRDefault="00BA5199" w:rsidP="004A36AF">
            <w:pPr>
              <w:pStyle w:val="Btabletextunbold"/>
              <w:keepNext/>
              <w:keepLines/>
            </w:pPr>
            <w:r w:rsidRPr="00A470D5">
              <w:t>Interest Rate</w:t>
            </w:r>
          </w:p>
        </w:tc>
        <w:tc>
          <w:tcPr>
            <w:tcW w:w="3273" w:type="pct"/>
          </w:tcPr>
          <w:p w14:paraId="730462E9" w14:textId="621F93ED" w:rsidR="00BA5199" w:rsidRPr="00EC74DB" w:rsidRDefault="00BA5199" w:rsidP="004A36AF">
            <w:pPr>
              <w:pStyle w:val="Btabletextunbold"/>
              <w:keepNext/>
              <w:keepLines/>
            </w:pPr>
            <w:r w:rsidRPr="00A470D5">
              <w:t>Interest is calculated on the daily outstanding loan balance at the prevailing three month bank bill swap reference rate as at the beginning of the quarter, and is payable quarterly in arrears.</w:t>
            </w:r>
          </w:p>
        </w:tc>
      </w:tr>
      <w:tr w:rsidR="00BA5199" w:rsidRPr="00337DC9" w14:paraId="45DACF32" w14:textId="77777777" w:rsidTr="00D70E80">
        <w:trPr>
          <w:trHeight w:val="270"/>
        </w:trPr>
        <w:tc>
          <w:tcPr>
            <w:tcW w:w="1727" w:type="pct"/>
          </w:tcPr>
          <w:p w14:paraId="40337521" w14:textId="707AE920" w:rsidR="00BA5199" w:rsidRPr="00EC74DB" w:rsidRDefault="00BA5199" w:rsidP="004A36AF">
            <w:pPr>
              <w:pStyle w:val="Btabletextunbold"/>
              <w:keepNext/>
              <w:keepLines/>
            </w:pPr>
            <w:r w:rsidRPr="00A470D5">
              <w:t>Principal Repayments</w:t>
            </w:r>
          </w:p>
        </w:tc>
        <w:tc>
          <w:tcPr>
            <w:tcW w:w="3273" w:type="pct"/>
          </w:tcPr>
          <w:p w14:paraId="11214EDB" w14:textId="364E5E65" w:rsidR="00BA5199" w:rsidRPr="00EC74DB" w:rsidRDefault="00BA5199" w:rsidP="004A36AF">
            <w:pPr>
              <w:pStyle w:val="Btabletextunbold"/>
              <w:keepNext/>
              <w:keepLines/>
            </w:pPr>
            <w:r w:rsidRPr="00A470D5">
              <w:t xml:space="preserve">The timing of the </w:t>
            </w:r>
            <w:r>
              <w:t xml:space="preserve">commencement and amounts </w:t>
            </w:r>
            <w:r w:rsidRPr="00A470D5">
              <w:t xml:space="preserve">of loan principal </w:t>
            </w:r>
            <w:r>
              <w:t xml:space="preserve">repayments </w:t>
            </w:r>
            <w:r w:rsidRPr="00A470D5">
              <w:t>is to be determined during the 2020-21 financial year.</w:t>
            </w:r>
          </w:p>
        </w:tc>
      </w:tr>
      <w:tr w:rsidR="00BA5199" w:rsidRPr="00337DC9" w14:paraId="19E40AD1" w14:textId="77777777" w:rsidTr="00D70E80">
        <w:trPr>
          <w:trHeight w:val="270"/>
        </w:trPr>
        <w:tc>
          <w:tcPr>
            <w:tcW w:w="1727" w:type="pct"/>
          </w:tcPr>
          <w:p w14:paraId="764B8E5F" w14:textId="77882693" w:rsidR="00BA5199" w:rsidRPr="00EC74DB" w:rsidRDefault="00BA5199" w:rsidP="004A36AF">
            <w:pPr>
              <w:pStyle w:val="Btabletextunbold"/>
              <w:keepNext/>
              <w:keepLines/>
            </w:pPr>
            <w:r w:rsidRPr="00A470D5">
              <w:t>Repayment Structure</w:t>
            </w:r>
          </w:p>
        </w:tc>
        <w:tc>
          <w:tcPr>
            <w:tcW w:w="3273" w:type="pct"/>
          </w:tcPr>
          <w:p w14:paraId="4BA1D137" w14:textId="3D3CC618" w:rsidR="00BA5199" w:rsidRPr="00EC74DB" w:rsidRDefault="00BA5199" w:rsidP="004A36AF">
            <w:pPr>
              <w:pStyle w:val="Btabletextunbold"/>
              <w:keepNext/>
              <w:keepLines/>
            </w:pPr>
            <w:proofErr w:type="spellStart"/>
            <w:r w:rsidRPr="00A470D5">
              <w:t>CHC</w:t>
            </w:r>
            <w:proofErr w:type="spellEnd"/>
            <w:r w:rsidRPr="00A470D5">
              <w:t xml:space="preserve"> will make loan repayments to CMTEDD and CMTEDD will make loan repayments to the Territory Banking Account on the same terms and conditions applying to </w:t>
            </w:r>
            <w:proofErr w:type="spellStart"/>
            <w:r w:rsidRPr="00A470D5">
              <w:t>CHC</w:t>
            </w:r>
            <w:proofErr w:type="spellEnd"/>
            <w:r w:rsidRPr="00A470D5">
              <w:t>.</w:t>
            </w:r>
          </w:p>
        </w:tc>
      </w:tr>
      <w:tr w:rsidR="00BA5199" w:rsidRPr="00337DC9" w14:paraId="01AF8BF0" w14:textId="77777777" w:rsidTr="00D70E80">
        <w:trPr>
          <w:trHeight w:val="270"/>
        </w:trPr>
        <w:tc>
          <w:tcPr>
            <w:tcW w:w="1727" w:type="pct"/>
          </w:tcPr>
          <w:p w14:paraId="545473EC" w14:textId="5F8867C0" w:rsidR="00BA5199" w:rsidRPr="00EC74DB" w:rsidRDefault="00BA5199" w:rsidP="004A36AF">
            <w:pPr>
              <w:pStyle w:val="Btabletextunbold"/>
              <w:keepNext/>
              <w:keepLines/>
            </w:pPr>
            <w:r w:rsidRPr="00A470D5">
              <w:t>Estimated Principal Loan Balance at 30 June 20</w:t>
            </w:r>
            <w:r>
              <w:t>21</w:t>
            </w:r>
          </w:p>
        </w:tc>
        <w:tc>
          <w:tcPr>
            <w:tcW w:w="3273" w:type="pct"/>
          </w:tcPr>
          <w:p w14:paraId="46F009AA" w14:textId="14ABB50B" w:rsidR="00BA5199" w:rsidRPr="00EC74DB" w:rsidRDefault="00BA5199" w:rsidP="004A36AF">
            <w:pPr>
              <w:pStyle w:val="Btabletextunbold"/>
              <w:keepNext/>
              <w:keepLines/>
            </w:pPr>
            <w:r w:rsidRPr="00A470D5">
              <w:t>$18.112 million</w:t>
            </w:r>
          </w:p>
        </w:tc>
      </w:tr>
    </w:tbl>
    <w:p w14:paraId="085B21BB" w14:textId="2B29C09A" w:rsidR="00F37076" w:rsidRDefault="00F37076" w:rsidP="00F37076">
      <w:pPr>
        <w:pStyle w:val="Bbodytext"/>
      </w:pPr>
    </w:p>
    <w:p w14:paraId="7BCE9A3A" w14:textId="057993CB" w:rsidR="00F37076" w:rsidRDefault="00D70E80" w:rsidP="00D70E80">
      <w:pPr>
        <w:pStyle w:val="Heading5"/>
      </w:pPr>
      <w:r>
        <w:t>Exhibition Park</w:t>
      </w:r>
    </w:p>
    <w:tbl>
      <w:tblPr>
        <w:tblStyle w:val="TableGrid"/>
        <w:tblW w:w="5000" w:type="pct"/>
        <w:tblLook w:val="04A0" w:firstRow="1" w:lastRow="0" w:firstColumn="1" w:lastColumn="0" w:noHBand="0" w:noVBand="1"/>
      </w:tblPr>
      <w:tblGrid>
        <w:gridCol w:w="3114"/>
        <w:gridCol w:w="5902"/>
      </w:tblGrid>
      <w:tr w:rsidR="00D70E80" w:rsidRPr="008F5D57" w14:paraId="2862D081" w14:textId="77777777" w:rsidTr="00510A65">
        <w:trPr>
          <w:trHeight w:val="156"/>
        </w:trPr>
        <w:tc>
          <w:tcPr>
            <w:tcW w:w="1727" w:type="pct"/>
          </w:tcPr>
          <w:p w14:paraId="47FF1AF7" w14:textId="0A3D4DB5" w:rsidR="00D70E80" w:rsidRDefault="00D70E80" w:rsidP="00D70E80">
            <w:pPr>
              <w:pStyle w:val="Btabletextunbold"/>
            </w:pPr>
            <w:r w:rsidRPr="00B35E77">
              <w:t>Purpose</w:t>
            </w:r>
          </w:p>
        </w:tc>
        <w:tc>
          <w:tcPr>
            <w:tcW w:w="3273" w:type="pct"/>
          </w:tcPr>
          <w:p w14:paraId="20BA5BDC" w14:textId="237786F9" w:rsidR="00D70E80" w:rsidRDefault="00D70E80" w:rsidP="00D70E80">
            <w:pPr>
              <w:pStyle w:val="Btabletextunbold"/>
            </w:pPr>
            <w:r w:rsidRPr="00B35E77">
              <w:t>The loan represents financial assistance to the former Exhibition Park Corporation (EPC)</w:t>
            </w:r>
            <w:r w:rsidRPr="00B35E77">
              <w:rPr>
                <w:vertAlign w:val="superscript"/>
              </w:rPr>
              <w:t>1</w:t>
            </w:r>
            <w:r w:rsidRPr="00B35E77">
              <w:t xml:space="preserve"> to enable it to purchase Block 799 Gungahlin, for the purpose of leasing the block to a third party to develop and operate low cost accommodation facilities.</w:t>
            </w:r>
          </w:p>
        </w:tc>
      </w:tr>
      <w:tr w:rsidR="00D70E80" w:rsidRPr="00337DC9" w14:paraId="78BCFB68" w14:textId="77777777" w:rsidTr="00510A65">
        <w:trPr>
          <w:trHeight w:val="257"/>
        </w:trPr>
        <w:tc>
          <w:tcPr>
            <w:tcW w:w="1727" w:type="pct"/>
          </w:tcPr>
          <w:p w14:paraId="71E5A693" w14:textId="7F1A2FDD" w:rsidR="00D70E80" w:rsidRPr="00EC74DB" w:rsidRDefault="00D70E80" w:rsidP="00D70E80">
            <w:pPr>
              <w:pStyle w:val="Btabletextunbold"/>
            </w:pPr>
            <w:r w:rsidRPr="00B35E77">
              <w:t>Loan Commencement</w:t>
            </w:r>
          </w:p>
        </w:tc>
        <w:tc>
          <w:tcPr>
            <w:tcW w:w="3273" w:type="pct"/>
          </w:tcPr>
          <w:p w14:paraId="12343AB5" w14:textId="055F911C" w:rsidR="00D70E80" w:rsidRPr="00EC74DB" w:rsidRDefault="00D70E80" w:rsidP="00D70E80">
            <w:pPr>
              <w:pStyle w:val="Btabletextunbold"/>
            </w:pPr>
            <w:r w:rsidRPr="00B35E77">
              <w:t>2013-14</w:t>
            </w:r>
          </w:p>
        </w:tc>
      </w:tr>
      <w:tr w:rsidR="00D70E80" w:rsidRPr="00337DC9" w14:paraId="48D74983" w14:textId="77777777" w:rsidTr="00510A65">
        <w:trPr>
          <w:trHeight w:val="270"/>
        </w:trPr>
        <w:tc>
          <w:tcPr>
            <w:tcW w:w="1727" w:type="pct"/>
          </w:tcPr>
          <w:p w14:paraId="0505B3D4" w14:textId="655A3320" w:rsidR="00D70E80" w:rsidRPr="00EC74DB" w:rsidRDefault="00D70E80" w:rsidP="00D70E80">
            <w:pPr>
              <w:pStyle w:val="Btabletextunbold"/>
            </w:pPr>
            <w:r w:rsidRPr="00B35E77">
              <w:t>Loan Amount</w:t>
            </w:r>
          </w:p>
        </w:tc>
        <w:tc>
          <w:tcPr>
            <w:tcW w:w="3273" w:type="pct"/>
          </w:tcPr>
          <w:p w14:paraId="46D086FC" w14:textId="48BDB48C" w:rsidR="00D70E80" w:rsidRPr="00EC74DB" w:rsidRDefault="00D70E80" w:rsidP="00D70E80">
            <w:pPr>
              <w:pStyle w:val="Btabletextunbold"/>
            </w:pPr>
            <w:r w:rsidRPr="00B35E77">
              <w:t>$1.5 million</w:t>
            </w:r>
          </w:p>
        </w:tc>
      </w:tr>
      <w:tr w:rsidR="00D70E80" w:rsidRPr="00337DC9" w14:paraId="696C3776" w14:textId="77777777" w:rsidTr="00510A65">
        <w:trPr>
          <w:trHeight w:val="257"/>
        </w:trPr>
        <w:tc>
          <w:tcPr>
            <w:tcW w:w="1727" w:type="pct"/>
          </w:tcPr>
          <w:p w14:paraId="062C09E0" w14:textId="731ED86E" w:rsidR="00D70E80" w:rsidRPr="00EC74DB" w:rsidRDefault="00D70E80" w:rsidP="00D70E80">
            <w:pPr>
              <w:pStyle w:val="Btabletextunbold"/>
            </w:pPr>
            <w:r w:rsidRPr="00B35E77">
              <w:t>Maturity Date</w:t>
            </w:r>
          </w:p>
        </w:tc>
        <w:tc>
          <w:tcPr>
            <w:tcW w:w="3273" w:type="pct"/>
          </w:tcPr>
          <w:p w14:paraId="62837D56" w14:textId="750B00D2" w:rsidR="00D70E80" w:rsidRPr="00EC74DB" w:rsidRDefault="00D70E80" w:rsidP="00D70E80">
            <w:pPr>
              <w:pStyle w:val="Btabletextunbold"/>
            </w:pPr>
            <w:r w:rsidRPr="00B35E77">
              <w:t>1 July 2033</w:t>
            </w:r>
          </w:p>
        </w:tc>
      </w:tr>
      <w:tr w:rsidR="00D70E80" w:rsidRPr="00337DC9" w14:paraId="3F821121" w14:textId="77777777" w:rsidTr="00510A65">
        <w:trPr>
          <w:trHeight w:val="257"/>
        </w:trPr>
        <w:tc>
          <w:tcPr>
            <w:tcW w:w="1727" w:type="pct"/>
          </w:tcPr>
          <w:p w14:paraId="7798A74B" w14:textId="4B0D65EA" w:rsidR="00D70E80" w:rsidRPr="00EC74DB" w:rsidRDefault="00D70E80" w:rsidP="00D70E80">
            <w:pPr>
              <w:pStyle w:val="Btabletextunbold"/>
            </w:pPr>
            <w:r w:rsidRPr="00B35E77">
              <w:t>Interest Rate</w:t>
            </w:r>
          </w:p>
        </w:tc>
        <w:tc>
          <w:tcPr>
            <w:tcW w:w="3273" w:type="pct"/>
          </w:tcPr>
          <w:p w14:paraId="3656EAFF" w14:textId="458BD850" w:rsidR="00D70E80" w:rsidRPr="00EC74DB" w:rsidRDefault="00D70E80" w:rsidP="00D70E80">
            <w:pPr>
              <w:pStyle w:val="Btabletextunbold"/>
            </w:pPr>
            <w:r w:rsidRPr="00B35E77">
              <w:t>5 per cent, fixed</w:t>
            </w:r>
          </w:p>
        </w:tc>
      </w:tr>
      <w:tr w:rsidR="00D70E80" w:rsidRPr="00337DC9" w14:paraId="69574468" w14:textId="77777777" w:rsidTr="00510A65">
        <w:trPr>
          <w:trHeight w:val="270"/>
        </w:trPr>
        <w:tc>
          <w:tcPr>
            <w:tcW w:w="1727" w:type="pct"/>
          </w:tcPr>
          <w:p w14:paraId="7BD7E651" w14:textId="246BC386" w:rsidR="00D70E80" w:rsidRPr="00EC74DB" w:rsidRDefault="00D70E80" w:rsidP="00D70E80">
            <w:pPr>
              <w:pStyle w:val="Btabletextunbold"/>
            </w:pPr>
            <w:r w:rsidRPr="00B35E77">
              <w:t>Repayment Terms</w:t>
            </w:r>
          </w:p>
        </w:tc>
        <w:tc>
          <w:tcPr>
            <w:tcW w:w="3273" w:type="pct"/>
          </w:tcPr>
          <w:p w14:paraId="24ABAEA2" w14:textId="422B6276" w:rsidR="00D70E80" w:rsidRPr="00EC74DB" w:rsidRDefault="00D70E80" w:rsidP="00D70E80">
            <w:pPr>
              <w:pStyle w:val="Btabletextunbold"/>
            </w:pPr>
            <w:r w:rsidRPr="00B35E77">
              <w:t xml:space="preserve">Quarterly instalments of principal and interest are to be repaid on 1 October, 1 January, 1 April and 1 July each year until maturity, commencing 1 October 2018 and thereafter up to and including the final payment being made on or before the </w:t>
            </w:r>
            <w:r w:rsidR="0092198E">
              <w:t>l</w:t>
            </w:r>
            <w:r w:rsidR="0092198E" w:rsidRPr="00B35E77">
              <w:t xml:space="preserve">oan </w:t>
            </w:r>
            <w:r w:rsidRPr="00B35E77">
              <w:t>expiration date of 1 July 2033.</w:t>
            </w:r>
          </w:p>
        </w:tc>
      </w:tr>
      <w:tr w:rsidR="00D70E80" w:rsidRPr="00337DC9" w14:paraId="3BC2C395" w14:textId="77777777" w:rsidTr="00510A65">
        <w:trPr>
          <w:trHeight w:val="270"/>
        </w:trPr>
        <w:tc>
          <w:tcPr>
            <w:tcW w:w="1727" w:type="pct"/>
          </w:tcPr>
          <w:p w14:paraId="53E83587" w14:textId="11BAD371" w:rsidR="00D70E80" w:rsidRPr="00EC74DB" w:rsidRDefault="00D70E80" w:rsidP="00D70E80">
            <w:pPr>
              <w:pStyle w:val="Btabletextunbold"/>
            </w:pPr>
            <w:r w:rsidRPr="00B35E77">
              <w:t>Repayment Structure</w:t>
            </w:r>
          </w:p>
        </w:tc>
        <w:tc>
          <w:tcPr>
            <w:tcW w:w="3273" w:type="pct"/>
          </w:tcPr>
          <w:p w14:paraId="0E5A5D87" w14:textId="223F2804" w:rsidR="00D70E80" w:rsidRPr="00EC74DB" w:rsidRDefault="00D70E80" w:rsidP="00D70E80">
            <w:pPr>
              <w:pStyle w:val="Btabletextunbold"/>
            </w:pPr>
            <w:r w:rsidRPr="00B35E77">
              <w:t>CMTEDD will make the loan repayments to the Territory Banking Account.</w:t>
            </w:r>
          </w:p>
        </w:tc>
      </w:tr>
      <w:tr w:rsidR="00D70E80" w:rsidRPr="00337DC9" w14:paraId="31F829D8" w14:textId="77777777" w:rsidTr="00510A65">
        <w:trPr>
          <w:trHeight w:val="270"/>
        </w:trPr>
        <w:tc>
          <w:tcPr>
            <w:tcW w:w="1727" w:type="pct"/>
          </w:tcPr>
          <w:p w14:paraId="39D6062B" w14:textId="49C6A272" w:rsidR="00D70E80" w:rsidRPr="00EC74DB" w:rsidRDefault="00D70E80" w:rsidP="00D70E80">
            <w:pPr>
              <w:pStyle w:val="Btabletextunbold"/>
            </w:pPr>
            <w:r w:rsidRPr="00B35E77">
              <w:t>Estimated Principal Loan Balance at 30 June 2021</w:t>
            </w:r>
          </w:p>
        </w:tc>
        <w:tc>
          <w:tcPr>
            <w:tcW w:w="3273" w:type="pct"/>
          </w:tcPr>
          <w:p w14:paraId="62B76DB2" w14:textId="558FA4D6" w:rsidR="00D70E80" w:rsidRPr="00EC74DB" w:rsidRDefault="00D70E80" w:rsidP="00D70E80">
            <w:pPr>
              <w:pStyle w:val="Btabletextunbold"/>
            </w:pPr>
            <w:r w:rsidRPr="00B35E77">
              <w:t>$1.302 million</w:t>
            </w:r>
          </w:p>
        </w:tc>
      </w:tr>
    </w:tbl>
    <w:p w14:paraId="216E78D4" w14:textId="2F3DBCD0" w:rsidR="000F2111" w:rsidRDefault="000F2111" w:rsidP="000F2111">
      <w:pPr>
        <w:pStyle w:val="BNoteBold"/>
      </w:pPr>
      <w:r>
        <w:t>Note</w:t>
      </w:r>
      <w:r w:rsidR="00D70E80">
        <w:t>:</w:t>
      </w:r>
    </w:p>
    <w:p w14:paraId="261E27A5" w14:textId="42EE3A1F" w:rsidR="000F2111" w:rsidRDefault="00D70E80" w:rsidP="00D70E80">
      <w:pPr>
        <w:pStyle w:val="BNotelist"/>
      </w:pPr>
      <w:r w:rsidRPr="00B35E77">
        <w:t xml:space="preserve">As notified on 3 December 2014, the </w:t>
      </w:r>
      <w:r w:rsidRPr="00B35E77">
        <w:rPr>
          <w:i/>
        </w:rPr>
        <w:t>Exhibition Park Corporation Repeal Act 2014</w:t>
      </w:r>
      <w:r w:rsidRPr="00B35E77">
        <w:t xml:space="preserve"> resulted in the integration of the functions, staff, assets and liabilities of EPC into CMTEDD</w:t>
      </w:r>
      <w:r>
        <w:t>.</w:t>
      </w:r>
    </w:p>
    <w:p w14:paraId="483893F3" w14:textId="3D909F34" w:rsidR="00D70E80" w:rsidRDefault="00D70E80" w:rsidP="00D70E80">
      <w:pPr>
        <w:pStyle w:val="Bbodytext"/>
      </w:pPr>
    </w:p>
    <w:p w14:paraId="70386421" w14:textId="6AF4BFD5" w:rsidR="00D70E80" w:rsidRDefault="00D70E80" w:rsidP="004A36AF">
      <w:pPr>
        <w:pStyle w:val="Heading5"/>
      </w:pPr>
      <w:r>
        <w:lastRenderedPageBreak/>
        <w:t>Sustainable Household Scheme</w:t>
      </w:r>
    </w:p>
    <w:p w14:paraId="635BC4D4" w14:textId="77777777" w:rsidR="00D70E80" w:rsidRPr="00D70E80" w:rsidRDefault="00D70E80" w:rsidP="004A36AF">
      <w:pPr>
        <w:pStyle w:val="Bbodytext"/>
        <w:keepNext/>
        <w:keepLines/>
      </w:pPr>
      <w:r w:rsidRPr="00D70E80">
        <w:t>The Government will implement a program of zero interest loans to assist households and not-for-profit community organisations with the upfront costs of investing in rooftop solar panels; household battery storage; zero emission vehicles; and efficient electric appliances.</w:t>
      </w:r>
    </w:p>
    <w:p w14:paraId="529ADCAB" w14:textId="77777777" w:rsidR="00D70E80" w:rsidRPr="00D70E80" w:rsidRDefault="00D70E80" w:rsidP="004A36AF">
      <w:pPr>
        <w:pStyle w:val="Bbodytext"/>
        <w:keepNext/>
        <w:keepLines/>
      </w:pPr>
      <w:r w:rsidRPr="00D70E80">
        <w:t>Funding for these loans will be provided to CMTEDD via capital injection. The capital injection will be repaid by CMTEDD to the Territory Banking Account.</w:t>
      </w:r>
    </w:p>
    <w:p w14:paraId="1A107C4B" w14:textId="54C1AB32" w:rsidR="00D70E80" w:rsidRPr="00D70E80" w:rsidRDefault="00D70E80" w:rsidP="004A36AF">
      <w:pPr>
        <w:pStyle w:val="Bbodytext"/>
        <w:keepNext/>
        <w:keepLines/>
      </w:pPr>
      <w:r w:rsidRPr="00D70E80">
        <w:t>Loans are estimated to commence in the 2020-21 financial year with further detailed work to be undertaken to establish a framework to guide the establishment, structure</w:t>
      </w:r>
      <w:r w:rsidR="0092198E">
        <w:t>,</w:t>
      </w:r>
      <w:r w:rsidRPr="00D70E80">
        <w:t xml:space="preserve"> and management of these loans.</w:t>
      </w:r>
    </w:p>
    <w:p w14:paraId="4E787ED9" w14:textId="77777777" w:rsidR="00D70E80" w:rsidRPr="00D70E80" w:rsidRDefault="00D70E80" w:rsidP="00D70E80">
      <w:pPr>
        <w:pStyle w:val="Bbodytext"/>
      </w:pPr>
    </w:p>
    <w:sectPr w:rsidR="00D70E80" w:rsidRPr="00D70E80" w:rsidSect="00B66136">
      <w:headerReference w:type="even" r:id="rId8"/>
      <w:headerReference w:type="default" r:id="rId9"/>
      <w:footerReference w:type="even" r:id="rId10"/>
      <w:footerReference w:type="default" r:id="rId11"/>
      <w:headerReference w:type="first" r:id="rId12"/>
      <w:footerReference w:type="first" r:id="rId13"/>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5787" w14:textId="77777777" w:rsidR="00EF3CE8" w:rsidRDefault="00EF3CE8" w:rsidP="00C339EF">
      <w:pPr>
        <w:spacing w:after="0" w:line="240" w:lineRule="auto"/>
      </w:pPr>
      <w:r>
        <w:separator/>
      </w:r>
    </w:p>
  </w:endnote>
  <w:endnote w:type="continuationSeparator" w:id="0">
    <w:p w14:paraId="55AEB197" w14:textId="77777777" w:rsidR="00EF3CE8" w:rsidRDefault="00EF3CE8"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ADAD" w14:textId="77777777" w:rsidR="001317E7" w:rsidRDefault="00131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D19E" w14:textId="44ACA6F6" w:rsidR="00C339EF" w:rsidRDefault="00D45658" w:rsidP="00B66136">
    <w:pPr>
      <w:pStyle w:val="BFooter"/>
      <w:tabs>
        <w:tab w:val="clear" w:pos="4513"/>
        <w:tab w:val="clear" w:pos="9026"/>
        <w:tab w:val="right" w:pos="4536"/>
        <w:tab w:val="right" w:pos="9355"/>
      </w:tabs>
      <w:jc w:val="center"/>
    </w:pPr>
    <w:r>
      <w:t>2020</w:t>
    </w:r>
    <w:r w:rsidR="00745FB8">
      <w:t>-21 Budget</w:t>
    </w:r>
    <w:r w:rsidR="00C339EF">
      <w:ptab w:relativeTo="margin" w:alignment="center" w:leader="none"/>
    </w:r>
    <w:r w:rsidR="0063450C" w:rsidRPr="0063450C">
      <w:fldChar w:fldCharType="begin"/>
    </w:r>
    <w:r w:rsidR="0063450C" w:rsidRPr="0063450C">
      <w:instrText xml:space="preserve"> PAGE   \* MERGEFORMAT </w:instrText>
    </w:r>
    <w:r w:rsidR="0063450C" w:rsidRPr="0063450C">
      <w:fldChar w:fldCharType="separate"/>
    </w:r>
    <w:r w:rsidR="0063450C" w:rsidRPr="0063450C">
      <w:rPr>
        <w:noProof/>
      </w:rPr>
      <w:t>1</w:t>
    </w:r>
    <w:r w:rsidR="0063450C" w:rsidRPr="0063450C">
      <w:rPr>
        <w:noProof/>
      </w:rPr>
      <w:fldChar w:fldCharType="end"/>
    </w:r>
    <w:r w:rsidR="00C339EF">
      <w:ptab w:relativeTo="margin" w:alignment="right" w:leader="none"/>
    </w:r>
    <w:r w:rsidR="003D3985">
      <w:t xml:space="preserve">Summary and </w:t>
    </w:r>
    <w:r w:rsidR="001317E7">
      <w:t>T</w:t>
    </w:r>
    <w:r w:rsidR="003D3985">
      <w:t xml:space="preserve">erms of </w:t>
    </w:r>
    <w:r w:rsidR="001317E7">
      <w:t>D</w:t>
    </w:r>
    <w:r w:rsidR="003D3985">
      <w:t xml:space="preserve">ebt </w:t>
    </w:r>
    <w:r w:rsidR="001317E7">
      <w:t>C</w:t>
    </w:r>
    <w:r w:rsidR="003D3985">
      <w:t xml:space="preserve">apital </w:t>
    </w:r>
    <w:r w:rsidR="001317E7">
      <w:t>I</w:t>
    </w:r>
    <w:r w:rsidR="003D3985">
      <w:t>njection</w:t>
    </w:r>
    <w:r w:rsidR="0063450C">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66E7" w14:textId="77777777" w:rsidR="001317E7" w:rsidRDefault="0013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BB7B" w14:textId="77777777" w:rsidR="00EF3CE8" w:rsidRDefault="00EF3CE8" w:rsidP="00C339EF">
      <w:pPr>
        <w:spacing w:after="0" w:line="240" w:lineRule="auto"/>
      </w:pPr>
      <w:r>
        <w:separator/>
      </w:r>
    </w:p>
  </w:footnote>
  <w:footnote w:type="continuationSeparator" w:id="0">
    <w:p w14:paraId="0C9CCCDF" w14:textId="77777777" w:rsidR="00EF3CE8" w:rsidRDefault="00EF3CE8" w:rsidP="00C3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C535" w14:textId="77777777" w:rsidR="001317E7" w:rsidRDefault="00131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941F" w14:textId="77777777" w:rsidR="001317E7" w:rsidRDefault="00131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69A3" w14:textId="77777777" w:rsidR="001317E7" w:rsidRDefault="00131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3"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C628A1"/>
    <w:multiLevelType w:val="multilevel"/>
    <w:tmpl w:val="783630BC"/>
    <w:lvl w:ilvl="0">
      <w:start w:val="1"/>
      <w:numFmt w:val="decimal"/>
      <w:pStyle w:val="Heading1"/>
      <w:lvlText w:val="Chapter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5"/>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E8"/>
    <w:rsid w:val="00040E1E"/>
    <w:rsid w:val="00042A03"/>
    <w:rsid w:val="000448EC"/>
    <w:rsid w:val="00053B8F"/>
    <w:rsid w:val="000C264E"/>
    <w:rsid w:val="000F2111"/>
    <w:rsid w:val="00127067"/>
    <w:rsid w:val="001317E7"/>
    <w:rsid w:val="00132947"/>
    <w:rsid w:val="001B45B0"/>
    <w:rsid w:val="001F6E4B"/>
    <w:rsid w:val="00206479"/>
    <w:rsid w:val="002B6FEA"/>
    <w:rsid w:val="00306708"/>
    <w:rsid w:val="00333A51"/>
    <w:rsid w:val="003B6083"/>
    <w:rsid w:val="003D3985"/>
    <w:rsid w:val="003D3C31"/>
    <w:rsid w:val="004635D4"/>
    <w:rsid w:val="004763BD"/>
    <w:rsid w:val="004A36AF"/>
    <w:rsid w:val="00510954"/>
    <w:rsid w:val="0053211A"/>
    <w:rsid w:val="0058360A"/>
    <w:rsid w:val="0060379F"/>
    <w:rsid w:val="0063450C"/>
    <w:rsid w:val="0069156B"/>
    <w:rsid w:val="006925B5"/>
    <w:rsid w:val="006A6F89"/>
    <w:rsid w:val="00745FB8"/>
    <w:rsid w:val="00751E6C"/>
    <w:rsid w:val="007C79A0"/>
    <w:rsid w:val="00872559"/>
    <w:rsid w:val="008C777E"/>
    <w:rsid w:val="008D68F3"/>
    <w:rsid w:val="008E77B9"/>
    <w:rsid w:val="008F3D28"/>
    <w:rsid w:val="00907A70"/>
    <w:rsid w:val="00914F05"/>
    <w:rsid w:val="0092198E"/>
    <w:rsid w:val="00935771"/>
    <w:rsid w:val="00963C2D"/>
    <w:rsid w:val="009B6354"/>
    <w:rsid w:val="009F421B"/>
    <w:rsid w:val="00A17189"/>
    <w:rsid w:val="00A2244E"/>
    <w:rsid w:val="00AD5BEB"/>
    <w:rsid w:val="00AE4F22"/>
    <w:rsid w:val="00AE55CE"/>
    <w:rsid w:val="00B014A7"/>
    <w:rsid w:val="00B02807"/>
    <w:rsid w:val="00B04C69"/>
    <w:rsid w:val="00B23F5E"/>
    <w:rsid w:val="00B66136"/>
    <w:rsid w:val="00BA5199"/>
    <w:rsid w:val="00BB1599"/>
    <w:rsid w:val="00BD2CA3"/>
    <w:rsid w:val="00C0136E"/>
    <w:rsid w:val="00C13C9A"/>
    <w:rsid w:val="00C15B7D"/>
    <w:rsid w:val="00C339EF"/>
    <w:rsid w:val="00C60999"/>
    <w:rsid w:val="00C853A5"/>
    <w:rsid w:val="00C9463B"/>
    <w:rsid w:val="00CB1B64"/>
    <w:rsid w:val="00CB4C52"/>
    <w:rsid w:val="00D12102"/>
    <w:rsid w:val="00D45658"/>
    <w:rsid w:val="00D70E80"/>
    <w:rsid w:val="00DE7544"/>
    <w:rsid w:val="00E0330D"/>
    <w:rsid w:val="00E53996"/>
    <w:rsid w:val="00E84C08"/>
    <w:rsid w:val="00E86193"/>
    <w:rsid w:val="00EC74DB"/>
    <w:rsid w:val="00EE66D5"/>
    <w:rsid w:val="00EF3CE8"/>
    <w:rsid w:val="00F0566D"/>
    <w:rsid w:val="00F32FDE"/>
    <w:rsid w:val="00F37076"/>
    <w:rsid w:val="00F54EBE"/>
    <w:rsid w:val="00FD5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9D2C8"/>
  <w15:chartTrackingRefBased/>
  <w15:docId w15:val="{CD114292-EC93-4D14-8BDA-3F5032A2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E8"/>
  </w:style>
  <w:style w:type="paragraph" w:styleId="Heading1">
    <w:name w:val="heading 1"/>
    <w:basedOn w:val="Normal"/>
    <w:next w:val="Normal"/>
    <w:link w:val="Heading1Char"/>
    <w:uiPriority w:val="9"/>
    <w:qFormat/>
    <w:rsid w:val="00AE55CE"/>
    <w:pPr>
      <w:keepNext/>
      <w:keepLines/>
      <w:numPr>
        <w:numId w:val="9"/>
      </w:numPr>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AE55CE"/>
    <w:pPr>
      <w:keepNext/>
      <w:keepLines/>
      <w:numPr>
        <w:ilvl w:val="1"/>
        <w:numId w:val="9"/>
      </w:numPr>
      <w:spacing w:before="360" w:after="200" w:line="240" w:lineRule="auto"/>
      <w:outlineLvl w:val="1"/>
    </w:pPr>
    <w:rPr>
      <w:rFonts w:ascii="Calibri" w:eastAsiaTheme="majorEastAsia" w:hAnsi="Calibri" w:cstheme="majorBidi"/>
      <w:b/>
      <w:caps/>
      <w:sz w:val="36"/>
      <w:szCs w:val="26"/>
    </w:rPr>
  </w:style>
  <w:style w:type="paragraph" w:styleId="Heading3">
    <w:name w:val="heading 3"/>
    <w:basedOn w:val="Normal"/>
    <w:next w:val="Normal"/>
    <w:link w:val="Heading3Char"/>
    <w:uiPriority w:val="9"/>
    <w:unhideWhenUsed/>
    <w:qFormat/>
    <w:rsid w:val="00935771"/>
    <w:pPr>
      <w:keepNext/>
      <w:keepLines/>
      <w:spacing w:before="360" w:after="200" w:line="240" w:lineRule="auto"/>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_body_text"/>
    <w:basedOn w:val="Normal"/>
    <w:link w:val="BbodytextChar"/>
    <w:qFormat/>
    <w:rsid w:val="001B45B0"/>
    <w:pPr>
      <w:spacing w:before="120" w:after="120" w:line="240" w:lineRule="auto"/>
    </w:pPr>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odytextChar">
    <w:name w:val="B_body_text Char"/>
    <w:basedOn w:val="DefaultParagraphFont"/>
    <w:link w:val="Bbodytext"/>
    <w:rsid w:val="001B45B0"/>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BBullet1Char">
    <w:name w:val="B_Bullet_1 Char"/>
    <w:basedOn w:val="BbodytextChar"/>
    <w:link w:val="BBullet1"/>
    <w:rsid w:val="00E53996"/>
    <w:rPr>
      <w:sz w:val="24"/>
    </w:r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paragraph" w:customStyle="1" w:styleId="BFooter">
    <w:name w:val="B_Footer"/>
    <w:basedOn w:val="Footer"/>
    <w:link w:val="BFooterChar"/>
    <w:qFormat/>
    <w:rsid w:val="00206479"/>
    <w:pPr>
      <w:pBdr>
        <w:top w:val="single" w:sz="4" w:space="1" w:color="auto"/>
      </w:pBdr>
      <w:ind w:left="-284" w:right="-329"/>
    </w:pPr>
    <w:rPr>
      <w:i/>
      <w:sz w:val="20"/>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BFooterChar">
    <w:name w:val="B_Footer Char"/>
    <w:basedOn w:val="FooterChar"/>
    <w:link w:val="BFooter"/>
    <w:rsid w:val="00206479"/>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character" w:customStyle="1" w:styleId="Heading2Char">
    <w:name w:val="Heading 2 Char"/>
    <w:basedOn w:val="DefaultParagraphFont"/>
    <w:link w:val="Heading2"/>
    <w:uiPriority w:val="9"/>
    <w:rsid w:val="00AE55CE"/>
    <w:rPr>
      <w:rFonts w:ascii="Calibri" w:eastAsiaTheme="majorEastAsia" w:hAnsi="Calibri" w:cstheme="majorBidi"/>
      <w:b/>
      <w:caps/>
      <w:sz w:val="36"/>
      <w:szCs w:val="26"/>
    </w:rPr>
  </w:style>
  <w:style w:type="character" w:customStyle="1" w:styleId="Heading3Char">
    <w:name w:val="Heading 3 Char"/>
    <w:basedOn w:val="DefaultParagraphFont"/>
    <w:link w:val="Heading3"/>
    <w:uiPriority w:val="9"/>
    <w:rsid w:val="00935771"/>
    <w:rPr>
      <w:rFonts w:ascii="Calibri" w:eastAsiaTheme="majorEastAsia" w:hAnsi="Calibri" w:cstheme="majorBidi"/>
      <w:b/>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paragraph" w:styleId="Caption">
    <w:name w:val="caption"/>
    <w:basedOn w:val="Normal"/>
    <w:next w:val="Normal"/>
    <w:uiPriority w:val="35"/>
    <w:unhideWhenUsed/>
    <w:qFormat/>
    <w:rsid w:val="001B45B0"/>
    <w:pPr>
      <w:keepNext/>
      <w:spacing w:before="240" w:after="200" w:line="240" w:lineRule="auto"/>
    </w:pPr>
    <w:rPr>
      <w:b/>
      <w:iCs/>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Emptycell">
    <w:name w:val="Empty cell"/>
    <w:basedOn w:val="Bbodytext"/>
    <w:qFormat/>
    <w:rsid w:val="004635D4"/>
    <w:pPr>
      <w:numPr>
        <w:numId w:val="7"/>
      </w:numPr>
    </w:pPr>
    <w:rPr>
      <w:color w:val="FFFFFF" w:themeColor="background1"/>
      <w:sz w:val="16"/>
    </w:rPr>
  </w:style>
  <w:style w:type="table" w:styleId="TableGrid">
    <w:name w:val="Table Grid"/>
    <w:basedOn w:val="TableNormal"/>
    <w:uiPriority w:val="39"/>
    <w:rsid w:val="00BA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tabletextunbold">
    <w:name w:val="BS_table text unbold"/>
    <w:basedOn w:val="Normal"/>
    <w:qFormat/>
    <w:rsid w:val="00BA5199"/>
    <w:pPr>
      <w:spacing w:after="0" w:line="240" w:lineRule="auto"/>
      <w:ind w:left="227" w:hanging="227"/>
    </w:pPr>
    <w:rPr>
      <w:rFonts w:ascii="Calibri" w:eastAsia="Times New Roman" w:hAnsi="Calibri" w:cs="Times New Roman"/>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nancialmgmt\COMMON\Budget20%20(Feb%20publication)\Planning\Template\2020-21%20Budget%20Chap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2020-21 Budget Chapter template.dotx</Template>
  <TotalTime>20</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 2020-21 Budget - Summary and Terms of Debt Capital Injection</vt:lpstr>
    </vt:vector>
  </TitlesOfParts>
  <Company>ACT Government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2020-21 Budget - Summary and Terms of Debt Capital Injection</dc:title>
  <dc:subject/>
  <dc:creator>ACT Government</dc:creator>
  <cp:keywords>ACT Government, 2020-21 Budget</cp:keywords>
  <dc:description/>
  <cp:lastModifiedBy>Hutchinson, Paul</cp:lastModifiedBy>
  <cp:revision>19</cp:revision>
  <cp:lastPrinted>2021-02-07T22:43:00Z</cp:lastPrinted>
  <dcterms:created xsi:type="dcterms:W3CDTF">2021-02-05T04:26:00Z</dcterms:created>
  <dcterms:modified xsi:type="dcterms:W3CDTF">2021-02-08T00:05:00Z</dcterms:modified>
</cp:coreProperties>
</file>