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F1" w:rsidRDefault="001B01F1">
      <w:pPr>
        <w:pStyle w:val="BodyText"/>
        <w:rPr>
          <w:rFonts w:ascii="Times New Roman"/>
        </w:rPr>
      </w:pPr>
    </w:p>
    <w:p w:rsidR="001B01F1" w:rsidRDefault="007D3C02" w:rsidP="007D3C02">
      <w:pPr>
        <w:pStyle w:val="BodyText"/>
        <w:jc w:val="right"/>
        <w:rPr>
          <w:rFonts w:ascii="Times New Roman"/>
        </w:rPr>
      </w:pPr>
      <w:r>
        <w:rPr>
          <w:noProof/>
          <w:lang w:val="en-AU" w:eastAsia="en-AU"/>
        </w:rPr>
        <w:drawing>
          <wp:inline distT="0" distB="0" distL="0" distR="0">
            <wp:extent cx="1032509" cy="1049439"/>
            <wp:effectExtent l="19050" t="0" r="0" b="0"/>
            <wp:docPr id="3" name="image1.jpeg" descr="Energy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2509" cy="1049439"/>
                    </a:xfrm>
                    <a:prstGeom prst="rect">
                      <a:avLst/>
                    </a:prstGeom>
                  </pic:spPr>
                </pic:pic>
              </a:graphicData>
            </a:graphic>
          </wp:inline>
        </w:drawing>
      </w:r>
    </w:p>
    <w:p w:rsidR="001B01F1" w:rsidRDefault="001B01F1" w:rsidP="007D3C02">
      <w:pPr>
        <w:pStyle w:val="BodyText"/>
        <w:spacing w:before="10"/>
        <w:jc w:val="both"/>
        <w:rPr>
          <w:rFonts w:ascii="Times New Roman"/>
          <w:sz w:val="23"/>
        </w:rPr>
      </w:pPr>
    </w:p>
    <w:p w:rsidR="001B01F1" w:rsidRDefault="00B56AA5" w:rsidP="007D3C02">
      <w:pPr>
        <w:pStyle w:val="BodyText"/>
        <w:ind w:left="100"/>
      </w:pPr>
      <w:r>
        <w:t>10 February 2016</w:t>
      </w:r>
    </w:p>
    <w:p w:rsidR="001B01F1" w:rsidRDefault="001B01F1">
      <w:pPr>
        <w:pStyle w:val="BodyText"/>
      </w:pPr>
    </w:p>
    <w:p w:rsidR="001B01F1" w:rsidRDefault="001B01F1">
      <w:pPr>
        <w:pStyle w:val="BodyText"/>
        <w:spacing w:before="6"/>
        <w:rPr>
          <w:sz w:val="22"/>
        </w:rPr>
      </w:pPr>
    </w:p>
    <w:p w:rsidR="001B01F1" w:rsidRDefault="001B01F1">
      <w:pPr>
        <w:sectPr w:rsidR="001B01F1">
          <w:footerReference w:type="default" r:id="rId8"/>
          <w:type w:val="continuous"/>
          <w:pgSz w:w="11910" w:h="16840"/>
          <w:pgMar w:top="960" w:right="360" w:bottom="1080" w:left="1340" w:header="720" w:footer="896" w:gutter="0"/>
          <w:pgNumType w:start="1"/>
          <w:cols w:space="720"/>
        </w:sectPr>
      </w:pPr>
    </w:p>
    <w:p w:rsidR="001B01F1" w:rsidRDefault="001B01F1">
      <w:pPr>
        <w:pStyle w:val="BodyText"/>
        <w:rPr>
          <w:sz w:val="24"/>
        </w:rPr>
      </w:pPr>
    </w:p>
    <w:p w:rsidR="001B01F1" w:rsidRDefault="001B01F1">
      <w:pPr>
        <w:pStyle w:val="BodyText"/>
        <w:rPr>
          <w:sz w:val="24"/>
        </w:rPr>
      </w:pPr>
    </w:p>
    <w:p w:rsidR="001B01F1" w:rsidRDefault="001B01F1">
      <w:pPr>
        <w:pStyle w:val="BodyText"/>
        <w:rPr>
          <w:sz w:val="24"/>
        </w:rPr>
      </w:pPr>
    </w:p>
    <w:p w:rsidR="001B01F1" w:rsidRDefault="001B01F1">
      <w:pPr>
        <w:pStyle w:val="BodyText"/>
        <w:rPr>
          <w:sz w:val="24"/>
        </w:rPr>
      </w:pPr>
    </w:p>
    <w:p w:rsidR="001B01F1" w:rsidRDefault="001B01F1">
      <w:pPr>
        <w:pStyle w:val="BodyText"/>
        <w:spacing w:before="5"/>
        <w:rPr>
          <w:sz w:val="30"/>
        </w:rPr>
      </w:pPr>
    </w:p>
    <w:p w:rsidR="001B01F1" w:rsidRDefault="00B56AA5">
      <w:pPr>
        <w:pStyle w:val="BodyText"/>
        <w:spacing w:line="243" w:lineRule="exact"/>
        <w:ind w:left="100"/>
      </w:pPr>
      <w:r>
        <w:t>C/- Ms Nicole Wong</w:t>
      </w:r>
    </w:p>
    <w:p w:rsidR="001B01F1" w:rsidRDefault="00B56AA5">
      <w:pPr>
        <w:pStyle w:val="BodyText"/>
        <w:spacing w:line="242" w:lineRule="exact"/>
        <w:ind w:left="100"/>
      </w:pPr>
      <w:r>
        <w:t>Economic and Financial Group</w:t>
      </w:r>
    </w:p>
    <w:p w:rsidR="001B01F1" w:rsidRDefault="00B56AA5">
      <w:pPr>
        <w:pStyle w:val="BodyText"/>
        <w:ind w:left="100"/>
      </w:pPr>
      <w:r>
        <w:t>Chief Minister, Treasury and Economic Development</w:t>
      </w:r>
      <w:r>
        <w:rPr>
          <w:spacing w:val="-25"/>
        </w:rPr>
        <w:t xml:space="preserve"> </w:t>
      </w:r>
      <w:r>
        <w:t>Directorate GPO Box</w:t>
      </w:r>
      <w:r>
        <w:rPr>
          <w:spacing w:val="-5"/>
        </w:rPr>
        <w:t xml:space="preserve"> </w:t>
      </w:r>
      <w:r>
        <w:t>158</w:t>
      </w:r>
    </w:p>
    <w:p w:rsidR="001B01F1" w:rsidRDefault="00B56AA5">
      <w:pPr>
        <w:pStyle w:val="BodyText"/>
        <w:spacing w:before="36"/>
        <w:ind w:left="100"/>
      </w:pPr>
      <w:r>
        <w:t>Canberra City ACT 2601</w:t>
      </w:r>
    </w:p>
    <w:p w:rsidR="001B01F1" w:rsidRDefault="001B01F1">
      <w:pPr>
        <w:pStyle w:val="BodyText"/>
        <w:rPr>
          <w:sz w:val="24"/>
        </w:rPr>
      </w:pPr>
    </w:p>
    <w:p w:rsidR="001B01F1" w:rsidRDefault="001B01F1">
      <w:pPr>
        <w:pStyle w:val="BodyText"/>
        <w:spacing w:before="1"/>
        <w:rPr>
          <w:sz w:val="25"/>
        </w:rPr>
      </w:pPr>
    </w:p>
    <w:p w:rsidR="001B01F1" w:rsidRDefault="00B56AA5">
      <w:pPr>
        <w:pStyle w:val="BodyText"/>
        <w:ind w:left="100"/>
      </w:pPr>
      <w:r>
        <w:t xml:space="preserve">Lodged electronically: </w:t>
      </w:r>
      <w:hyperlink r:id="rId9">
        <w:r>
          <w:rPr>
            <w:color w:val="0000FF"/>
            <w:u w:val="single" w:color="0000FF"/>
          </w:rPr>
          <w:t>energyindustrylevy@act.gov.au</w:t>
        </w:r>
      </w:hyperlink>
    </w:p>
    <w:p w:rsidR="001B01F1" w:rsidRDefault="00B56AA5">
      <w:pPr>
        <w:spacing w:before="101"/>
        <w:ind w:left="100"/>
        <w:rPr>
          <w:b/>
          <w:sz w:val="16"/>
        </w:rPr>
      </w:pPr>
      <w:r>
        <w:br w:type="column"/>
      </w:r>
      <w:proofErr w:type="spellStart"/>
      <w:r>
        <w:rPr>
          <w:b/>
          <w:color w:val="96BE0D"/>
          <w:sz w:val="16"/>
        </w:rPr>
        <w:lastRenderedPageBreak/>
        <w:t>EnergyAustralia</w:t>
      </w:r>
      <w:proofErr w:type="spellEnd"/>
      <w:r>
        <w:rPr>
          <w:b/>
          <w:color w:val="96BE0D"/>
          <w:sz w:val="16"/>
        </w:rPr>
        <w:t xml:space="preserve"> Pty Ltd</w:t>
      </w:r>
    </w:p>
    <w:p w:rsidR="001B01F1" w:rsidRDefault="00B56AA5">
      <w:pPr>
        <w:ind w:left="100"/>
        <w:rPr>
          <w:sz w:val="16"/>
        </w:rPr>
      </w:pPr>
      <w:r>
        <w:rPr>
          <w:sz w:val="16"/>
        </w:rPr>
        <w:t>ABN 99 086 014 968</w:t>
      </w:r>
    </w:p>
    <w:p w:rsidR="001B01F1" w:rsidRDefault="00B56AA5">
      <w:pPr>
        <w:ind w:left="100"/>
        <w:rPr>
          <w:sz w:val="16"/>
        </w:rPr>
      </w:pPr>
      <w:r>
        <w:rPr>
          <w:sz w:val="16"/>
        </w:rPr>
        <w:t>Level 33</w:t>
      </w:r>
    </w:p>
    <w:p w:rsidR="001B01F1" w:rsidRDefault="00B56AA5">
      <w:pPr>
        <w:ind w:left="100"/>
        <w:rPr>
          <w:sz w:val="16"/>
        </w:rPr>
      </w:pPr>
      <w:r>
        <w:rPr>
          <w:sz w:val="16"/>
        </w:rPr>
        <w:t>385 Bourke Street</w:t>
      </w:r>
    </w:p>
    <w:p w:rsidR="001B01F1" w:rsidRDefault="00B56AA5">
      <w:pPr>
        <w:ind w:left="100"/>
        <w:rPr>
          <w:sz w:val="16"/>
        </w:rPr>
      </w:pPr>
      <w:r>
        <w:rPr>
          <w:sz w:val="16"/>
        </w:rPr>
        <w:t>Melbourne Victoria 3000</w:t>
      </w:r>
    </w:p>
    <w:p w:rsidR="001B01F1" w:rsidRDefault="001B01F1">
      <w:pPr>
        <w:pStyle w:val="BodyText"/>
        <w:spacing w:before="12"/>
        <w:rPr>
          <w:sz w:val="15"/>
        </w:rPr>
      </w:pPr>
    </w:p>
    <w:p w:rsidR="001B01F1" w:rsidRDefault="00B56AA5">
      <w:pPr>
        <w:ind w:left="100"/>
        <w:rPr>
          <w:sz w:val="16"/>
        </w:rPr>
      </w:pPr>
      <w:r>
        <w:rPr>
          <w:sz w:val="16"/>
        </w:rPr>
        <w:t>Phone +61 3 8628 1000</w:t>
      </w:r>
    </w:p>
    <w:p w:rsidR="001B01F1" w:rsidRDefault="00B56AA5">
      <w:pPr>
        <w:ind w:left="100"/>
        <w:rPr>
          <w:sz w:val="16"/>
        </w:rPr>
      </w:pPr>
      <w:r>
        <w:rPr>
          <w:sz w:val="16"/>
        </w:rPr>
        <w:t>Facsimile +61 3 8628 1050</w:t>
      </w:r>
    </w:p>
    <w:p w:rsidR="001B01F1" w:rsidRDefault="001B01F1">
      <w:pPr>
        <w:pStyle w:val="BodyText"/>
        <w:rPr>
          <w:sz w:val="16"/>
        </w:rPr>
      </w:pPr>
    </w:p>
    <w:p w:rsidR="001B01F1" w:rsidRDefault="00E645D2">
      <w:pPr>
        <w:ind w:left="100" w:right="104"/>
        <w:rPr>
          <w:sz w:val="16"/>
        </w:rPr>
      </w:pPr>
      <w:hyperlink r:id="rId10">
        <w:r w:rsidR="00B56AA5">
          <w:rPr>
            <w:sz w:val="16"/>
          </w:rPr>
          <w:t>enq@energyaustralia.com.au</w:t>
        </w:r>
      </w:hyperlink>
      <w:r w:rsidR="00B56AA5">
        <w:rPr>
          <w:sz w:val="16"/>
        </w:rPr>
        <w:t xml:space="preserve"> energyaustralia.com.au</w:t>
      </w:r>
    </w:p>
    <w:p w:rsidR="001B01F1" w:rsidRDefault="001B01F1">
      <w:pPr>
        <w:rPr>
          <w:sz w:val="16"/>
        </w:rPr>
        <w:sectPr w:rsidR="001B01F1">
          <w:type w:val="continuous"/>
          <w:pgSz w:w="11910" w:h="16840"/>
          <w:pgMar w:top="960" w:right="360" w:bottom="1080" w:left="1340" w:header="720" w:footer="720" w:gutter="0"/>
          <w:cols w:num="2" w:space="720" w:equalWidth="0">
            <w:col w:w="6553" w:space="1080"/>
            <w:col w:w="2577"/>
          </w:cols>
        </w:sectPr>
      </w:pPr>
    </w:p>
    <w:p w:rsidR="001B01F1" w:rsidRDefault="001B01F1">
      <w:pPr>
        <w:pStyle w:val="BodyText"/>
      </w:pPr>
    </w:p>
    <w:p w:rsidR="001B01F1" w:rsidRDefault="001B01F1">
      <w:pPr>
        <w:pStyle w:val="BodyText"/>
      </w:pPr>
    </w:p>
    <w:p w:rsidR="001B01F1" w:rsidRDefault="001B01F1">
      <w:pPr>
        <w:pStyle w:val="BodyText"/>
        <w:spacing w:before="7"/>
      </w:pPr>
    </w:p>
    <w:p w:rsidR="001B01F1" w:rsidRDefault="00B56AA5">
      <w:pPr>
        <w:pStyle w:val="BodyText"/>
        <w:spacing w:before="100"/>
        <w:ind w:left="100"/>
      </w:pPr>
      <w:r>
        <w:t>Dear Ms Wong</w:t>
      </w:r>
    </w:p>
    <w:p w:rsidR="001B01F1" w:rsidRDefault="001B01F1">
      <w:pPr>
        <w:pStyle w:val="BodyText"/>
        <w:spacing w:before="12"/>
        <w:rPr>
          <w:sz w:val="25"/>
        </w:rPr>
      </w:pPr>
    </w:p>
    <w:p w:rsidR="001B01F1" w:rsidRDefault="00B56AA5">
      <w:pPr>
        <w:ind w:left="100"/>
        <w:rPr>
          <w:b/>
          <w:sz w:val="20"/>
        </w:rPr>
      </w:pPr>
      <w:r>
        <w:rPr>
          <w:b/>
          <w:color w:val="92D050"/>
          <w:sz w:val="20"/>
        </w:rPr>
        <w:t>Investigation of the ACT Energy Industry Levy</w:t>
      </w:r>
    </w:p>
    <w:p w:rsidR="001B01F1" w:rsidRDefault="001B01F1">
      <w:pPr>
        <w:pStyle w:val="BodyText"/>
        <w:spacing w:before="12"/>
        <w:rPr>
          <w:b/>
          <w:sz w:val="25"/>
        </w:rPr>
      </w:pPr>
    </w:p>
    <w:p w:rsidR="001B01F1" w:rsidRDefault="00B56AA5">
      <w:pPr>
        <w:pStyle w:val="BodyText"/>
        <w:spacing w:line="278" w:lineRule="auto"/>
        <w:ind w:left="100" w:right="1327"/>
      </w:pPr>
      <w:proofErr w:type="spellStart"/>
      <w:r>
        <w:t>EnergyAustralia</w:t>
      </w:r>
      <w:proofErr w:type="spellEnd"/>
      <w:r>
        <w:t xml:space="preserve"> welcomes the opportunity to comment on the Investigation of the ACT Energy Industry Levy.</w:t>
      </w:r>
    </w:p>
    <w:p w:rsidR="001B01F1" w:rsidRDefault="001B01F1">
      <w:pPr>
        <w:pStyle w:val="BodyText"/>
        <w:spacing w:before="10"/>
        <w:rPr>
          <w:sz w:val="22"/>
        </w:rPr>
      </w:pPr>
    </w:p>
    <w:p w:rsidR="001B01F1" w:rsidRDefault="00B56AA5">
      <w:pPr>
        <w:pStyle w:val="BodyText"/>
        <w:spacing w:line="276" w:lineRule="auto"/>
        <w:ind w:left="100" w:right="835"/>
      </w:pPr>
      <w:r>
        <w:t>We are one of Australia’s largest energy companies, with over 2.5 million household and business customer accounts in New South Wales, Victoria, Queensland, South Australia and the Australian Capital Territory. We also own and operate a multi-billion dollar portfolio of energy generation across Australia, including coal, gas and wind assets with control of over 4,500MW of generation in the National Electricity Market.</w:t>
      </w:r>
    </w:p>
    <w:p w:rsidR="001B01F1" w:rsidRDefault="001B01F1">
      <w:pPr>
        <w:pStyle w:val="BodyText"/>
        <w:rPr>
          <w:sz w:val="23"/>
        </w:rPr>
      </w:pPr>
    </w:p>
    <w:p w:rsidR="001B01F1" w:rsidRDefault="00B56AA5">
      <w:pPr>
        <w:pStyle w:val="BodyText"/>
        <w:spacing w:line="276" w:lineRule="auto"/>
        <w:ind w:left="100" w:right="779"/>
      </w:pPr>
      <w:r>
        <w:t>We note that the overall calculation of the ACT Energy Industry Levy (EIL) is not in line with how other jurisdictions calculate the fees for the same services. We do not think this is an adverse arrangement but rather wish to point out that it can be a source of confusion for entrants who operate in multiple jurisdictions and pay fees and levies for similar regulatory functions (in other jurisdictions) but with different calculations. However, there is ample information is available about the purpose and calculation of the fee to allow suppliers and distributors to understand what contributes to the EIL.</w:t>
      </w:r>
    </w:p>
    <w:p w:rsidR="001B01F1" w:rsidRDefault="001B01F1">
      <w:pPr>
        <w:pStyle w:val="BodyText"/>
        <w:rPr>
          <w:sz w:val="23"/>
        </w:rPr>
      </w:pPr>
    </w:p>
    <w:p w:rsidR="001B01F1" w:rsidRDefault="00B56AA5">
      <w:pPr>
        <w:pStyle w:val="BodyText"/>
        <w:spacing w:line="278" w:lineRule="auto"/>
        <w:ind w:left="100" w:right="550"/>
      </w:pPr>
      <w:r>
        <w:t>We considered the options presented in the paper and identified the following pros and cons for each:</w:t>
      </w:r>
    </w:p>
    <w:p w:rsidR="001B01F1" w:rsidRDefault="001B01F1">
      <w:pPr>
        <w:spacing w:line="278" w:lineRule="auto"/>
        <w:sectPr w:rsidR="001B01F1">
          <w:type w:val="continuous"/>
          <w:pgSz w:w="11910" w:h="16840"/>
          <w:pgMar w:top="960" w:right="360" w:bottom="1080" w:left="1340" w:header="720" w:footer="720" w:gutter="0"/>
          <w:cols w:space="720"/>
        </w:sectPr>
      </w:pPr>
    </w:p>
    <w:p w:rsidR="001B01F1" w:rsidRDefault="001B01F1">
      <w:pPr>
        <w:pStyle w:val="BodyText"/>
        <w:spacing w:before="11"/>
      </w:pPr>
    </w:p>
    <w:tbl>
      <w:tblPr>
        <w:tblW w:w="0" w:type="auto"/>
        <w:tblInd w:w="1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2365"/>
        <w:gridCol w:w="3185"/>
        <w:gridCol w:w="3183"/>
      </w:tblGrid>
      <w:tr w:rsidR="001B01F1" w:rsidTr="00C6079B">
        <w:trPr>
          <w:trHeight w:hRule="exact" w:val="508"/>
          <w:tblHeader/>
        </w:trPr>
        <w:tc>
          <w:tcPr>
            <w:tcW w:w="2365" w:type="dxa"/>
            <w:tcBorders>
              <w:top w:val="nil"/>
              <w:bottom w:val="single" w:sz="24" w:space="0" w:color="FFFFFF"/>
              <w:right w:val="single" w:sz="8" w:space="0" w:color="FFFFFF"/>
            </w:tcBorders>
            <w:shd w:val="clear" w:color="auto" w:fill="4F81BC"/>
          </w:tcPr>
          <w:p w:rsidR="001B01F1" w:rsidRDefault="001B01F1"/>
        </w:tc>
        <w:tc>
          <w:tcPr>
            <w:tcW w:w="3185" w:type="dxa"/>
            <w:tcBorders>
              <w:top w:val="nil"/>
              <w:left w:val="single" w:sz="8" w:space="0" w:color="FFFFFF"/>
              <w:bottom w:val="single" w:sz="53" w:space="0" w:color="A7BEDE"/>
              <w:right w:val="single" w:sz="8" w:space="0" w:color="FFFFFF"/>
            </w:tcBorders>
            <w:shd w:val="clear" w:color="auto" w:fill="4F81BC"/>
          </w:tcPr>
          <w:p w:rsidR="001B01F1" w:rsidRDefault="00B56AA5">
            <w:pPr>
              <w:pStyle w:val="TableParagraph"/>
              <w:ind w:left="99" w:firstLine="0"/>
              <w:rPr>
                <w:b/>
                <w:sz w:val="18"/>
              </w:rPr>
            </w:pPr>
            <w:r>
              <w:rPr>
                <w:b/>
                <w:color w:val="FFFFFF"/>
                <w:sz w:val="18"/>
              </w:rPr>
              <w:t>Pros</w:t>
            </w:r>
          </w:p>
        </w:tc>
        <w:tc>
          <w:tcPr>
            <w:tcW w:w="3183" w:type="dxa"/>
            <w:tcBorders>
              <w:top w:val="nil"/>
              <w:left w:val="single" w:sz="8" w:space="0" w:color="FFFFFF"/>
              <w:bottom w:val="single" w:sz="53" w:space="0" w:color="A7BEDE"/>
              <w:right w:val="single" w:sz="8" w:space="0" w:color="FFFFFF"/>
            </w:tcBorders>
            <w:shd w:val="clear" w:color="auto" w:fill="4F81BC"/>
          </w:tcPr>
          <w:p w:rsidR="001B01F1" w:rsidRDefault="00B56AA5">
            <w:pPr>
              <w:pStyle w:val="TableParagraph"/>
              <w:ind w:firstLine="0"/>
              <w:rPr>
                <w:b/>
                <w:sz w:val="18"/>
              </w:rPr>
            </w:pPr>
            <w:r>
              <w:rPr>
                <w:b/>
                <w:color w:val="FFFFFF"/>
                <w:sz w:val="18"/>
              </w:rPr>
              <w:t>Cons</w:t>
            </w:r>
          </w:p>
        </w:tc>
      </w:tr>
      <w:tr w:rsidR="001B01F1">
        <w:trPr>
          <w:trHeight w:hRule="exact" w:val="727"/>
        </w:trPr>
        <w:tc>
          <w:tcPr>
            <w:tcW w:w="2365" w:type="dxa"/>
            <w:tcBorders>
              <w:top w:val="single" w:sz="24" w:space="0" w:color="FFFFFF"/>
              <w:bottom w:val="single" w:sz="7" w:space="0" w:color="FFFFFF"/>
              <w:right w:val="single" w:sz="24" w:space="0" w:color="FFFFFF"/>
            </w:tcBorders>
            <w:shd w:val="clear" w:color="auto" w:fill="4F81BC"/>
          </w:tcPr>
          <w:p w:rsidR="001B01F1" w:rsidRDefault="00B56AA5">
            <w:pPr>
              <w:pStyle w:val="TableParagraph"/>
              <w:spacing w:before="73" w:line="273" w:lineRule="auto"/>
              <w:ind w:right="906" w:firstLine="0"/>
              <w:rPr>
                <w:b/>
                <w:sz w:val="18"/>
              </w:rPr>
            </w:pPr>
            <w:r>
              <w:rPr>
                <w:b/>
                <w:color w:val="FFFFFF"/>
                <w:sz w:val="18"/>
              </w:rPr>
              <w:t>1 - Fixed Methodology</w:t>
            </w:r>
          </w:p>
        </w:tc>
        <w:tc>
          <w:tcPr>
            <w:tcW w:w="3185" w:type="dxa"/>
            <w:tcBorders>
              <w:top w:val="single" w:sz="24" w:space="0" w:color="FFFFFF"/>
              <w:left w:val="single" w:sz="24" w:space="0" w:color="FFFFFF"/>
              <w:bottom w:val="single" w:sz="7" w:space="0" w:color="FFFFFF"/>
              <w:right w:val="single" w:sz="8" w:space="0" w:color="FFFFFF"/>
            </w:tcBorders>
            <w:shd w:val="clear" w:color="auto" w:fill="A7BEDE"/>
          </w:tcPr>
          <w:p w:rsidR="001B01F1" w:rsidRDefault="00B56AA5">
            <w:pPr>
              <w:pStyle w:val="TableParagraph"/>
              <w:numPr>
                <w:ilvl w:val="0"/>
                <w:numId w:val="8"/>
              </w:numPr>
              <w:tabs>
                <w:tab w:val="left" w:pos="799"/>
                <w:tab w:val="left" w:pos="800"/>
              </w:tabs>
              <w:spacing w:before="73"/>
              <w:rPr>
                <w:sz w:val="18"/>
              </w:rPr>
            </w:pPr>
            <w:r>
              <w:rPr>
                <w:sz w:val="18"/>
              </w:rPr>
              <w:t>Easy to</w:t>
            </w:r>
            <w:r>
              <w:rPr>
                <w:spacing w:val="-6"/>
                <w:sz w:val="18"/>
              </w:rPr>
              <w:t xml:space="preserve"> </w:t>
            </w:r>
            <w:r>
              <w:rPr>
                <w:sz w:val="18"/>
              </w:rPr>
              <w:t>calculate</w:t>
            </w:r>
          </w:p>
          <w:p w:rsidR="001B01F1" w:rsidRDefault="00B56AA5">
            <w:pPr>
              <w:pStyle w:val="TableParagraph"/>
              <w:numPr>
                <w:ilvl w:val="0"/>
                <w:numId w:val="8"/>
              </w:numPr>
              <w:tabs>
                <w:tab w:val="left" w:pos="799"/>
                <w:tab w:val="left" w:pos="800"/>
              </w:tabs>
              <w:spacing w:before="28"/>
              <w:rPr>
                <w:sz w:val="18"/>
              </w:rPr>
            </w:pPr>
            <w:r>
              <w:rPr>
                <w:sz w:val="18"/>
              </w:rPr>
              <w:t>Easy to</w:t>
            </w:r>
            <w:r>
              <w:rPr>
                <w:spacing w:val="-4"/>
                <w:sz w:val="18"/>
              </w:rPr>
              <w:t xml:space="preserve"> </w:t>
            </w:r>
            <w:r>
              <w:rPr>
                <w:sz w:val="18"/>
              </w:rPr>
              <w:t>predict</w:t>
            </w:r>
          </w:p>
        </w:tc>
        <w:tc>
          <w:tcPr>
            <w:tcW w:w="3183" w:type="dxa"/>
            <w:tcBorders>
              <w:top w:val="single" w:sz="24" w:space="0" w:color="FFFFFF"/>
              <w:left w:val="single" w:sz="8" w:space="0" w:color="FFFFFF"/>
              <w:bottom w:val="single" w:sz="7" w:space="0" w:color="FFFFFF"/>
              <w:right w:val="single" w:sz="8" w:space="0" w:color="FFFFFF"/>
            </w:tcBorders>
            <w:shd w:val="clear" w:color="auto" w:fill="A7BEDE"/>
          </w:tcPr>
          <w:p w:rsidR="001B01F1" w:rsidRDefault="00B56AA5">
            <w:pPr>
              <w:pStyle w:val="TableParagraph"/>
              <w:numPr>
                <w:ilvl w:val="0"/>
                <w:numId w:val="7"/>
              </w:numPr>
              <w:tabs>
                <w:tab w:val="left" w:pos="818"/>
                <w:tab w:val="left" w:pos="819"/>
              </w:tabs>
              <w:spacing w:before="73"/>
              <w:rPr>
                <w:sz w:val="18"/>
              </w:rPr>
            </w:pPr>
            <w:r>
              <w:rPr>
                <w:sz w:val="18"/>
              </w:rPr>
              <w:t>Not</w:t>
            </w:r>
            <w:r>
              <w:rPr>
                <w:spacing w:val="-5"/>
                <w:sz w:val="18"/>
              </w:rPr>
              <w:t xml:space="preserve"> </w:t>
            </w:r>
            <w:r>
              <w:rPr>
                <w:sz w:val="18"/>
              </w:rPr>
              <w:t>equitable</w:t>
            </w:r>
          </w:p>
        </w:tc>
      </w:tr>
      <w:tr w:rsidR="001B01F1">
        <w:trPr>
          <w:trHeight w:hRule="exact" w:val="997"/>
        </w:trPr>
        <w:tc>
          <w:tcPr>
            <w:tcW w:w="2365" w:type="dxa"/>
            <w:tcBorders>
              <w:top w:val="single" w:sz="7" w:space="0" w:color="FFFFFF"/>
              <w:bottom w:val="single" w:sz="8" w:space="0" w:color="FFFFFF"/>
              <w:right w:val="single" w:sz="24" w:space="0" w:color="FFFFFF"/>
            </w:tcBorders>
            <w:shd w:val="clear" w:color="auto" w:fill="4F81BC"/>
          </w:tcPr>
          <w:p w:rsidR="001B01F1" w:rsidRDefault="00B56AA5">
            <w:pPr>
              <w:pStyle w:val="TableParagraph"/>
              <w:spacing w:line="276" w:lineRule="auto"/>
              <w:ind w:right="906" w:firstLine="0"/>
              <w:rPr>
                <w:b/>
                <w:sz w:val="18"/>
              </w:rPr>
            </w:pPr>
            <w:r>
              <w:rPr>
                <w:b/>
                <w:color w:val="FFFFFF"/>
                <w:sz w:val="18"/>
              </w:rPr>
              <w:t>2 - Variable Methodology</w:t>
            </w:r>
          </w:p>
        </w:tc>
        <w:tc>
          <w:tcPr>
            <w:tcW w:w="3185" w:type="dxa"/>
            <w:tcBorders>
              <w:top w:val="single" w:sz="7" w:space="0" w:color="FFFFFF"/>
              <w:left w:val="single" w:sz="24" w:space="0" w:color="FFFFFF"/>
              <w:bottom w:val="single" w:sz="8" w:space="0" w:color="FFFFFF"/>
              <w:right w:val="single" w:sz="6" w:space="0" w:color="FFFFFF"/>
            </w:tcBorders>
            <w:shd w:val="clear" w:color="auto" w:fill="D2DFED"/>
          </w:tcPr>
          <w:p w:rsidR="001B01F1" w:rsidRDefault="00B56AA5">
            <w:pPr>
              <w:pStyle w:val="TableParagraph"/>
              <w:numPr>
                <w:ilvl w:val="0"/>
                <w:numId w:val="6"/>
              </w:numPr>
              <w:tabs>
                <w:tab w:val="left" w:pos="799"/>
                <w:tab w:val="left" w:pos="800"/>
              </w:tabs>
              <w:rPr>
                <w:sz w:val="18"/>
              </w:rPr>
            </w:pPr>
            <w:r>
              <w:rPr>
                <w:sz w:val="18"/>
              </w:rPr>
              <w:t>Easy to</w:t>
            </w:r>
            <w:r>
              <w:rPr>
                <w:spacing w:val="-6"/>
                <w:sz w:val="18"/>
              </w:rPr>
              <w:t xml:space="preserve"> </w:t>
            </w:r>
            <w:r>
              <w:rPr>
                <w:sz w:val="18"/>
              </w:rPr>
              <w:t>calculate</w:t>
            </w:r>
          </w:p>
        </w:tc>
        <w:tc>
          <w:tcPr>
            <w:tcW w:w="3183" w:type="dxa"/>
            <w:tcBorders>
              <w:top w:val="single" w:sz="7" w:space="0" w:color="FFFFFF"/>
              <w:left w:val="single" w:sz="6" w:space="0" w:color="FFFFFF"/>
              <w:bottom w:val="single" w:sz="8" w:space="0" w:color="FFFFFF"/>
              <w:right w:val="single" w:sz="8" w:space="0" w:color="FFFFFF"/>
            </w:tcBorders>
            <w:shd w:val="clear" w:color="auto" w:fill="D2DFED"/>
          </w:tcPr>
          <w:p w:rsidR="001B01F1" w:rsidRDefault="00B56AA5">
            <w:pPr>
              <w:pStyle w:val="TableParagraph"/>
              <w:numPr>
                <w:ilvl w:val="0"/>
                <w:numId w:val="5"/>
              </w:numPr>
              <w:tabs>
                <w:tab w:val="left" w:pos="820"/>
                <w:tab w:val="left" w:pos="821"/>
              </w:tabs>
              <w:spacing w:line="273" w:lineRule="auto"/>
              <w:ind w:right="242"/>
              <w:rPr>
                <w:sz w:val="18"/>
              </w:rPr>
            </w:pPr>
            <w:r>
              <w:rPr>
                <w:sz w:val="18"/>
              </w:rPr>
              <w:t>Predictability of levy difficult for new/exiting entrants</w:t>
            </w:r>
          </w:p>
        </w:tc>
      </w:tr>
      <w:tr w:rsidR="001B01F1">
        <w:trPr>
          <w:trHeight w:hRule="exact" w:val="1253"/>
        </w:trPr>
        <w:tc>
          <w:tcPr>
            <w:tcW w:w="2365" w:type="dxa"/>
            <w:tcBorders>
              <w:top w:val="single" w:sz="8" w:space="0" w:color="FFFFFF"/>
              <w:bottom w:val="nil"/>
              <w:right w:val="single" w:sz="24" w:space="0" w:color="FFFFFF"/>
            </w:tcBorders>
            <w:shd w:val="clear" w:color="auto" w:fill="4F81BC"/>
          </w:tcPr>
          <w:p w:rsidR="001B01F1" w:rsidRDefault="00B56AA5">
            <w:pPr>
              <w:pStyle w:val="TableParagraph"/>
              <w:spacing w:before="114" w:line="276" w:lineRule="auto"/>
              <w:ind w:right="396" w:firstLine="0"/>
              <w:rPr>
                <w:b/>
                <w:sz w:val="18"/>
              </w:rPr>
            </w:pPr>
            <w:r>
              <w:rPr>
                <w:b/>
                <w:color w:val="FFFFFF"/>
                <w:sz w:val="18"/>
              </w:rPr>
              <w:t>3 - Variable Methodology with Minimum Fee</w:t>
            </w:r>
          </w:p>
        </w:tc>
        <w:tc>
          <w:tcPr>
            <w:tcW w:w="3185" w:type="dxa"/>
            <w:tcBorders>
              <w:top w:val="single" w:sz="8" w:space="0" w:color="FFFFFF"/>
              <w:left w:val="single" w:sz="24" w:space="0" w:color="FFFFFF"/>
              <w:bottom w:val="single" w:sz="8" w:space="0" w:color="FFFFFF"/>
              <w:right w:val="single" w:sz="8" w:space="0" w:color="FFFFFF"/>
            </w:tcBorders>
            <w:shd w:val="clear" w:color="auto" w:fill="A7BEDE"/>
          </w:tcPr>
          <w:p w:rsidR="001B01F1" w:rsidRDefault="00B56AA5">
            <w:pPr>
              <w:pStyle w:val="TableParagraph"/>
              <w:numPr>
                <w:ilvl w:val="0"/>
                <w:numId w:val="4"/>
              </w:numPr>
              <w:tabs>
                <w:tab w:val="left" w:pos="799"/>
                <w:tab w:val="left" w:pos="800"/>
              </w:tabs>
              <w:spacing w:before="114" w:line="276" w:lineRule="auto"/>
              <w:ind w:right="142"/>
              <w:rPr>
                <w:sz w:val="18"/>
              </w:rPr>
            </w:pPr>
            <w:r>
              <w:rPr>
                <w:sz w:val="18"/>
              </w:rPr>
              <w:t>Provides a basis for levy payers to contribute to the cost of shared services</w:t>
            </w:r>
          </w:p>
        </w:tc>
        <w:tc>
          <w:tcPr>
            <w:tcW w:w="3183" w:type="dxa"/>
            <w:tcBorders>
              <w:top w:val="single" w:sz="8" w:space="0" w:color="FFFFFF"/>
              <w:left w:val="single" w:sz="8" w:space="0" w:color="FFFFFF"/>
              <w:bottom w:val="single" w:sz="8" w:space="0" w:color="FFFFFF"/>
              <w:right w:val="single" w:sz="8" w:space="0" w:color="FFFFFF"/>
            </w:tcBorders>
            <w:shd w:val="clear" w:color="auto" w:fill="A7BEDE"/>
          </w:tcPr>
          <w:p w:rsidR="001B01F1" w:rsidRDefault="00B56AA5">
            <w:pPr>
              <w:pStyle w:val="TableParagraph"/>
              <w:numPr>
                <w:ilvl w:val="0"/>
                <w:numId w:val="3"/>
              </w:numPr>
              <w:tabs>
                <w:tab w:val="left" w:pos="818"/>
                <w:tab w:val="left" w:pos="819"/>
              </w:tabs>
              <w:spacing w:before="114" w:line="273" w:lineRule="auto"/>
              <w:ind w:right="242"/>
              <w:rPr>
                <w:sz w:val="18"/>
              </w:rPr>
            </w:pPr>
            <w:r>
              <w:rPr>
                <w:sz w:val="18"/>
              </w:rPr>
              <w:t>Predictability of levy difficult for new/exiting entrants</w:t>
            </w:r>
          </w:p>
        </w:tc>
      </w:tr>
      <w:tr w:rsidR="001B01F1">
        <w:trPr>
          <w:trHeight w:hRule="exact" w:val="1239"/>
        </w:trPr>
        <w:tc>
          <w:tcPr>
            <w:tcW w:w="2365" w:type="dxa"/>
            <w:tcBorders>
              <w:top w:val="nil"/>
              <w:bottom w:val="nil"/>
              <w:right w:val="single" w:sz="24" w:space="0" w:color="FFFFFF"/>
            </w:tcBorders>
            <w:shd w:val="clear" w:color="auto" w:fill="4F81BC"/>
          </w:tcPr>
          <w:p w:rsidR="001B01F1" w:rsidRDefault="00B56AA5">
            <w:pPr>
              <w:pStyle w:val="TableParagraph"/>
              <w:spacing w:before="116" w:line="276" w:lineRule="auto"/>
              <w:ind w:right="396" w:firstLine="0"/>
              <w:rPr>
                <w:b/>
                <w:sz w:val="18"/>
              </w:rPr>
            </w:pPr>
            <w:r>
              <w:rPr>
                <w:b/>
                <w:color w:val="FFFFFF"/>
                <w:sz w:val="18"/>
              </w:rPr>
              <w:t>4 - Current Methodology with defined fixed fee</w:t>
            </w:r>
          </w:p>
        </w:tc>
        <w:tc>
          <w:tcPr>
            <w:tcW w:w="3185" w:type="dxa"/>
            <w:tcBorders>
              <w:top w:val="single" w:sz="8" w:space="0" w:color="FFFFFF"/>
              <w:left w:val="single" w:sz="24" w:space="0" w:color="FFFFFF"/>
              <w:bottom w:val="nil"/>
              <w:right w:val="single" w:sz="6" w:space="0" w:color="FFFFFF"/>
            </w:tcBorders>
            <w:shd w:val="clear" w:color="auto" w:fill="D2DFED"/>
          </w:tcPr>
          <w:p w:rsidR="001B01F1" w:rsidRDefault="00B56AA5">
            <w:pPr>
              <w:pStyle w:val="TableParagraph"/>
              <w:numPr>
                <w:ilvl w:val="0"/>
                <w:numId w:val="2"/>
              </w:numPr>
              <w:tabs>
                <w:tab w:val="left" w:pos="799"/>
                <w:tab w:val="left" w:pos="800"/>
              </w:tabs>
              <w:spacing w:before="107" w:line="276" w:lineRule="auto"/>
              <w:ind w:right="145"/>
              <w:rPr>
                <w:sz w:val="18"/>
              </w:rPr>
            </w:pPr>
            <w:r>
              <w:rPr>
                <w:sz w:val="18"/>
              </w:rPr>
              <w:t>Provides a basis for levy payers to contribute to the cost of shared services</w:t>
            </w:r>
          </w:p>
        </w:tc>
        <w:tc>
          <w:tcPr>
            <w:tcW w:w="3183" w:type="dxa"/>
            <w:tcBorders>
              <w:top w:val="single" w:sz="8" w:space="0" w:color="FFFFFF"/>
              <w:left w:val="single" w:sz="6" w:space="0" w:color="FFFFFF"/>
              <w:bottom w:val="nil"/>
              <w:right w:val="single" w:sz="8" w:space="0" w:color="FFFFFF"/>
            </w:tcBorders>
            <w:shd w:val="clear" w:color="auto" w:fill="D2DFED"/>
          </w:tcPr>
          <w:p w:rsidR="001B01F1" w:rsidRDefault="00B56AA5">
            <w:pPr>
              <w:pStyle w:val="TableParagraph"/>
              <w:numPr>
                <w:ilvl w:val="0"/>
                <w:numId w:val="1"/>
              </w:numPr>
              <w:tabs>
                <w:tab w:val="left" w:pos="820"/>
                <w:tab w:val="left" w:pos="821"/>
              </w:tabs>
              <w:spacing w:before="107" w:line="276" w:lineRule="auto"/>
              <w:ind w:right="242"/>
              <w:rPr>
                <w:sz w:val="18"/>
              </w:rPr>
            </w:pPr>
            <w:r>
              <w:rPr>
                <w:sz w:val="18"/>
              </w:rPr>
              <w:t>Predictability of levy difficult for new/exiting entrants</w:t>
            </w:r>
          </w:p>
        </w:tc>
      </w:tr>
    </w:tbl>
    <w:p w:rsidR="001B01F1" w:rsidRDefault="001B01F1">
      <w:pPr>
        <w:pStyle w:val="BodyText"/>
      </w:pPr>
    </w:p>
    <w:p w:rsidR="001B01F1" w:rsidRDefault="00B56AA5">
      <w:pPr>
        <w:pStyle w:val="BodyText"/>
        <w:spacing w:before="99" w:line="276" w:lineRule="auto"/>
        <w:ind w:left="220" w:right="174"/>
      </w:pPr>
      <w:r>
        <w:t>There is no perfect model given the dynamic nature of the energy industry and support services needed to operate an effective, fair and competitive market. However, in weighing up the pros and cons our preferred option is 4- “</w:t>
      </w:r>
      <w:r>
        <w:rPr>
          <w:i/>
        </w:rPr>
        <w:t xml:space="preserve">Current Methodology with defined fixed fee”, </w:t>
      </w:r>
      <w:r>
        <w:t>with the condition that the defined fixed fee continues to reflects the administrative costs of the local regulatory functions that would be used by all the parties paying the Energy Industry Levy. Given that the fixed component pays for services that establish a sound and safe energy framework for ACT customers, we believe this is a fair cost to be fixed and shared equally amongst participants in the ACT energy market.</w:t>
      </w:r>
    </w:p>
    <w:p w:rsidR="001B01F1" w:rsidRDefault="001B01F1">
      <w:pPr>
        <w:pStyle w:val="BodyText"/>
        <w:rPr>
          <w:sz w:val="23"/>
        </w:rPr>
      </w:pPr>
    </w:p>
    <w:p w:rsidR="001B01F1" w:rsidRDefault="00B56AA5">
      <w:pPr>
        <w:pStyle w:val="BodyText"/>
        <w:spacing w:line="273" w:lineRule="auto"/>
        <w:ind w:left="220" w:right="115"/>
      </w:pPr>
      <w:r>
        <w:t xml:space="preserve">In examining how the EIL is calculated, one significant deviation from other jurisdictions is how the fees associated with arbiter services (The ACT Civil and Administrative Tribunal, ACAT) are calculated and distributed.  Broadly, the fees for this service in other jurisdictions’ ombudsman schemes are based on a participant scheme fee </w:t>
      </w:r>
      <w:r>
        <w:rPr>
          <w:spacing w:val="2"/>
        </w:rPr>
        <w:t xml:space="preserve">(a </w:t>
      </w:r>
      <w:r>
        <w:t>largely fixed component, generally based on customer numbers) and a variable component based on the number of complaints referred to and handed by the ombudsman</w:t>
      </w:r>
      <w:r>
        <w:rPr>
          <w:position w:val="9"/>
          <w:sz w:val="13"/>
        </w:rPr>
        <w:t>1</w:t>
      </w:r>
      <w:r>
        <w:t>. The merit of considering a variable fee for arbiter services (Complaint/Ombudsman costs) provides an incentive for ACT energy participants to improve customer experience and to reduce</w:t>
      </w:r>
      <w:r>
        <w:rPr>
          <w:spacing w:val="-23"/>
        </w:rPr>
        <w:t xml:space="preserve"> </w:t>
      </w:r>
      <w:r>
        <w:t>complaints.</w:t>
      </w:r>
    </w:p>
    <w:p w:rsidR="001B01F1" w:rsidRDefault="00B56AA5">
      <w:pPr>
        <w:pStyle w:val="BodyText"/>
        <w:spacing w:before="1" w:line="268" w:lineRule="auto"/>
        <w:ind w:left="220" w:right="119"/>
      </w:pPr>
      <w:r>
        <w:t>However, this would add further complexity to the calculation of the levy and reduce predictability of the levy amount. Given the number of complaints handled by ACAT are quite small</w:t>
      </w:r>
      <w:r>
        <w:rPr>
          <w:position w:val="9"/>
          <w:sz w:val="13"/>
        </w:rPr>
        <w:t>2</w:t>
      </w:r>
      <w:r>
        <w:t>, such a substantive change to the calculation would not realise enough benefits to the ACT market to warrant this change.</w:t>
      </w:r>
    </w:p>
    <w:p w:rsidR="001B01F1" w:rsidRDefault="001B01F1">
      <w:pPr>
        <w:pStyle w:val="BodyText"/>
      </w:pPr>
    </w:p>
    <w:p w:rsidR="001B01F1" w:rsidRDefault="001B01F1">
      <w:pPr>
        <w:pStyle w:val="BodyText"/>
      </w:pPr>
    </w:p>
    <w:p w:rsidR="001B01F1" w:rsidRDefault="00E645D2">
      <w:pPr>
        <w:pStyle w:val="BodyText"/>
        <w:rPr>
          <w:sz w:val="23"/>
        </w:rPr>
      </w:pPr>
      <w:r w:rsidRPr="00E645D2">
        <w:pict>
          <v:line id="_x0000_s2050" style="position:absolute;z-index:1048;mso-wrap-distance-left:0;mso-wrap-distance-right:0;mso-position-horizontal-relative:page" from="1in,16.25pt" to="216.05pt,16.25pt" strokeweight=".6pt">
            <w10:wrap type="topAndBottom" anchorx="page"/>
          </v:line>
        </w:pict>
      </w:r>
    </w:p>
    <w:p w:rsidR="001B01F1" w:rsidRDefault="00B56AA5">
      <w:pPr>
        <w:spacing w:before="59"/>
        <w:ind w:left="220" w:right="597"/>
        <w:rPr>
          <w:sz w:val="14"/>
        </w:rPr>
      </w:pPr>
      <w:r>
        <w:rPr>
          <w:position w:val="7"/>
          <w:sz w:val="10"/>
        </w:rPr>
        <w:t xml:space="preserve">1 </w:t>
      </w:r>
      <w:r>
        <w:rPr>
          <w:sz w:val="14"/>
        </w:rPr>
        <w:t xml:space="preserve">EWOQ: Participant Fee is based on type and a review is performed biannually to account for number of complaints handled </w:t>
      </w:r>
      <w:hyperlink r:id="rId11">
        <w:r>
          <w:rPr>
            <w:color w:val="0000FF"/>
            <w:sz w:val="14"/>
            <w:u w:val="single" w:color="0000FF"/>
          </w:rPr>
          <w:t>http://www.ewoq.com.au/Portals/0/PDFs/EWOQ%20Scheme%20Participant%20Manual%20January%202016_V1.pdf</w:t>
        </w:r>
      </w:hyperlink>
    </w:p>
    <w:p w:rsidR="001B01F1" w:rsidRDefault="001B01F1">
      <w:pPr>
        <w:pStyle w:val="BodyText"/>
        <w:spacing w:before="9"/>
        <w:rPr>
          <w:sz w:val="11"/>
        </w:rPr>
      </w:pPr>
    </w:p>
    <w:p w:rsidR="001B01F1" w:rsidRDefault="00B56AA5">
      <w:pPr>
        <w:spacing w:before="99"/>
        <w:ind w:left="220" w:right="1221"/>
        <w:rPr>
          <w:sz w:val="14"/>
        </w:rPr>
      </w:pPr>
      <w:r>
        <w:rPr>
          <w:sz w:val="14"/>
        </w:rPr>
        <w:t xml:space="preserve">EWOV: Participant Fee based on customer numbers and participant charges for complaints referred to Ombudsman </w:t>
      </w:r>
      <w:hyperlink r:id="rId12">
        <w:r>
          <w:rPr>
            <w:color w:val="0000FF"/>
            <w:sz w:val="14"/>
            <w:u w:val="single" w:color="0000FF"/>
          </w:rPr>
          <w:t>https://www.ewov.com.au/__data/assets/pdf_file/0016/4516/EWOV-Constitution_17May2010.pdf</w:t>
        </w:r>
      </w:hyperlink>
    </w:p>
    <w:p w:rsidR="001B01F1" w:rsidRDefault="001B01F1">
      <w:pPr>
        <w:pStyle w:val="BodyText"/>
        <w:spacing w:before="2"/>
        <w:rPr>
          <w:sz w:val="13"/>
        </w:rPr>
      </w:pPr>
    </w:p>
    <w:p w:rsidR="001B01F1" w:rsidRDefault="00B56AA5">
      <w:pPr>
        <w:ind w:left="220" w:right="3025"/>
        <w:rPr>
          <w:sz w:val="14"/>
        </w:rPr>
      </w:pPr>
      <w:r>
        <w:rPr>
          <w:position w:val="6"/>
          <w:sz w:val="9"/>
        </w:rPr>
        <w:t xml:space="preserve">2 </w:t>
      </w:r>
      <w:r>
        <w:rPr>
          <w:sz w:val="14"/>
        </w:rPr>
        <w:t xml:space="preserve">ACAT Annual Review 2014-2015: </w:t>
      </w:r>
      <w:hyperlink r:id="rId13">
        <w:r>
          <w:rPr>
            <w:color w:val="0000FF"/>
            <w:w w:val="95"/>
            <w:sz w:val="14"/>
            <w:u w:val="single" w:color="0000FF"/>
          </w:rPr>
          <w:t>http://cdn.justice.act.gov.au/resources/uploads/ACAT/ACAT_Annual_Review_2014-15.pdf</w:t>
        </w:r>
      </w:hyperlink>
    </w:p>
    <w:p w:rsidR="001B01F1" w:rsidRDefault="001B01F1">
      <w:pPr>
        <w:rPr>
          <w:sz w:val="14"/>
        </w:rPr>
        <w:sectPr w:rsidR="001B01F1">
          <w:pgSz w:w="11910" w:h="16840"/>
          <w:pgMar w:top="1580" w:right="1060" w:bottom="1080" w:left="1220" w:header="0" w:footer="896" w:gutter="0"/>
          <w:cols w:space="720"/>
        </w:sectPr>
      </w:pPr>
    </w:p>
    <w:p w:rsidR="001B01F1" w:rsidRDefault="00B56AA5">
      <w:pPr>
        <w:pStyle w:val="BodyText"/>
        <w:spacing w:before="100"/>
        <w:ind w:left="100" w:right="715"/>
      </w:pPr>
      <w:r>
        <w:lastRenderedPageBreak/>
        <w:t>We therefore support an EIL that is calculated based the current methodology with a defined fixed fee.</w:t>
      </w:r>
    </w:p>
    <w:p w:rsidR="001B01F1" w:rsidRDefault="001B01F1">
      <w:pPr>
        <w:pStyle w:val="BodyText"/>
        <w:spacing w:before="1"/>
      </w:pPr>
    </w:p>
    <w:p w:rsidR="001B01F1" w:rsidRDefault="00B56AA5">
      <w:pPr>
        <w:pStyle w:val="BodyText"/>
        <w:spacing w:line="276" w:lineRule="auto"/>
        <w:ind w:left="100" w:right="95"/>
      </w:pPr>
      <w:proofErr w:type="gramStart"/>
      <w:r>
        <w:t xml:space="preserve">If you have any questions regarding submission, please contact </w:t>
      </w:r>
      <w:r w:rsidR="00B82E25">
        <w:t xml:space="preserve">Karly Train on </w:t>
      </w:r>
      <w:r w:rsidR="00C6079B">
        <w:t>[redacted]</w:t>
      </w:r>
      <w:r w:rsidR="0089710E">
        <w:t>.</w:t>
      </w:r>
      <w:proofErr w:type="gramEnd"/>
    </w:p>
    <w:p w:rsidR="001B01F1" w:rsidRDefault="001B01F1">
      <w:pPr>
        <w:pStyle w:val="BodyText"/>
      </w:pPr>
    </w:p>
    <w:p w:rsidR="001B01F1" w:rsidRDefault="001B01F1">
      <w:pPr>
        <w:pStyle w:val="BodyText"/>
      </w:pPr>
    </w:p>
    <w:p w:rsidR="001B01F1" w:rsidRDefault="001B01F1">
      <w:pPr>
        <w:pStyle w:val="BodyText"/>
      </w:pPr>
    </w:p>
    <w:p w:rsidR="001B01F1" w:rsidRDefault="001B01F1">
      <w:pPr>
        <w:pStyle w:val="BodyText"/>
      </w:pPr>
    </w:p>
    <w:p w:rsidR="001B01F1" w:rsidRDefault="001B01F1">
      <w:pPr>
        <w:pStyle w:val="BodyText"/>
        <w:spacing w:before="8"/>
        <w:rPr>
          <w:sz w:val="23"/>
        </w:rPr>
      </w:pPr>
    </w:p>
    <w:p w:rsidR="001B01F1" w:rsidRDefault="00B56AA5">
      <w:pPr>
        <w:pStyle w:val="BodyText"/>
        <w:spacing w:before="99"/>
        <w:ind w:left="100"/>
      </w:pPr>
      <w:r>
        <w:t>Regards</w:t>
      </w:r>
    </w:p>
    <w:p w:rsidR="001B01F1" w:rsidRDefault="001B01F1">
      <w:pPr>
        <w:pStyle w:val="BodyText"/>
        <w:spacing w:before="8"/>
        <w:rPr>
          <w:noProof/>
          <w:lang w:val="en-AU" w:eastAsia="en-AU"/>
        </w:rPr>
      </w:pPr>
    </w:p>
    <w:p w:rsidR="00B56AA5" w:rsidRDefault="00B56AA5">
      <w:pPr>
        <w:pStyle w:val="BodyText"/>
        <w:spacing w:before="8"/>
        <w:rPr>
          <w:sz w:val="22"/>
        </w:rPr>
      </w:pPr>
    </w:p>
    <w:p w:rsidR="001B01F1" w:rsidRDefault="00B56AA5">
      <w:pPr>
        <w:pStyle w:val="BodyText"/>
        <w:spacing w:before="13"/>
        <w:ind w:left="100"/>
      </w:pPr>
      <w:r>
        <w:t>Karly Train</w:t>
      </w:r>
    </w:p>
    <w:p w:rsidR="001B01F1" w:rsidRDefault="00B56AA5">
      <w:pPr>
        <w:pStyle w:val="BodyText"/>
        <w:spacing w:before="37"/>
        <w:ind w:left="100"/>
      </w:pPr>
      <w:r>
        <w:t>Industry Regulations Analyst</w:t>
      </w:r>
    </w:p>
    <w:sectPr w:rsidR="001B01F1" w:rsidSect="001B01F1">
      <w:pgSz w:w="11910" w:h="16840"/>
      <w:pgMar w:top="1580" w:right="1180" w:bottom="1080" w:left="1340" w:header="0" w:footer="8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1F1" w:rsidRDefault="001B01F1" w:rsidP="001B01F1">
      <w:r>
        <w:separator/>
      </w:r>
    </w:p>
  </w:endnote>
  <w:endnote w:type="continuationSeparator" w:id="0">
    <w:p w:rsidR="001B01F1" w:rsidRDefault="001B01F1" w:rsidP="001B01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F1" w:rsidRDefault="00E645D2">
    <w:pPr>
      <w:pStyle w:val="BodyText"/>
      <w:spacing w:line="14" w:lineRule="auto"/>
    </w:pPr>
    <w:r w:rsidRPr="00E645D2">
      <w:pict>
        <v:shapetype id="_x0000_t202" coordsize="21600,21600" o:spt="202" path="m,l,21600r21600,l21600,xe">
          <v:stroke joinstyle="miter"/>
          <v:path gradientshapeok="t" o:connecttype="rect"/>
        </v:shapetype>
        <v:shape id="_x0000_s1025" type="#_x0000_t202" style="position:absolute;margin-left:300.8pt;margin-top:786.15pt;width:9.15pt;height:11.8pt;z-index:-251658752;mso-position-horizontal-relative:page;mso-position-vertical-relative:page" filled="f" stroked="f">
          <v:textbox inset="0,0,0,0">
            <w:txbxContent>
              <w:p w:rsidR="001B01F1" w:rsidRDefault="00E645D2">
                <w:pPr>
                  <w:spacing w:before="21"/>
                  <w:ind w:left="40"/>
                  <w:rPr>
                    <w:sz w:val="16"/>
                  </w:rPr>
                </w:pPr>
                <w:r>
                  <w:fldChar w:fldCharType="begin"/>
                </w:r>
                <w:r w:rsidR="00B56AA5">
                  <w:rPr>
                    <w:sz w:val="16"/>
                  </w:rPr>
                  <w:instrText xml:space="preserve"> PAGE </w:instrText>
                </w:r>
                <w:r>
                  <w:fldChar w:fldCharType="separate"/>
                </w:r>
                <w:r w:rsidR="0089710E">
                  <w:rPr>
                    <w:noProof/>
                    <w:sz w:val="16"/>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1F1" w:rsidRDefault="001B01F1" w:rsidP="001B01F1">
      <w:r>
        <w:separator/>
      </w:r>
    </w:p>
  </w:footnote>
  <w:footnote w:type="continuationSeparator" w:id="0">
    <w:p w:rsidR="001B01F1" w:rsidRDefault="001B01F1" w:rsidP="001B0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3A7D"/>
    <w:multiLevelType w:val="hybridMultilevel"/>
    <w:tmpl w:val="0DB42F74"/>
    <w:lvl w:ilvl="0" w:tplc="C02E2B78">
      <w:numFmt w:val="bullet"/>
      <w:lvlText w:val=""/>
      <w:lvlJc w:val="left"/>
      <w:pPr>
        <w:ind w:left="799" w:hanging="360"/>
      </w:pPr>
      <w:rPr>
        <w:rFonts w:ascii="Symbol" w:eastAsia="Symbol" w:hAnsi="Symbol" w:cs="Symbol" w:hint="default"/>
        <w:w w:val="100"/>
        <w:sz w:val="18"/>
        <w:szCs w:val="18"/>
      </w:rPr>
    </w:lvl>
    <w:lvl w:ilvl="1" w:tplc="EDEADF0E">
      <w:numFmt w:val="bullet"/>
      <w:lvlText w:val="•"/>
      <w:lvlJc w:val="left"/>
      <w:pPr>
        <w:ind w:left="1034" w:hanging="360"/>
      </w:pPr>
      <w:rPr>
        <w:rFonts w:hint="default"/>
      </w:rPr>
    </w:lvl>
    <w:lvl w:ilvl="2" w:tplc="C7EAD68C">
      <w:numFmt w:val="bullet"/>
      <w:lvlText w:val="•"/>
      <w:lvlJc w:val="left"/>
      <w:pPr>
        <w:ind w:left="1269" w:hanging="360"/>
      </w:pPr>
      <w:rPr>
        <w:rFonts w:hint="default"/>
      </w:rPr>
    </w:lvl>
    <w:lvl w:ilvl="3" w:tplc="65E0D5F8">
      <w:numFmt w:val="bullet"/>
      <w:lvlText w:val="•"/>
      <w:lvlJc w:val="left"/>
      <w:pPr>
        <w:ind w:left="1504" w:hanging="360"/>
      </w:pPr>
      <w:rPr>
        <w:rFonts w:hint="default"/>
      </w:rPr>
    </w:lvl>
    <w:lvl w:ilvl="4" w:tplc="484048E0">
      <w:numFmt w:val="bullet"/>
      <w:lvlText w:val="•"/>
      <w:lvlJc w:val="left"/>
      <w:pPr>
        <w:ind w:left="1738" w:hanging="360"/>
      </w:pPr>
      <w:rPr>
        <w:rFonts w:hint="default"/>
      </w:rPr>
    </w:lvl>
    <w:lvl w:ilvl="5" w:tplc="1BDAFCE6">
      <w:numFmt w:val="bullet"/>
      <w:lvlText w:val="•"/>
      <w:lvlJc w:val="left"/>
      <w:pPr>
        <w:ind w:left="1973" w:hanging="360"/>
      </w:pPr>
      <w:rPr>
        <w:rFonts w:hint="default"/>
      </w:rPr>
    </w:lvl>
    <w:lvl w:ilvl="6" w:tplc="C86EE19C">
      <w:numFmt w:val="bullet"/>
      <w:lvlText w:val="•"/>
      <w:lvlJc w:val="left"/>
      <w:pPr>
        <w:ind w:left="2208" w:hanging="360"/>
      </w:pPr>
      <w:rPr>
        <w:rFonts w:hint="default"/>
      </w:rPr>
    </w:lvl>
    <w:lvl w:ilvl="7" w:tplc="BD3094B2">
      <w:numFmt w:val="bullet"/>
      <w:lvlText w:val="•"/>
      <w:lvlJc w:val="left"/>
      <w:pPr>
        <w:ind w:left="2443" w:hanging="360"/>
      </w:pPr>
      <w:rPr>
        <w:rFonts w:hint="default"/>
      </w:rPr>
    </w:lvl>
    <w:lvl w:ilvl="8" w:tplc="ECA040F6">
      <w:numFmt w:val="bullet"/>
      <w:lvlText w:val="•"/>
      <w:lvlJc w:val="left"/>
      <w:pPr>
        <w:ind w:left="2677" w:hanging="360"/>
      </w:pPr>
      <w:rPr>
        <w:rFonts w:hint="default"/>
      </w:rPr>
    </w:lvl>
  </w:abstractNum>
  <w:abstractNum w:abstractNumId="1">
    <w:nsid w:val="1F0F34CB"/>
    <w:multiLevelType w:val="hybridMultilevel"/>
    <w:tmpl w:val="341A55FC"/>
    <w:lvl w:ilvl="0" w:tplc="0EAAEE8E">
      <w:numFmt w:val="bullet"/>
      <w:lvlText w:val=""/>
      <w:lvlJc w:val="left"/>
      <w:pPr>
        <w:ind w:left="820" w:hanging="360"/>
      </w:pPr>
      <w:rPr>
        <w:rFonts w:ascii="Symbol" w:eastAsia="Symbol" w:hAnsi="Symbol" w:cs="Symbol" w:hint="default"/>
        <w:w w:val="100"/>
        <w:sz w:val="18"/>
        <w:szCs w:val="18"/>
      </w:rPr>
    </w:lvl>
    <w:lvl w:ilvl="1" w:tplc="4B9063AA">
      <w:numFmt w:val="bullet"/>
      <w:lvlText w:val="•"/>
      <w:lvlJc w:val="left"/>
      <w:pPr>
        <w:ind w:left="1054" w:hanging="360"/>
      </w:pPr>
      <w:rPr>
        <w:rFonts w:hint="default"/>
      </w:rPr>
    </w:lvl>
    <w:lvl w:ilvl="2" w:tplc="CA523798">
      <w:numFmt w:val="bullet"/>
      <w:lvlText w:val="•"/>
      <w:lvlJc w:val="left"/>
      <w:pPr>
        <w:ind w:left="1289" w:hanging="360"/>
      </w:pPr>
      <w:rPr>
        <w:rFonts w:hint="default"/>
      </w:rPr>
    </w:lvl>
    <w:lvl w:ilvl="3" w:tplc="465A4276">
      <w:numFmt w:val="bullet"/>
      <w:lvlText w:val="•"/>
      <w:lvlJc w:val="left"/>
      <w:pPr>
        <w:ind w:left="1523" w:hanging="360"/>
      </w:pPr>
      <w:rPr>
        <w:rFonts w:hint="default"/>
      </w:rPr>
    </w:lvl>
    <w:lvl w:ilvl="4" w:tplc="2ADCC3C6">
      <w:numFmt w:val="bullet"/>
      <w:lvlText w:val="•"/>
      <w:lvlJc w:val="left"/>
      <w:pPr>
        <w:ind w:left="1758" w:hanging="360"/>
      </w:pPr>
      <w:rPr>
        <w:rFonts w:hint="default"/>
      </w:rPr>
    </w:lvl>
    <w:lvl w:ilvl="5" w:tplc="2ED0415C">
      <w:numFmt w:val="bullet"/>
      <w:lvlText w:val="•"/>
      <w:lvlJc w:val="left"/>
      <w:pPr>
        <w:ind w:left="1993" w:hanging="360"/>
      </w:pPr>
      <w:rPr>
        <w:rFonts w:hint="default"/>
      </w:rPr>
    </w:lvl>
    <w:lvl w:ilvl="6" w:tplc="BE9E463C">
      <w:numFmt w:val="bullet"/>
      <w:lvlText w:val="•"/>
      <w:lvlJc w:val="left"/>
      <w:pPr>
        <w:ind w:left="2227" w:hanging="360"/>
      </w:pPr>
      <w:rPr>
        <w:rFonts w:hint="default"/>
      </w:rPr>
    </w:lvl>
    <w:lvl w:ilvl="7" w:tplc="E79013E0">
      <w:numFmt w:val="bullet"/>
      <w:lvlText w:val="•"/>
      <w:lvlJc w:val="left"/>
      <w:pPr>
        <w:ind w:left="2462" w:hanging="360"/>
      </w:pPr>
      <w:rPr>
        <w:rFonts w:hint="default"/>
      </w:rPr>
    </w:lvl>
    <w:lvl w:ilvl="8" w:tplc="BAF497E2">
      <w:numFmt w:val="bullet"/>
      <w:lvlText w:val="•"/>
      <w:lvlJc w:val="left"/>
      <w:pPr>
        <w:ind w:left="2696" w:hanging="360"/>
      </w:pPr>
      <w:rPr>
        <w:rFonts w:hint="default"/>
      </w:rPr>
    </w:lvl>
  </w:abstractNum>
  <w:abstractNum w:abstractNumId="2">
    <w:nsid w:val="3C346724"/>
    <w:multiLevelType w:val="hybridMultilevel"/>
    <w:tmpl w:val="202C940C"/>
    <w:lvl w:ilvl="0" w:tplc="1C2AE2F4">
      <w:numFmt w:val="bullet"/>
      <w:lvlText w:val=""/>
      <w:lvlJc w:val="left"/>
      <w:pPr>
        <w:ind w:left="818" w:hanging="360"/>
      </w:pPr>
      <w:rPr>
        <w:rFonts w:ascii="Symbol" w:eastAsia="Symbol" w:hAnsi="Symbol" w:cs="Symbol" w:hint="default"/>
        <w:w w:val="100"/>
        <w:sz w:val="18"/>
        <w:szCs w:val="18"/>
      </w:rPr>
    </w:lvl>
    <w:lvl w:ilvl="1" w:tplc="2C94A90C">
      <w:numFmt w:val="bullet"/>
      <w:lvlText w:val="•"/>
      <w:lvlJc w:val="left"/>
      <w:pPr>
        <w:ind w:left="1054" w:hanging="360"/>
      </w:pPr>
      <w:rPr>
        <w:rFonts w:hint="default"/>
      </w:rPr>
    </w:lvl>
    <w:lvl w:ilvl="2" w:tplc="C5D8794E">
      <w:numFmt w:val="bullet"/>
      <w:lvlText w:val="•"/>
      <w:lvlJc w:val="left"/>
      <w:pPr>
        <w:ind w:left="1288" w:hanging="360"/>
      </w:pPr>
      <w:rPr>
        <w:rFonts w:hint="default"/>
      </w:rPr>
    </w:lvl>
    <w:lvl w:ilvl="3" w:tplc="09D6949C">
      <w:numFmt w:val="bullet"/>
      <w:lvlText w:val="•"/>
      <w:lvlJc w:val="left"/>
      <w:pPr>
        <w:ind w:left="1523" w:hanging="360"/>
      </w:pPr>
      <w:rPr>
        <w:rFonts w:hint="default"/>
      </w:rPr>
    </w:lvl>
    <w:lvl w:ilvl="4" w:tplc="B1385CBA">
      <w:numFmt w:val="bullet"/>
      <w:lvlText w:val="•"/>
      <w:lvlJc w:val="left"/>
      <w:pPr>
        <w:ind w:left="1757" w:hanging="360"/>
      </w:pPr>
      <w:rPr>
        <w:rFonts w:hint="default"/>
      </w:rPr>
    </w:lvl>
    <w:lvl w:ilvl="5" w:tplc="CB6A4F74">
      <w:numFmt w:val="bullet"/>
      <w:lvlText w:val="•"/>
      <w:lvlJc w:val="left"/>
      <w:pPr>
        <w:ind w:left="1991" w:hanging="360"/>
      </w:pPr>
      <w:rPr>
        <w:rFonts w:hint="default"/>
      </w:rPr>
    </w:lvl>
    <w:lvl w:ilvl="6" w:tplc="A1524292">
      <w:numFmt w:val="bullet"/>
      <w:lvlText w:val="•"/>
      <w:lvlJc w:val="left"/>
      <w:pPr>
        <w:ind w:left="2226" w:hanging="360"/>
      </w:pPr>
      <w:rPr>
        <w:rFonts w:hint="default"/>
      </w:rPr>
    </w:lvl>
    <w:lvl w:ilvl="7" w:tplc="434E9072">
      <w:numFmt w:val="bullet"/>
      <w:lvlText w:val="•"/>
      <w:lvlJc w:val="left"/>
      <w:pPr>
        <w:ind w:left="2460" w:hanging="360"/>
      </w:pPr>
      <w:rPr>
        <w:rFonts w:hint="default"/>
      </w:rPr>
    </w:lvl>
    <w:lvl w:ilvl="8" w:tplc="0EF081E4">
      <w:numFmt w:val="bullet"/>
      <w:lvlText w:val="•"/>
      <w:lvlJc w:val="left"/>
      <w:pPr>
        <w:ind w:left="2695" w:hanging="360"/>
      </w:pPr>
      <w:rPr>
        <w:rFonts w:hint="default"/>
      </w:rPr>
    </w:lvl>
  </w:abstractNum>
  <w:abstractNum w:abstractNumId="3">
    <w:nsid w:val="50087736"/>
    <w:multiLevelType w:val="hybridMultilevel"/>
    <w:tmpl w:val="37368134"/>
    <w:lvl w:ilvl="0" w:tplc="2BA6D59A">
      <w:numFmt w:val="bullet"/>
      <w:lvlText w:val=""/>
      <w:lvlJc w:val="left"/>
      <w:pPr>
        <w:ind w:left="820" w:hanging="360"/>
      </w:pPr>
      <w:rPr>
        <w:rFonts w:ascii="Symbol" w:eastAsia="Symbol" w:hAnsi="Symbol" w:cs="Symbol" w:hint="default"/>
        <w:w w:val="100"/>
        <w:sz w:val="18"/>
        <w:szCs w:val="18"/>
      </w:rPr>
    </w:lvl>
    <w:lvl w:ilvl="1" w:tplc="275656C4">
      <w:numFmt w:val="bullet"/>
      <w:lvlText w:val="•"/>
      <w:lvlJc w:val="left"/>
      <w:pPr>
        <w:ind w:left="1054" w:hanging="360"/>
      </w:pPr>
      <w:rPr>
        <w:rFonts w:hint="default"/>
      </w:rPr>
    </w:lvl>
    <w:lvl w:ilvl="2" w:tplc="306E51B2">
      <w:numFmt w:val="bullet"/>
      <w:lvlText w:val="•"/>
      <w:lvlJc w:val="left"/>
      <w:pPr>
        <w:ind w:left="1289" w:hanging="360"/>
      </w:pPr>
      <w:rPr>
        <w:rFonts w:hint="default"/>
      </w:rPr>
    </w:lvl>
    <w:lvl w:ilvl="3" w:tplc="B3A8A18A">
      <w:numFmt w:val="bullet"/>
      <w:lvlText w:val="•"/>
      <w:lvlJc w:val="left"/>
      <w:pPr>
        <w:ind w:left="1523" w:hanging="360"/>
      </w:pPr>
      <w:rPr>
        <w:rFonts w:hint="default"/>
      </w:rPr>
    </w:lvl>
    <w:lvl w:ilvl="4" w:tplc="BAA02944">
      <w:numFmt w:val="bullet"/>
      <w:lvlText w:val="•"/>
      <w:lvlJc w:val="left"/>
      <w:pPr>
        <w:ind w:left="1758" w:hanging="360"/>
      </w:pPr>
      <w:rPr>
        <w:rFonts w:hint="default"/>
      </w:rPr>
    </w:lvl>
    <w:lvl w:ilvl="5" w:tplc="786AE6D8">
      <w:numFmt w:val="bullet"/>
      <w:lvlText w:val="•"/>
      <w:lvlJc w:val="left"/>
      <w:pPr>
        <w:ind w:left="1993" w:hanging="360"/>
      </w:pPr>
      <w:rPr>
        <w:rFonts w:hint="default"/>
      </w:rPr>
    </w:lvl>
    <w:lvl w:ilvl="6" w:tplc="AF4CA680">
      <w:numFmt w:val="bullet"/>
      <w:lvlText w:val="•"/>
      <w:lvlJc w:val="left"/>
      <w:pPr>
        <w:ind w:left="2227" w:hanging="360"/>
      </w:pPr>
      <w:rPr>
        <w:rFonts w:hint="default"/>
      </w:rPr>
    </w:lvl>
    <w:lvl w:ilvl="7" w:tplc="0A721B38">
      <w:numFmt w:val="bullet"/>
      <w:lvlText w:val="•"/>
      <w:lvlJc w:val="left"/>
      <w:pPr>
        <w:ind w:left="2462" w:hanging="360"/>
      </w:pPr>
      <w:rPr>
        <w:rFonts w:hint="default"/>
      </w:rPr>
    </w:lvl>
    <w:lvl w:ilvl="8" w:tplc="98E283AC">
      <w:numFmt w:val="bullet"/>
      <w:lvlText w:val="•"/>
      <w:lvlJc w:val="left"/>
      <w:pPr>
        <w:ind w:left="2696" w:hanging="360"/>
      </w:pPr>
      <w:rPr>
        <w:rFonts w:hint="default"/>
      </w:rPr>
    </w:lvl>
  </w:abstractNum>
  <w:abstractNum w:abstractNumId="4">
    <w:nsid w:val="530A5E9D"/>
    <w:multiLevelType w:val="hybridMultilevel"/>
    <w:tmpl w:val="CC2E86B8"/>
    <w:lvl w:ilvl="0" w:tplc="A2B0DB56">
      <w:numFmt w:val="bullet"/>
      <w:lvlText w:val=""/>
      <w:lvlJc w:val="left"/>
      <w:pPr>
        <w:ind w:left="818" w:hanging="360"/>
      </w:pPr>
      <w:rPr>
        <w:rFonts w:ascii="Symbol" w:eastAsia="Symbol" w:hAnsi="Symbol" w:cs="Symbol" w:hint="default"/>
        <w:w w:val="100"/>
        <w:sz w:val="18"/>
        <w:szCs w:val="18"/>
      </w:rPr>
    </w:lvl>
    <w:lvl w:ilvl="1" w:tplc="066CC740">
      <w:numFmt w:val="bullet"/>
      <w:lvlText w:val="•"/>
      <w:lvlJc w:val="left"/>
      <w:pPr>
        <w:ind w:left="1054" w:hanging="360"/>
      </w:pPr>
      <w:rPr>
        <w:rFonts w:hint="default"/>
      </w:rPr>
    </w:lvl>
    <w:lvl w:ilvl="2" w:tplc="95C653C6">
      <w:numFmt w:val="bullet"/>
      <w:lvlText w:val="•"/>
      <w:lvlJc w:val="left"/>
      <w:pPr>
        <w:ind w:left="1288" w:hanging="360"/>
      </w:pPr>
      <w:rPr>
        <w:rFonts w:hint="default"/>
      </w:rPr>
    </w:lvl>
    <w:lvl w:ilvl="3" w:tplc="4CBC3C04">
      <w:numFmt w:val="bullet"/>
      <w:lvlText w:val="•"/>
      <w:lvlJc w:val="left"/>
      <w:pPr>
        <w:ind w:left="1523" w:hanging="360"/>
      </w:pPr>
      <w:rPr>
        <w:rFonts w:hint="default"/>
      </w:rPr>
    </w:lvl>
    <w:lvl w:ilvl="4" w:tplc="D5301680">
      <w:numFmt w:val="bullet"/>
      <w:lvlText w:val="•"/>
      <w:lvlJc w:val="left"/>
      <w:pPr>
        <w:ind w:left="1757" w:hanging="360"/>
      </w:pPr>
      <w:rPr>
        <w:rFonts w:hint="default"/>
      </w:rPr>
    </w:lvl>
    <w:lvl w:ilvl="5" w:tplc="AAD43C24">
      <w:numFmt w:val="bullet"/>
      <w:lvlText w:val="•"/>
      <w:lvlJc w:val="left"/>
      <w:pPr>
        <w:ind w:left="1991" w:hanging="360"/>
      </w:pPr>
      <w:rPr>
        <w:rFonts w:hint="default"/>
      </w:rPr>
    </w:lvl>
    <w:lvl w:ilvl="6" w:tplc="881053B8">
      <w:numFmt w:val="bullet"/>
      <w:lvlText w:val="•"/>
      <w:lvlJc w:val="left"/>
      <w:pPr>
        <w:ind w:left="2226" w:hanging="360"/>
      </w:pPr>
      <w:rPr>
        <w:rFonts w:hint="default"/>
      </w:rPr>
    </w:lvl>
    <w:lvl w:ilvl="7" w:tplc="0B0C4198">
      <w:numFmt w:val="bullet"/>
      <w:lvlText w:val="•"/>
      <w:lvlJc w:val="left"/>
      <w:pPr>
        <w:ind w:left="2460" w:hanging="360"/>
      </w:pPr>
      <w:rPr>
        <w:rFonts w:hint="default"/>
      </w:rPr>
    </w:lvl>
    <w:lvl w:ilvl="8" w:tplc="CF6E4C70">
      <w:numFmt w:val="bullet"/>
      <w:lvlText w:val="•"/>
      <w:lvlJc w:val="left"/>
      <w:pPr>
        <w:ind w:left="2695" w:hanging="360"/>
      </w:pPr>
      <w:rPr>
        <w:rFonts w:hint="default"/>
      </w:rPr>
    </w:lvl>
  </w:abstractNum>
  <w:abstractNum w:abstractNumId="5">
    <w:nsid w:val="57883AA5"/>
    <w:multiLevelType w:val="hybridMultilevel"/>
    <w:tmpl w:val="08CA8BB2"/>
    <w:lvl w:ilvl="0" w:tplc="9C90DD60">
      <w:numFmt w:val="bullet"/>
      <w:lvlText w:val=""/>
      <w:lvlJc w:val="left"/>
      <w:pPr>
        <w:ind w:left="799" w:hanging="360"/>
      </w:pPr>
      <w:rPr>
        <w:rFonts w:ascii="Symbol" w:eastAsia="Symbol" w:hAnsi="Symbol" w:cs="Symbol" w:hint="default"/>
        <w:w w:val="100"/>
        <w:sz w:val="18"/>
        <w:szCs w:val="18"/>
      </w:rPr>
    </w:lvl>
    <w:lvl w:ilvl="1" w:tplc="6E6EF972">
      <w:numFmt w:val="bullet"/>
      <w:lvlText w:val="•"/>
      <w:lvlJc w:val="left"/>
      <w:pPr>
        <w:ind w:left="1034" w:hanging="360"/>
      </w:pPr>
      <w:rPr>
        <w:rFonts w:hint="default"/>
      </w:rPr>
    </w:lvl>
    <w:lvl w:ilvl="2" w:tplc="572C91C8">
      <w:numFmt w:val="bullet"/>
      <w:lvlText w:val="•"/>
      <w:lvlJc w:val="left"/>
      <w:pPr>
        <w:ind w:left="1269" w:hanging="360"/>
      </w:pPr>
      <w:rPr>
        <w:rFonts w:hint="default"/>
      </w:rPr>
    </w:lvl>
    <w:lvl w:ilvl="3" w:tplc="3A10C386">
      <w:numFmt w:val="bullet"/>
      <w:lvlText w:val="•"/>
      <w:lvlJc w:val="left"/>
      <w:pPr>
        <w:ind w:left="1503" w:hanging="360"/>
      </w:pPr>
      <w:rPr>
        <w:rFonts w:hint="default"/>
      </w:rPr>
    </w:lvl>
    <w:lvl w:ilvl="4" w:tplc="A8F89F54">
      <w:numFmt w:val="bullet"/>
      <w:lvlText w:val="•"/>
      <w:lvlJc w:val="left"/>
      <w:pPr>
        <w:ind w:left="1738" w:hanging="360"/>
      </w:pPr>
      <w:rPr>
        <w:rFonts w:hint="default"/>
      </w:rPr>
    </w:lvl>
    <w:lvl w:ilvl="5" w:tplc="BF88557E">
      <w:numFmt w:val="bullet"/>
      <w:lvlText w:val="•"/>
      <w:lvlJc w:val="left"/>
      <w:pPr>
        <w:ind w:left="1972" w:hanging="360"/>
      </w:pPr>
      <w:rPr>
        <w:rFonts w:hint="default"/>
      </w:rPr>
    </w:lvl>
    <w:lvl w:ilvl="6" w:tplc="2BA6CAD2">
      <w:numFmt w:val="bullet"/>
      <w:lvlText w:val="•"/>
      <w:lvlJc w:val="left"/>
      <w:pPr>
        <w:ind w:left="2207" w:hanging="360"/>
      </w:pPr>
      <w:rPr>
        <w:rFonts w:hint="default"/>
      </w:rPr>
    </w:lvl>
    <w:lvl w:ilvl="7" w:tplc="713ED8E0">
      <w:numFmt w:val="bullet"/>
      <w:lvlText w:val="•"/>
      <w:lvlJc w:val="left"/>
      <w:pPr>
        <w:ind w:left="2441" w:hanging="360"/>
      </w:pPr>
      <w:rPr>
        <w:rFonts w:hint="default"/>
      </w:rPr>
    </w:lvl>
    <w:lvl w:ilvl="8" w:tplc="8312AA3E">
      <w:numFmt w:val="bullet"/>
      <w:lvlText w:val="•"/>
      <w:lvlJc w:val="left"/>
      <w:pPr>
        <w:ind w:left="2676" w:hanging="360"/>
      </w:pPr>
      <w:rPr>
        <w:rFonts w:hint="default"/>
      </w:rPr>
    </w:lvl>
  </w:abstractNum>
  <w:abstractNum w:abstractNumId="6">
    <w:nsid w:val="690E0DD0"/>
    <w:multiLevelType w:val="hybridMultilevel"/>
    <w:tmpl w:val="49A49CB2"/>
    <w:lvl w:ilvl="0" w:tplc="DBAA892C">
      <w:numFmt w:val="bullet"/>
      <w:lvlText w:val=""/>
      <w:lvlJc w:val="left"/>
      <w:pPr>
        <w:ind w:left="799" w:hanging="360"/>
      </w:pPr>
      <w:rPr>
        <w:rFonts w:ascii="Symbol" w:eastAsia="Symbol" w:hAnsi="Symbol" w:cs="Symbol" w:hint="default"/>
        <w:w w:val="100"/>
        <w:sz w:val="18"/>
        <w:szCs w:val="18"/>
      </w:rPr>
    </w:lvl>
    <w:lvl w:ilvl="1" w:tplc="DD708CB4">
      <w:numFmt w:val="bullet"/>
      <w:lvlText w:val="•"/>
      <w:lvlJc w:val="left"/>
      <w:pPr>
        <w:ind w:left="1034" w:hanging="360"/>
      </w:pPr>
      <w:rPr>
        <w:rFonts w:hint="default"/>
      </w:rPr>
    </w:lvl>
    <w:lvl w:ilvl="2" w:tplc="6C8C9730">
      <w:numFmt w:val="bullet"/>
      <w:lvlText w:val="•"/>
      <w:lvlJc w:val="left"/>
      <w:pPr>
        <w:ind w:left="1269" w:hanging="360"/>
      </w:pPr>
      <w:rPr>
        <w:rFonts w:hint="default"/>
      </w:rPr>
    </w:lvl>
    <w:lvl w:ilvl="3" w:tplc="7256DC2A">
      <w:numFmt w:val="bullet"/>
      <w:lvlText w:val="•"/>
      <w:lvlJc w:val="left"/>
      <w:pPr>
        <w:ind w:left="1503" w:hanging="360"/>
      </w:pPr>
      <w:rPr>
        <w:rFonts w:hint="default"/>
      </w:rPr>
    </w:lvl>
    <w:lvl w:ilvl="4" w:tplc="F1B8AFAA">
      <w:numFmt w:val="bullet"/>
      <w:lvlText w:val="•"/>
      <w:lvlJc w:val="left"/>
      <w:pPr>
        <w:ind w:left="1738" w:hanging="360"/>
      </w:pPr>
      <w:rPr>
        <w:rFonts w:hint="default"/>
      </w:rPr>
    </w:lvl>
    <w:lvl w:ilvl="5" w:tplc="A538DD8C">
      <w:numFmt w:val="bullet"/>
      <w:lvlText w:val="•"/>
      <w:lvlJc w:val="left"/>
      <w:pPr>
        <w:ind w:left="1972" w:hanging="360"/>
      </w:pPr>
      <w:rPr>
        <w:rFonts w:hint="default"/>
      </w:rPr>
    </w:lvl>
    <w:lvl w:ilvl="6" w:tplc="C582B982">
      <w:numFmt w:val="bullet"/>
      <w:lvlText w:val="•"/>
      <w:lvlJc w:val="left"/>
      <w:pPr>
        <w:ind w:left="2207" w:hanging="360"/>
      </w:pPr>
      <w:rPr>
        <w:rFonts w:hint="default"/>
      </w:rPr>
    </w:lvl>
    <w:lvl w:ilvl="7" w:tplc="2444C0AE">
      <w:numFmt w:val="bullet"/>
      <w:lvlText w:val="•"/>
      <w:lvlJc w:val="left"/>
      <w:pPr>
        <w:ind w:left="2441" w:hanging="360"/>
      </w:pPr>
      <w:rPr>
        <w:rFonts w:hint="default"/>
      </w:rPr>
    </w:lvl>
    <w:lvl w:ilvl="8" w:tplc="8DA68F5E">
      <w:numFmt w:val="bullet"/>
      <w:lvlText w:val="•"/>
      <w:lvlJc w:val="left"/>
      <w:pPr>
        <w:ind w:left="2676" w:hanging="360"/>
      </w:pPr>
      <w:rPr>
        <w:rFonts w:hint="default"/>
      </w:rPr>
    </w:lvl>
  </w:abstractNum>
  <w:abstractNum w:abstractNumId="7">
    <w:nsid w:val="70037105"/>
    <w:multiLevelType w:val="hybridMultilevel"/>
    <w:tmpl w:val="5AA03A6C"/>
    <w:lvl w:ilvl="0" w:tplc="CE5A06EE">
      <w:numFmt w:val="bullet"/>
      <w:lvlText w:val=""/>
      <w:lvlJc w:val="left"/>
      <w:pPr>
        <w:ind w:left="799" w:hanging="360"/>
      </w:pPr>
      <w:rPr>
        <w:rFonts w:ascii="Symbol" w:eastAsia="Symbol" w:hAnsi="Symbol" w:cs="Symbol" w:hint="default"/>
        <w:w w:val="100"/>
        <w:sz w:val="18"/>
        <w:szCs w:val="18"/>
      </w:rPr>
    </w:lvl>
    <w:lvl w:ilvl="1" w:tplc="5C64F800">
      <w:numFmt w:val="bullet"/>
      <w:lvlText w:val="•"/>
      <w:lvlJc w:val="left"/>
      <w:pPr>
        <w:ind w:left="1034" w:hanging="360"/>
      </w:pPr>
      <w:rPr>
        <w:rFonts w:hint="default"/>
      </w:rPr>
    </w:lvl>
    <w:lvl w:ilvl="2" w:tplc="B63EEA18">
      <w:numFmt w:val="bullet"/>
      <w:lvlText w:val="•"/>
      <w:lvlJc w:val="left"/>
      <w:pPr>
        <w:ind w:left="1269" w:hanging="360"/>
      </w:pPr>
      <w:rPr>
        <w:rFonts w:hint="default"/>
      </w:rPr>
    </w:lvl>
    <w:lvl w:ilvl="3" w:tplc="32728CAE">
      <w:numFmt w:val="bullet"/>
      <w:lvlText w:val="•"/>
      <w:lvlJc w:val="left"/>
      <w:pPr>
        <w:ind w:left="1504" w:hanging="360"/>
      </w:pPr>
      <w:rPr>
        <w:rFonts w:hint="default"/>
      </w:rPr>
    </w:lvl>
    <w:lvl w:ilvl="4" w:tplc="5978A292">
      <w:numFmt w:val="bullet"/>
      <w:lvlText w:val="•"/>
      <w:lvlJc w:val="left"/>
      <w:pPr>
        <w:ind w:left="1738" w:hanging="360"/>
      </w:pPr>
      <w:rPr>
        <w:rFonts w:hint="default"/>
      </w:rPr>
    </w:lvl>
    <w:lvl w:ilvl="5" w:tplc="59EE8E1C">
      <w:numFmt w:val="bullet"/>
      <w:lvlText w:val="•"/>
      <w:lvlJc w:val="left"/>
      <w:pPr>
        <w:ind w:left="1973" w:hanging="360"/>
      </w:pPr>
      <w:rPr>
        <w:rFonts w:hint="default"/>
      </w:rPr>
    </w:lvl>
    <w:lvl w:ilvl="6" w:tplc="35905362">
      <w:numFmt w:val="bullet"/>
      <w:lvlText w:val="•"/>
      <w:lvlJc w:val="left"/>
      <w:pPr>
        <w:ind w:left="2208" w:hanging="360"/>
      </w:pPr>
      <w:rPr>
        <w:rFonts w:hint="default"/>
      </w:rPr>
    </w:lvl>
    <w:lvl w:ilvl="7" w:tplc="463CFDEE">
      <w:numFmt w:val="bullet"/>
      <w:lvlText w:val="•"/>
      <w:lvlJc w:val="left"/>
      <w:pPr>
        <w:ind w:left="2443" w:hanging="360"/>
      </w:pPr>
      <w:rPr>
        <w:rFonts w:hint="default"/>
      </w:rPr>
    </w:lvl>
    <w:lvl w:ilvl="8" w:tplc="4B0ED8FA">
      <w:numFmt w:val="bullet"/>
      <w:lvlText w:val="•"/>
      <w:lvlJc w:val="left"/>
      <w:pPr>
        <w:ind w:left="2677" w:hanging="36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
  <w:rsids>
    <w:rsidRoot w:val="001B01F1"/>
    <w:rsid w:val="00094784"/>
    <w:rsid w:val="001B01F1"/>
    <w:rsid w:val="003E3090"/>
    <w:rsid w:val="007D3C02"/>
    <w:rsid w:val="0089710E"/>
    <w:rsid w:val="00AB0D53"/>
    <w:rsid w:val="00B56AA5"/>
    <w:rsid w:val="00B82E25"/>
    <w:rsid w:val="00C6079B"/>
    <w:rsid w:val="00E645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01F1"/>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01F1"/>
    <w:rPr>
      <w:sz w:val="20"/>
      <w:szCs w:val="20"/>
    </w:rPr>
  </w:style>
  <w:style w:type="paragraph" w:styleId="ListParagraph">
    <w:name w:val="List Paragraph"/>
    <w:basedOn w:val="Normal"/>
    <w:uiPriority w:val="1"/>
    <w:qFormat/>
    <w:rsid w:val="001B01F1"/>
  </w:style>
  <w:style w:type="paragraph" w:customStyle="1" w:styleId="TableParagraph">
    <w:name w:val="Table Paragraph"/>
    <w:basedOn w:val="Normal"/>
    <w:uiPriority w:val="1"/>
    <w:qFormat/>
    <w:rsid w:val="001B01F1"/>
    <w:pPr>
      <w:spacing w:before="112"/>
      <w:ind w:left="98" w:hanging="360"/>
    </w:pPr>
  </w:style>
  <w:style w:type="paragraph" w:styleId="BalloonText">
    <w:name w:val="Balloon Text"/>
    <w:basedOn w:val="Normal"/>
    <w:link w:val="BalloonTextChar"/>
    <w:uiPriority w:val="99"/>
    <w:semiHidden/>
    <w:unhideWhenUsed/>
    <w:rsid w:val="007D3C02"/>
    <w:rPr>
      <w:rFonts w:ascii="Tahoma" w:hAnsi="Tahoma" w:cs="Tahoma"/>
      <w:sz w:val="16"/>
      <w:szCs w:val="16"/>
    </w:rPr>
  </w:style>
  <w:style w:type="character" w:customStyle="1" w:styleId="BalloonTextChar">
    <w:name w:val="Balloon Text Char"/>
    <w:basedOn w:val="DefaultParagraphFont"/>
    <w:link w:val="BalloonText"/>
    <w:uiPriority w:val="99"/>
    <w:semiHidden/>
    <w:rsid w:val="007D3C02"/>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dn.justice.act.gov.au/resources/uploads/ACAT/ACAT_Annual_Review_2014-1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wov.com.au/__data/assets/pdf_file/0016/4516/EWOV-Constitution_17May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woq.com.au/Portals/0/PDFs/EWOQ%20Scheme%20Participant%20Manual%20January%202016_V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nq@energyaustralia.com.au" TargetMode="External"/><Relationship Id="rId4" Type="http://schemas.openxmlformats.org/officeDocument/2006/relationships/webSettings" Target="webSettings.xml"/><Relationship Id="rId9" Type="http://schemas.openxmlformats.org/officeDocument/2006/relationships/hyperlink" Target="mailto:energyindustrylevy@act.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4431</Characters>
  <Application>Microsoft Office Word</Application>
  <DocSecurity>0</DocSecurity>
  <Lines>36</Lines>
  <Paragraphs>10</Paragraphs>
  <ScaleCrop>false</ScaleCrop>
  <Company>ACT Government</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Australia Submission</dc:title>
  <dc:creator>CMTEDD</dc:creator>
  <cp:lastModifiedBy>Matthew C. Smith</cp:lastModifiedBy>
  <cp:revision>7</cp:revision>
  <dcterms:created xsi:type="dcterms:W3CDTF">2017-03-22T14:52:00Z</dcterms:created>
  <dcterms:modified xsi:type="dcterms:W3CDTF">2017-03-23T22:06:00Z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Microsoft® Word 2010</vt:lpwstr>
  </property>
  <property fmtid="{D5CDD505-2E9C-101B-9397-08002B2CF9AE}" pid="4" name="LastSaved">
    <vt:filetime>2017-03-22T00:00:00Z</vt:filetime>
  </property>
</Properties>
</file>