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A7" w:rsidRPr="003F0C5C" w:rsidRDefault="000544AE" w:rsidP="003F0C5C">
      <w:pPr>
        <w:pStyle w:val="Heading1"/>
      </w:pPr>
      <w:r w:rsidRPr="003F0C5C">
        <w:t>5</w:t>
      </w:r>
      <w:r w:rsidR="00713758">
        <w:t>.1</w:t>
      </w:r>
      <w:r w:rsidR="00713758">
        <w:tab/>
        <w:t>EXPENDITURE</w:t>
      </w:r>
      <w:r w:rsidR="00EC79A7" w:rsidRPr="003F0C5C">
        <w:t xml:space="preserve"> AND FORWARD ESTIMATES</w:t>
      </w:r>
    </w:p>
    <w:p w:rsidR="001C2F34" w:rsidRPr="005E71CD" w:rsidRDefault="001C2F34" w:rsidP="005E71CD">
      <w:pPr>
        <w:pStyle w:val="BodyText"/>
      </w:pPr>
      <w:r w:rsidRPr="005E71CD">
        <w:t>Total expenditure in the G</w:t>
      </w:r>
      <w:r w:rsidR="00134960" w:rsidRPr="005E71CD">
        <w:t>eneral Government Sector in 2012-13</w:t>
      </w:r>
      <w:r w:rsidRPr="005E71CD">
        <w:t xml:space="preserve"> is estimated to be $4.</w:t>
      </w:r>
      <w:r w:rsidR="00134960" w:rsidRPr="005E71CD">
        <w:t>424</w:t>
      </w:r>
      <w:r w:rsidRPr="005E71CD">
        <w:t xml:space="preserve"> billion </w:t>
      </w:r>
      <w:r w:rsidR="00B91294" w:rsidRPr="005E71CD">
        <w:t>increasing</w:t>
      </w:r>
      <w:r w:rsidRPr="005E71CD">
        <w:t xml:space="preserve"> to $4.</w:t>
      </w:r>
      <w:r w:rsidR="00134960" w:rsidRPr="005E71CD">
        <w:t>578 billion in 2013-14</w:t>
      </w:r>
      <w:r w:rsidRPr="005E71CD">
        <w:t>.  Approximately 4</w:t>
      </w:r>
      <w:r w:rsidR="00037309" w:rsidRPr="005E71CD">
        <w:t>8</w:t>
      </w:r>
      <w:r w:rsidRPr="005E71CD">
        <w:t xml:space="preserve"> per cent of the expenditure relates to employees’ wages and superannuation.  Functionally, around </w:t>
      </w:r>
      <w:r w:rsidR="00BE0BE7">
        <w:t>55</w:t>
      </w:r>
      <w:r w:rsidR="004E46A6" w:rsidRPr="005E71CD">
        <w:t> per </w:t>
      </w:r>
      <w:r w:rsidRPr="005E71CD">
        <w:t>cent of total expenditure relates to the portfolios of health and education (including vocational education).</w:t>
      </w:r>
    </w:p>
    <w:p w:rsidR="00DF3263" w:rsidRPr="003F0C5C" w:rsidRDefault="00DF3263" w:rsidP="003F0C5C">
      <w:pPr>
        <w:pStyle w:val="BodyText"/>
      </w:pPr>
      <w:r w:rsidRPr="003F0C5C">
        <w:t xml:space="preserve">The ACT’s recurrent expenditure needs, assessed as part of the Commonwealth Grants Commission’s distribution of GST funding in its Report on </w:t>
      </w:r>
      <w:r w:rsidRPr="003F0C5C">
        <w:rPr>
          <w:i/>
        </w:rPr>
        <w:t>GST Revenue Sharing Relativities – 2013 Update</w:t>
      </w:r>
      <w:r w:rsidRPr="003F0C5C">
        <w:t>, are below the national average by around $202 per person.  The demographic characteristics of the ACT lead to lower than average assessed service need.</w:t>
      </w:r>
    </w:p>
    <w:p w:rsidR="00DF3263" w:rsidRPr="003F0C5C" w:rsidRDefault="00DF3263" w:rsidP="003F0C5C">
      <w:pPr>
        <w:pStyle w:val="BodyText"/>
      </w:pPr>
      <w:r w:rsidRPr="003F0C5C">
        <w:t>The expenditure assessments redistribute GST funding away from the ACT overall, given they are in large part driven by the costs of providing services to people from Indigenous and low socio-economic status backgrounds and those who are located in remote areas.  The ACT has below average proportion of these persons relative to the other States and Territories.</w:t>
      </w:r>
    </w:p>
    <w:p w:rsidR="00DF3263" w:rsidRPr="003F0C5C" w:rsidRDefault="00DF3263" w:rsidP="003F0C5C">
      <w:pPr>
        <w:pStyle w:val="BodyText"/>
      </w:pPr>
      <w:r w:rsidRPr="003F0C5C">
        <w:t xml:space="preserve">These relatively lower service needs are, however, offset in part by the ACT’s status as a regional centre, which leads to the servicing of interstate residents in areas </w:t>
      </w:r>
      <w:r w:rsidR="00B50506">
        <w:t>that</w:t>
      </w:r>
      <w:r w:rsidRPr="003F0C5C">
        <w:t xml:space="preserve"> are not covered by bilateral compensation agreements.  </w:t>
      </w:r>
    </w:p>
    <w:p w:rsidR="00DF3263" w:rsidRPr="003F0C5C" w:rsidRDefault="00DF3263" w:rsidP="003F0C5C">
      <w:pPr>
        <w:pStyle w:val="BodyText"/>
      </w:pPr>
      <w:r w:rsidRPr="003F0C5C">
        <w:t xml:space="preserve">The recurrent expenditure in the ACT continues to be well above the national average, at around 21 per cent above its assessed level of need.  </w:t>
      </w:r>
    </w:p>
    <w:p w:rsidR="001C2F34" w:rsidRPr="003F0C5C" w:rsidRDefault="001C2F34" w:rsidP="003F0C5C">
      <w:pPr>
        <w:pStyle w:val="BodyText"/>
      </w:pPr>
      <w:r w:rsidRPr="003F0C5C">
        <w:t>The forecast</w:t>
      </w:r>
      <w:r w:rsidR="00372C0B" w:rsidRPr="003F0C5C">
        <w:t xml:space="preserve"> outcome for expenditure in 2012-13</w:t>
      </w:r>
      <w:r w:rsidRPr="003F0C5C">
        <w:t xml:space="preserve"> is approximately $</w:t>
      </w:r>
      <w:r w:rsidR="00372C0B" w:rsidRPr="003F0C5C">
        <w:t>7</w:t>
      </w:r>
      <w:r w:rsidR="008B4586" w:rsidRPr="003F0C5C">
        <w:t>6.</w:t>
      </w:r>
      <w:r w:rsidR="00037309" w:rsidRPr="003F0C5C">
        <w:t xml:space="preserve">9 </w:t>
      </w:r>
      <w:r w:rsidRPr="003F0C5C">
        <w:t xml:space="preserve">million (or </w:t>
      </w:r>
      <w:r w:rsidR="008D1A78" w:rsidRPr="003F0C5C">
        <w:t>1.8</w:t>
      </w:r>
      <w:r w:rsidR="004E46A6" w:rsidRPr="003F0C5C">
        <w:t> per </w:t>
      </w:r>
      <w:r w:rsidRPr="003F0C5C">
        <w:t xml:space="preserve">cent) above the original </w:t>
      </w:r>
      <w:r w:rsidR="00B50506">
        <w:t xml:space="preserve">ACT Government’s </w:t>
      </w:r>
      <w:r w:rsidRPr="003F0C5C">
        <w:t>forecast</w:t>
      </w:r>
      <w:r w:rsidR="008D1A78" w:rsidRPr="003F0C5C">
        <w:t xml:space="preserve"> largely due to</w:t>
      </w:r>
      <w:r w:rsidR="00037309" w:rsidRPr="003F0C5C">
        <w:t xml:space="preserve"> the impact of </w:t>
      </w:r>
      <w:r w:rsidR="00776242" w:rsidRPr="003F0C5C">
        <w:t xml:space="preserve">a </w:t>
      </w:r>
      <w:r w:rsidR="00037309" w:rsidRPr="003F0C5C">
        <w:t xml:space="preserve">lower than estimated discount </w:t>
      </w:r>
      <w:r w:rsidR="00776242" w:rsidRPr="003F0C5C">
        <w:t xml:space="preserve">rate </w:t>
      </w:r>
      <w:r w:rsidR="00037309" w:rsidRPr="003F0C5C">
        <w:t>used to value the superannuation liability.</w:t>
      </w:r>
    </w:p>
    <w:p w:rsidR="001C2F34" w:rsidRPr="003F0C5C" w:rsidRDefault="001C2F34" w:rsidP="003F0C5C">
      <w:pPr>
        <w:pStyle w:val="BodyText"/>
      </w:pPr>
      <w:r w:rsidRPr="003F0C5C">
        <w:t>In</w:t>
      </w:r>
      <w:r w:rsidR="00A52F90" w:rsidRPr="003F0C5C">
        <w:t xml:space="preserve"> </w:t>
      </w:r>
      <w:r w:rsidR="008D1A78" w:rsidRPr="003F0C5C">
        <w:t>2013-14</w:t>
      </w:r>
      <w:r w:rsidRPr="003F0C5C">
        <w:t xml:space="preserve"> expenses are forecast to increase by </w:t>
      </w:r>
      <w:r w:rsidR="008D1A78" w:rsidRPr="003F0C5C">
        <w:t xml:space="preserve">3.5 </w:t>
      </w:r>
      <w:r w:rsidRPr="003F0C5C">
        <w:t xml:space="preserve">per cent to </w:t>
      </w:r>
      <w:r w:rsidR="008D1A78" w:rsidRPr="003F0C5C">
        <w:t>$4.</w:t>
      </w:r>
      <w:r w:rsidR="00A52F90" w:rsidRPr="003F0C5C">
        <w:t>578</w:t>
      </w:r>
      <w:r w:rsidR="008D1A78" w:rsidRPr="003F0C5C">
        <w:t xml:space="preserve"> billion</w:t>
      </w:r>
      <w:r w:rsidRPr="003F0C5C">
        <w:t>, largely reflecting</w:t>
      </w:r>
      <w:r w:rsidR="00251510" w:rsidRPr="003F0C5C">
        <w:t xml:space="preserve"> </w:t>
      </w:r>
      <w:r w:rsidRPr="003F0C5C">
        <w:t xml:space="preserve">increases associated </w:t>
      </w:r>
      <w:r w:rsidR="004E46A6" w:rsidRPr="003F0C5C">
        <w:t xml:space="preserve">with </w:t>
      </w:r>
      <w:r w:rsidRPr="003F0C5C">
        <w:t xml:space="preserve">growth in service activities and the net (of savings) impact of </w:t>
      </w:r>
      <w:r w:rsidR="00251510" w:rsidRPr="003F0C5C">
        <w:t xml:space="preserve">government </w:t>
      </w:r>
      <w:r w:rsidRPr="003F0C5C">
        <w:t>initiatives.</w:t>
      </w:r>
    </w:p>
    <w:p w:rsidR="001C2F34" w:rsidRPr="003F0C5C" w:rsidRDefault="001C2F34" w:rsidP="003F0C5C">
      <w:pPr>
        <w:pStyle w:val="BodyText"/>
      </w:pPr>
      <w:r w:rsidRPr="003F0C5C">
        <w:t>Across the Budget and forward estimates, expe</w:t>
      </w:r>
      <w:r w:rsidR="00372C0B" w:rsidRPr="003F0C5C">
        <w:t>nses are forecast to grow at an</w:t>
      </w:r>
      <w:r w:rsidRPr="003F0C5C">
        <w:t xml:space="preserve"> annual average rate of </w:t>
      </w:r>
      <w:r w:rsidR="008D1A78" w:rsidRPr="003F0C5C">
        <w:t>3.5</w:t>
      </w:r>
      <w:r w:rsidRPr="003F0C5C">
        <w:t xml:space="preserve"> per cent.  The growth in expenditure generally reflects growth in employee expenses, </w:t>
      </w:r>
      <w:r w:rsidR="00251510" w:rsidRPr="003F0C5C">
        <w:t>supplies and services</w:t>
      </w:r>
      <w:r w:rsidRPr="003F0C5C">
        <w:t xml:space="preserve"> and the depreciation and amortisation of assets. </w:t>
      </w:r>
    </w:p>
    <w:p w:rsidR="001C2F34" w:rsidRPr="003F0C5C" w:rsidRDefault="001C2F34" w:rsidP="003F0C5C">
      <w:pPr>
        <w:pStyle w:val="BodyText"/>
      </w:pPr>
      <w:r w:rsidRPr="003F0C5C">
        <w:t>Expenditure estimates incorporate a range of savings measures totalling $</w:t>
      </w:r>
      <w:r w:rsidR="00802B63" w:rsidRPr="003F0C5C">
        <w:t>142.6</w:t>
      </w:r>
      <w:r w:rsidRPr="003F0C5C">
        <w:t xml:space="preserve"> million across the budget year and forward estimates.  Savings measures include </w:t>
      </w:r>
      <w:r w:rsidR="00251510" w:rsidRPr="003F0C5C">
        <w:t xml:space="preserve">ceasing of </w:t>
      </w:r>
      <w:r w:rsidR="00266C7F" w:rsidRPr="003F0C5C">
        <w:t>initiatives</w:t>
      </w:r>
      <w:r w:rsidR="00251510" w:rsidRPr="003F0C5C">
        <w:t xml:space="preserve"> that no longer align with government priorities, further administrative savings and reprioritisation of program expenditure.</w:t>
      </w:r>
    </w:p>
    <w:p w:rsidR="001C2F34" w:rsidRPr="003F0C5C" w:rsidRDefault="001C2F34" w:rsidP="003F0C5C">
      <w:pPr>
        <w:pStyle w:val="BodyText"/>
      </w:pPr>
      <w:r w:rsidRPr="003F0C5C">
        <w:t>This chap</w:t>
      </w:r>
      <w:r w:rsidR="00802B63" w:rsidRPr="003F0C5C">
        <w:t>ter provides details of the 2012</w:t>
      </w:r>
      <w:r w:rsidR="00AE1EB8" w:rsidRPr="003F0C5C">
        <w:t>-</w:t>
      </w:r>
      <w:r w:rsidR="00802B63" w:rsidRPr="003F0C5C">
        <w:t>13</w:t>
      </w:r>
      <w:r w:rsidRPr="003F0C5C">
        <w:t xml:space="preserve"> estimated </w:t>
      </w:r>
      <w:proofErr w:type="gramStart"/>
      <w:r w:rsidRPr="003F0C5C">
        <w:t>outcome</w:t>
      </w:r>
      <w:proofErr w:type="gramEnd"/>
      <w:r w:rsidR="004D0CF7" w:rsidRPr="003F0C5C">
        <w:t>,</w:t>
      </w:r>
      <w:r w:rsidRPr="003F0C5C">
        <w:t xml:space="preserve"> </w:t>
      </w:r>
      <w:r w:rsidR="004D0CF7" w:rsidRPr="003F0C5C">
        <w:t>the</w:t>
      </w:r>
      <w:r w:rsidR="00802B63" w:rsidRPr="003F0C5C">
        <w:t xml:space="preserve"> 2013</w:t>
      </w:r>
      <w:r w:rsidR="00AE1EB8" w:rsidRPr="003F0C5C">
        <w:t>-</w:t>
      </w:r>
      <w:r w:rsidR="00802B63" w:rsidRPr="003F0C5C">
        <w:t>14</w:t>
      </w:r>
      <w:r w:rsidRPr="003F0C5C">
        <w:t xml:space="preserve"> Budget and forward estimates for expense items, including a discussion of the</w:t>
      </w:r>
      <w:r w:rsidR="004E46A6" w:rsidRPr="003F0C5C">
        <w:t xml:space="preserve"> major</w:t>
      </w:r>
      <w:r w:rsidRPr="003F0C5C">
        <w:t xml:space="preserve"> variances of expenditure items.</w:t>
      </w:r>
    </w:p>
    <w:p w:rsidR="00793730" w:rsidRPr="006E3742" w:rsidRDefault="00793730">
      <w:pPr>
        <w:rPr>
          <w:rFonts w:asciiTheme="minorHAnsi" w:hAnsiTheme="minorHAnsi" w:cs="Arial"/>
          <w:b/>
          <w:bCs/>
          <w:sz w:val="20"/>
        </w:rPr>
      </w:pPr>
      <w:r w:rsidRPr="006E3742">
        <w:rPr>
          <w:rFonts w:asciiTheme="minorHAnsi" w:hAnsiTheme="minorHAnsi"/>
        </w:rPr>
        <w:br w:type="page"/>
      </w:r>
    </w:p>
    <w:p w:rsidR="00EC79A7" w:rsidRPr="00F448CF" w:rsidRDefault="00F26068" w:rsidP="00F448CF">
      <w:pPr>
        <w:pStyle w:val="TableNumber"/>
      </w:pPr>
      <w:r w:rsidRPr="00F448CF">
        <w:lastRenderedPageBreak/>
        <w:t>Table 5</w:t>
      </w:r>
      <w:r w:rsidR="00EC79A7" w:rsidRPr="00F448CF">
        <w:t>.1.1</w:t>
      </w:r>
    </w:p>
    <w:p w:rsidR="00EC79A7" w:rsidRPr="00F448CF" w:rsidRDefault="00EC79A7" w:rsidP="00F448CF">
      <w:pPr>
        <w:pStyle w:val="TableName"/>
      </w:pPr>
      <w:r w:rsidRPr="00F448CF">
        <w:t>General Government Expenditure</w:t>
      </w:r>
    </w:p>
    <w:tbl>
      <w:tblPr>
        <w:tblW w:w="9356" w:type="dxa"/>
        <w:tblLook w:val="0000"/>
      </w:tblPr>
      <w:tblGrid>
        <w:gridCol w:w="1038"/>
        <w:gridCol w:w="2253"/>
        <w:gridCol w:w="1331"/>
        <w:gridCol w:w="1038"/>
        <w:gridCol w:w="582"/>
        <w:gridCol w:w="1038"/>
        <w:gridCol w:w="1038"/>
        <w:gridCol w:w="1038"/>
      </w:tblGrid>
      <w:tr w:rsidR="00EC79A7" w:rsidRPr="006E3742" w:rsidTr="003F0C5C">
        <w:trPr>
          <w:trHeight w:val="170"/>
        </w:trPr>
        <w:tc>
          <w:tcPr>
            <w:tcW w:w="1021" w:type="dxa"/>
            <w:tcBorders>
              <w:top w:val="single" w:sz="4" w:space="0" w:color="auto"/>
              <w:left w:val="nil"/>
              <w:bottom w:val="nil"/>
              <w:right w:val="nil"/>
            </w:tcBorders>
            <w:shd w:val="clear" w:color="auto" w:fill="auto"/>
            <w:noWrap/>
          </w:tcPr>
          <w:p w:rsidR="00EC79A7" w:rsidRPr="00F448CF" w:rsidRDefault="008A7322">
            <w:pPr>
              <w:pStyle w:val="TableTextRightBold"/>
              <w:spacing w:before="10" w:after="10"/>
              <w:rPr>
                <w:rFonts w:asciiTheme="minorHAnsi" w:hAnsiTheme="minorHAnsi"/>
                <w:sz w:val="18"/>
                <w:szCs w:val="18"/>
              </w:rPr>
            </w:pPr>
            <w:r w:rsidRPr="00F448CF">
              <w:rPr>
                <w:rFonts w:asciiTheme="minorHAnsi" w:hAnsiTheme="minorHAnsi"/>
                <w:sz w:val="18"/>
                <w:szCs w:val="18"/>
              </w:rPr>
              <w:t>2012</w:t>
            </w:r>
            <w:r w:rsidR="008D213B" w:rsidRPr="00F448CF">
              <w:rPr>
                <w:rFonts w:asciiTheme="minorHAnsi" w:hAnsiTheme="minorHAnsi"/>
                <w:sz w:val="18"/>
                <w:szCs w:val="18"/>
              </w:rPr>
              <w:t>-1</w:t>
            </w:r>
            <w:r w:rsidRPr="00F448CF">
              <w:rPr>
                <w:rFonts w:asciiTheme="minorHAnsi" w:hAnsiTheme="minorHAnsi"/>
                <w:sz w:val="18"/>
                <w:szCs w:val="18"/>
              </w:rPr>
              <w:t>3</w:t>
            </w:r>
          </w:p>
        </w:tc>
        <w:tc>
          <w:tcPr>
            <w:tcW w:w="2217" w:type="dxa"/>
            <w:tcBorders>
              <w:top w:val="single" w:sz="4" w:space="0" w:color="auto"/>
              <w:left w:val="nil"/>
              <w:bottom w:val="nil"/>
              <w:right w:val="nil"/>
            </w:tcBorders>
            <w:shd w:val="clear" w:color="auto" w:fill="auto"/>
            <w:noWrap/>
          </w:tcPr>
          <w:p w:rsidR="00EC79A7" w:rsidRPr="006E3742" w:rsidRDefault="00EC79A7">
            <w:pPr>
              <w:pStyle w:val="TableTextRightBold"/>
              <w:spacing w:before="10" w:after="10"/>
              <w:rPr>
                <w:rFonts w:asciiTheme="minorHAnsi" w:hAnsiTheme="minorHAnsi"/>
              </w:rPr>
            </w:pPr>
            <w:r w:rsidRPr="006E3742">
              <w:rPr>
                <w:rFonts w:asciiTheme="minorHAnsi" w:hAnsiTheme="minorHAnsi"/>
              </w:rPr>
              <w:t> </w:t>
            </w:r>
          </w:p>
        </w:tc>
        <w:tc>
          <w:tcPr>
            <w:tcW w:w="1310" w:type="dxa"/>
            <w:tcBorders>
              <w:top w:val="single" w:sz="4" w:space="0" w:color="auto"/>
              <w:left w:val="nil"/>
              <w:bottom w:val="nil"/>
              <w:right w:val="nil"/>
            </w:tcBorders>
            <w:shd w:val="clear" w:color="auto" w:fill="auto"/>
            <w:noWrap/>
          </w:tcPr>
          <w:p w:rsidR="00EC79A7" w:rsidRPr="00F448CF" w:rsidRDefault="008D213B" w:rsidP="008A7322">
            <w:pPr>
              <w:pStyle w:val="TableTextRightBold"/>
              <w:spacing w:before="10" w:after="10"/>
              <w:rPr>
                <w:rFonts w:asciiTheme="minorHAnsi" w:hAnsiTheme="minorHAnsi"/>
                <w:sz w:val="18"/>
                <w:szCs w:val="18"/>
              </w:rPr>
            </w:pPr>
            <w:r w:rsidRPr="00F448CF">
              <w:rPr>
                <w:rFonts w:asciiTheme="minorHAnsi" w:hAnsiTheme="minorHAnsi"/>
                <w:sz w:val="18"/>
                <w:szCs w:val="18"/>
              </w:rPr>
              <w:t>201</w:t>
            </w:r>
            <w:r w:rsidR="008A7322" w:rsidRPr="00F448CF">
              <w:rPr>
                <w:rFonts w:asciiTheme="minorHAnsi" w:hAnsiTheme="minorHAnsi"/>
                <w:sz w:val="18"/>
                <w:szCs w:val="18"/>
              </w:rPr>
              <w:t>2</w:t>
            </w:r>
            <w:r w:rsidRPr="00F448CF">
              <w:rPr>
                <w:rFonts w:asciiTheme="minorHAnsi" w:hAnsiTheme="minorHAnsi"/>
                <w:sz w:val="18"/>
                <w:szCs w:val="18"/>
              </w:rPr>
              <w:t>-1</w:t>
            </w:r>
            <w:r w:rsidR="008A7322" w:rsidRPr="00F448CF">
              <w:rPr>
                <w:rFonts w:asciiTheme="minorHAnsi" w:hAnsiTheme="minorHAnsi"/>
                <w:sz w:val="18"/>
                <w:szCs w:val="18"/>
              </w:rPr>
              <w:t>3</w:t>
            </w:r>
          </w:p>
        </w:tc>
        <w:tc>
          <w:tcPr>
            <w:tcW w:w="1021" w:type="dxa"/>
            <w:tcBorders>
              <w:top w:val="single" w:sz="4" w:space="0" w:color="auto"/>
              <w:left w:val="nil"/>
              <w:bottom w:val="nil"/>
              <w:right w:val="nil"/>
            </w:tcBorders>
            <w:shd w:val="clear" w:color="auto" w:fill="auto"/>
            <w:noWrap/>
          </w:tcPr>
          <w:p w:rsidR="00EC79A7" w:rsidRPr="00F448CF" w:rsidRDefault="008A7322">
            <w:pPr>
              <w:pStyle w:val="TableTextRightBold"/>
              <w:spacing w:before="10" w:after="10"/>
              <w:rPr>
                <w:rFonts w:asciiTheme="minorHAnsi" w:hAnsiTheme="minorHAnsi"/>
                <w:sz w:val="18"/>
                <w:szCs w:val="18"/>
              </w:rPr>
            </w:pPr>
            <w:r w:rsidRPr="00F448CF">
              <w:rPr>
                <w:rFonts w:asciiTheme="minorHAnsi" w:hAnsiTheme="minorHAnsi"/>
                <w:sz w:val="18"/>
                <w:szCs w:val="18"/>
              </w:rPr>
              <w:t>2013</w:t>
            </w:r>
            <w:r w:rsidR="008D213B" w:rsidRPr="00F448CF">
              <w:rPr>
                <w:rFonts w:asciiTheme="minorHAnsi" w:hAnsiTheme="minorHAnsi"/>
                <w:sz w:val="18"/>
                <w:szCs w:val="18"/>
              </w:rPr>
              <w:t>-1</w:t>
            </w:r>
            <w:r w:rsidRPr="00F448CF">
              <w:rPr>
                <w:rFonts w:asciiTheme="minorHAnsi" w:hAnsiTheme="minorHAnsi"/>
                <w:sz w:val="18"/>
                <w:szCs w:val="18"/>
              </w:rPr>
              <w:t>4</w:t>
            </w:r>
          </w:p>
        </w:tc>
        <w:tc>
          <w:tcPr>
            <w:tcW w:w="573" w:type="dxa"/>
            <w:tcBorders>
              <w:top w:val="single" w:sz="4" w:space="0" w:color="auto"/>
              <w:left w:val="nil"/>
              <w:bottom w:val="nil"/>
              <w:right w:val="nil"/>
            </w:tcBorders>
            <w:shd w:val="clear" w:color="auto" w:fill="auto"/>
            <w:noWrap/>
          </w:tcPr>
          <w:p w:rsidR="00EC79A7" w:rsidRPr="00F448CF" w:rsidRDefault="00EC79A7">
            <w:pPr>
              <w:pStyle w:val="TableTextRightBold"/>
              <w:spacing w:before="10" w:after="10"/>
              <w:rPr>
                <w:rFonts w:asciiTheme="minorHAnsi" w:hAnsiTheme="minorHAnsi"/>
                <w:sz w:val="18"/>
                <w:szCs w:val="18"/>
              </w:rPr>
            </w:pPr>
            <w:r w:rsidRPr="00F448CF">
              <w:rPr>
                <w:rFonts w:asciiTheme="minorHAnsi" w:hAnsiTheme="minorHAnsi"/>
                <w:sz w:val="18"/>
                <w:szCs w:val="18"/>
              </w:rPr>
              <w:t> </w:t>
            </w:r>
          </w:p>
        </w:tc>
        <w:tc>
          <w:tcPr>
            <w:tcW w:w="1021" w:type="dxa"/>
            <w:tcBorders>
              <w:top w:val="single" w:sz="4" w:space="0" w:color="auto"/>
              <w:left w:val="nil"/>
              <w:bottom w:val="nil"/>
              <w:right w:val="nil"/>
            </w:tcBorders>
            <w:shd w:val="clear" w:color="auto" w:fill="auto"/>
            <w:noWrap/>
          </w:tcPr>
          <w:p w:rsidR="00EC79A7" w:rsidRPr="00F448CF" w:rsidRDefault="008A7322">
            <w:pPr>
              <w:pStyle w:val="TableTextRightBold"/>
              <w:spacing w:before="10" w:after="10"/>
              <w:rPr>
                <w:rFonts w:asciiTheme="minorHAnsi" w:hAnsiTheme="minorHAnsi"/>
                <w:sz w:val="18"/>
                <w:szCs w:val="18"/>
              </w:rPr>
            </w:pPr>
            <w:r w:rsidRPr="00F448CF">
              <w:rPr>
                <w:rFonts w:asciiTheme="minorHAnsi" w:hAnsiTheme="minorHAnsi"/>
                <w:sz w:val="18"/>
                <w:szCs w:val="18"/>
              </w:rPr>
              <w:t>2014</w:t>
            </w:r>
            <w:r w:rsidR="008D213B" w:rsidRPr="00F448CF">
              <w:rPr>
                <w:rFonts w:asciiTheme="minorHAnsi" w:hAnsiTheme="minorHAnsi"/>
                <w:sz w:val="18"/>
                <w:szCs w:val="18"/>
              </w:rPr>
              <w:t>-1</w:t>
            </w:r>
            <w:r w:rsidRPr="00F448CF">
              <w:rPr>
                <w:rFonts w:asciiTheme="minorHAnsi" w:hAnsiTheme="minorHAnsi"/>
                <w:sz w:val="18"/>
                <w:szCs w:val="18"/>
              </w:rPr>
              <w:t>5</w:t>
            </w:r>
          </w:p>
        </w:tc>
        <w:tc>
          <w:tcPr>
            <w:tcW w:w="1021" w:type="dxa"/>
            <w:tcBorders>
              <w:top w:val="single" w:sz="4" w:space="0" w:color="auto"/>
              <w:left w:val="nil"/>
              <w:bottom w:val="nil"/>
              <w:right w:val="nil"/>
            </w:tcBorders>
            <w:shd w:val="clear" w:color="auto" w:fill="auto"/>
            <w:noWrap/>
          </w:tcPr>
          <w:p w:rsidR="00EC79A7" w:rsidRPr="00F448CF" w:rsidRDefault="008A7322">
            <w:pPr>
              <w:pStyle w:val="TableTextRightBold"/>
              <w:spacing w:before="10" w:after="10"/>
              <w:rPr>
                <w:rFonts w:asciiTheme="minorHAnsi" w:hAnsiTheme="minorHAnsi"/>
                <w:sz w:val="18"/>
                <w:szCs w:val="18"/>
              </w:rPr>
            </w:pPr>
            <w:r w:rsidRPr="00F448CF">
              <w:rPr>
                <w:rFonts w:asciiTheme="minorHAnsi" w:hAnsiTheme="minorHAnsi"/>
                <w:sz w:val="18"/>
                <w:szCs w:val="18"/>
              </w:rPr>
              <w:t>2015</w:t>
            </w:r>
            <w:r w:rsidR="008D213B" w:rsidRPr="00F448CF">
              <w:rPr>
                <w:rFonts w:asciiTheme="minorHAnsi" w:hAnsiTheme="minorHAnsi"/>
                <w:sz w:val="18"/>
                <w:szCs w:val="18"/>
              </w:rPr>
              <w:t>-1</w:t>
            </w:r>
            <w:r w:rsidRPr="00F448CF">
              <w:rPr>
                <w:rFonts w:asciiTheme="minorHAnsi" w:hAnsiTheme="minorHAnsi"/>
                <w:sz w:val="18"/>
                <w:szCs w:val="18"/>
              </w:rPr>
              <w:t>6</w:t>
            </w:r>
          </w:p>
        </w:tc>
        <w:tc>
          <w:tcPr>
            <w:tcW w:w="1021" w:type="dxa"/>
            <w:tcBorders>
              <w:top w:val="single" w:sz="4" w:space="0" w:color="auto"/>
              <w:left w:val="nil"/>
              <w:bottom w:val="nil"/>
              <w:right w:val="nil"/>
            </w:tcBorders>
            <w:shd w:val="clear" w:color="auto" w:fill="auto"/>
            <w:noWrap/>
          </w:tcPr>
          <w:p w:rsidR="00EC79A7" w:rsidRPr="00F448CF" w:rsidRDefault="008A7322">
            <w:pPr>
              <w:pStyle w:val="TableTextRightBold"/>
              <w:spacing w:before="10" w:after="10"/>
              <w:rPr>
                <w:rFonts w:asciiTheme="minorHAnsi" w:hAnsiTheme="minorHAnsi"/>
                <w:sz w:val="18"/>
                <w:szCs w:val="18"/>
              </w:rPr>
            </w:pPr>
            <w:r w:rsidRPr="00F448CF">
              <w:rPr>
                <w:rFonts w:asciiTheme="minorHAnsi" w:hAnsiTheme="minorHAnsi"/>
                <w:sz w:val="18"/>
                <w:szCs w:val="18"/>
              </w:rPr>
              <w:t>2016</w:t>
            </w:r>
            <w:r w:rsidR="008D213B" w:rsidRPr="00F448CF">
              <w:rPr>
                <w:rFonts w:asciiTheme="minorHAnsi" w:hAnsiTheme="minorHAnsi"/>
                <w:sz w:val="18"/>
                <w:szCs w:val="18"/>
              </w:rPr>
              <w:t>-1</w:t>
            </w:r>
            <w:r w:rsidRPr="00F448CF">
              <w:rPr>
                <w:rFonts w:asciiTheme="minorHAnsi" w:hAnsiTheme="minorHAnsi"/>
                <w:sz w:val="18"/>
                <w:szCs w:val="18"/>
              </w:rPr>
              <w:t>7</w:t>
            </w:r>
          </w:p>
        </w:tc>
      </w:tr>
      <w:tr w:rsidR="00EC79A7" w:rsidRPr="006E3742" w:rsidTr="003F0C5C">
        <w:trPr>
          <w:trHeight w:val="170"/>
        </w:trPr>
        <w:tc>
          <w:tcPr>
            <w:tcW w:w="1021" w:type="dxa"/>
            <w:tcBorders>
              <w:top w:val="nil"/>
              <w:left w:val="nil"/>
              <w:bottom w:val="nil"/>
              <w:right w:val="nil"/>
            </w:tcBorders>
            <w:shd w:val="clear" w:color="auto" w:fill="auto"/>
            <w:noWrap/>
          </w:tcPr>
          <w:p w:rsidR="00EC79A7" w:rsidRPr="00F448CF" w:rsidRDefault="00EC79A7">
            <w:pPr>
              <w:pStyle w:val="TableTextRightBold"/>
              <w:spacing w:before="10" w:after="10"/>
              <w:rPr>
                <w:rFonts w:asciiTheme="minorHAnsi" w:hAnsiTheme="minorHAnsi"/>
                <w:sz w:val="18"/>
                <w:szCs w:val="18"/>
              </w:rPr>
            </w:pPr>
            <w:r w:rsidRPr="00F448CF">
              <w:rPr>
                <w:rFonts w:asciiTheme="minorHAnsi" w:hAnsiTheme="minorHAnsi"/>
                <w:sz w:val="18"/>
                <w:szCs w:val="18"/>
              </w:rPr>
              <w:t>Budget</w:t>
            </w:r>
          </w:p>
        </w:tc>
        <w:tc>
          <w:tcPr>
            <w:tcW w:w="2217" w:type="dxa"/>
            <w:tcBorders>
              <w:top w:val="nil"/>
              <w:left w:val="nil"/>
              <w:bottom w:val="nil"/>
              <w:right w:val="nil"/>
            </w:tcBorders>
            <w:shd w:val="clear" w:color="auto" w:fill="auto"/>
            <w:noWrap/>
          </w:tcPr>
          <w:p w:rsidR="00EC79A7" w:rsidRPr="006E3742" w:rsidRDefault="00EC79A7">
            <w:pPr>
              <w:pStyle w:val="TableTextRightBold"/>
              <w:spacing w:before="10" w:after="10"/>
              <w:rPr>
                <w:rFonts w:asciiTheme="minorHAnsi" w:hAnsiTheme="minorHAnsi"/>
              </w:rPr>
            </w:pPr>
          </w:p>
        </w:tc>
        <w:tc>
          <w:tcPr>
            <w:tcW w:w="1310" w:type="dxa"/>
            <w:tcBorders>
              <w:top w:val="nil"/>
              <w:left w:val="nil"/>
              <w:bottom w:val="nil"/>
              <w:right w:val="nil"/>
            </w:tcBorders>
            <w:shd w:val="clear" w:color="auto" w:fill="auto"/>
            <w:noWrap/>
          </w:tcPr>
          <w:p w:rsidR="00EC79A7" w:rsidRPr="00F448CF" w:rsidRDefault="00EC79A7">
            <w:pPr>
              <w:pStyle w:val="TableTextRightBold"/>
              <w:spacing w:before="10" w:after="10"/>
              <w:rPr>
                <w:rFonts w:asciiTheme="minorHAnsi" w:hAnsiTheme="minorHAnsi"/>
                <w:sz w:val="18"/>
                <w:szCs w:val="18"/>
              </w:rPr>
            </w:pPr>
            <w:r w:rsidRPr="00F448CF">
              <w:rPr>
                <w:rFonts w:asciiTheme="minorHAnsi" w:hAnsiTheme="minorHAnsi"/>
                <w:sz w:val="18"/>
                <w:szCs w:val="18"/>
              </w:rPr>
              <w:t>Est. Outcome</w:t>
            </w:r>
          </w:p>
        </w:tc>
        <w:tc>
          <w:tcPr>
            <w:tcW w:w="1021" w:type="dxa"/>
            <w:tcBorders>
              <w:top w:val="nil"/>
              <w:left w:val="nil"/>
              <w:bottom w:val="nil"/>
              <w:right w:val="nil"/>
            </w:tcBorders>
            <w:shd w:val="clear" w:color="auto" w:fill="auto"/>
            <w:noWrap/>
          </w:tcPr>
          <w:p w:rsidR="00EC79A7" w:rsidRPr="00F448CF" w:rsidRDefault="00EC79A7">
            <w:pPr>
              <w:pStyle w:val="TableTextRightBold"/>
              <w:spacing w:before="10" w:after="10"/>
              <w:rPr>
                <w:rFonts w:asciiTheme="minorHAnsi" w:hAnsiTheme="minorHAnsi"/>
                <w:sz w:val="18"/>
                <w:szCs w:val="18"/>
              </w:rPr>
            </w:pPr>
            <w:r w:rsidRPr="00F448CF">
              <w:rPr>
                <w:rFonts w:asciiTheme="minorHAnsi" w:hAnsiTheme="minorHAnsi"/>
                <w:sz w:val="18"/>
                <w:szCs w:val="18"/>
              </w:rPr>
              <w:t>Budget</w:t>
            </w:r>
          </w:p>
        </w:tc>
        <w:tc>
          <w:tcPr>
            <w:tcW w:w="573" w:type="dxa"/>
            <w:tcBorders>
              <w:top w:val="nil"/>
              <w:left w:val="nil"/>
              <w:bottom w:val="nil"/>
              <w:right w:val="nil"/>
            </w:tcBorders>
            <w:shd w:val="clear" w:color="auto" w:fill="auto"/>
            <w:noWrap/>
          </w:tcPr>
          <w:p w:rsidR="00EC79A7" w:rsidRPr="00F448CF" w:rsidRDefault="00EC79A7">
            <w:pPr>
              <w:pStyle w:val="TableTextRightBold"/>
              <w:spacing w:before="10" w:after="10"/>
              <w:rPr>
                <w:rFonts w:asciiTheme="minorHAnsi" w:hAnsiTheme="minorHAnsi"/>
                <w:sz w:val="18"/>
                <w:szCs w:val="18"/>
              </w:rPr>
            </w:pPr>
            <w:r w:rsidRPr="00F448CF">
              <w:rPr>
                <w:rFonts w:asciiTheme="minorHAnsi" w:hAnsiTheme="minorHAnsi"/>
                <w:sz w:val="18"/>
                <w:szCs w:val="18"/>
              </w:rPr>
              <w:t>Var</w:t>
            </w:r>
          </w:p>
        </w:tc>
        <w:tc>
          <w:tcPr>
            <w:tcW w:w="1021" w:type="dxa"/>
            <w:tcBorders>
              <w:top w:val="nil"/>
              <w:left w:val="nil"/>
              <w:bottom w:val="nil"/>
              <w:right w:val="nil"/>
            </w:tcBorders>
            <w:shd w:val="clear" w:color="auto" w:fill="auto"/>
            <w:noWrap/>
          </w:tcPr>
          <w:p w:rsidR="00EC79A7" w:rsidRPr="00F448CF" w:rsidRDefault="00EC79A7">
            <w:pPr>
              <w:pStyle w:val="TableTextRightBold"/>
              <w:spacing w:before="10" w:after="10"/>
              <w:rPr>
                <w:rFonts w:asciiTheme="minorHAnsi" w:hAnsiTheme="minorHAnsi"/>
                <w:sz w:val="18"/>
                <w:szCs w:val="18"/>
              </w:rPr>
            </w:pPr>
            <w:r w:rsidRPr="00F448CF">
              <w:rPr>
                <w:rFonts w:asciiTheme="minorHAnsi" w:hAnsiTheme="minorHAnsi"/>
                <w:sz w:val="18"/>
                <w:szCs w:val="18"/>
              </w:rPr>
              <w:t>Estimate</w:t>
            </w:r>
          </w:p>
        </w:tc>
        <w:tc>
          <w:tcPr>
            <w:tcW w:w="1021" w:type="dxa"/>
            <w:tcBorders>
              <w:top w:val="nil"/>
              <w:left w:val="nil"/>
              <w:bottom w:val="nil"/>
              <w:right w:val="nil"/>
            </w:tcBorders>
            <w:shd w:val="clear" w:color="auto" w:fill="auto"/>
            <w:noWrap/>
          </w:tcPr>
          <w:p w:rsidR="00EC79A7" w:rsidRPr="00F448CF" w:rsidRDefault="00EC79A7">
            <w:pPr>
              <w:pStyle w:val="TableTextRightBold"/>
              <w:spacing w:before="10" w:after="10"/>
              <w:rPr>
                <w:rFonts w:asciiTheme="minorHAnsi" w:hAnsiTheme="minorHAnsi"/>
                <w:sz w:val="18"/>
                <w:szCs w:val="18"/>
              </w:rPr>
            </w:pPr>
            <w:r w:rsidRPr="00F448CF">
              <w:rPr>
                <w:rFonts w:asciiTheme="minorHAnsi" w:hAnsiTheme="minorHAnsi"/>
                <w:sz w:val="18"/>
                <w:szCs w:val="18"/>
              </w:rPr>
              <w:t>Estimate</w:t>
            </w:r>
          </w:p>
        </w:tc>
        <w:tc>
          <w:tcPr>
            <w:tcW w:w="1021" w:type="dxa"/>
            <w:tcBorders>
              <w:top w:val="nil"/>
              <w:left w:val="nil"/>
              <w:bottom w:val="nil"/>
              <w:right w:val="nil"/>
            </w:tcBorders>
            <w:shd w:val="clear" w:color="auto" w:fill="auto"/>
            <w:noWrap/>
          </w:tcPr>
          <w:p w:rsidR="00EC79A7" w:rsidRPr="00F448CF" w:rsidRDefault="00EC79A7">
            <w:pPr>
              <w:pStyle w:val="TableTextRightBold"/>
              <w:spacing w:before="10" w:after="10"/>
              <w:rPr>
                <w:rFonts w:asciiTheme="minorHAnsi" w:hAnsiTheme="minorHAnsi"/>
                <w:sz w:val="18"/>
                <w:szCs w:val="18"/>
              </w:rPr>
            </w:pPr>
            <w:r w:rsidRPr="00F448CF">
              <w:rPr>
                <w:rFonts w:asciiTheme="minorHAnsi" w:hAnsiTheme="minorHAnsi"/>
                <w:sz w:val="18"/>
                <w:szCs w:val="18"/>
              </w:rPr>
              <w:t>Estimate</w:t>
            </w:r>
          </w:p>
        </w:tc>
      </w:tr>
      <w:tr w:rsidR="00EC79A7" w:rsidRPr="006E3742" w:rsidTr="003F0C5C">
        <w:trPr>
          <w:trHeight w:val="170"/>
        </w:trPr>
        <w:tc>
          <w:tcPr>
            <w:tcW w:w="1021" w:type="dxa"/>
            <w:tcBorders>
              <w:top w:val="nil"/>
              <w:left w:val="nil"/>
              <w:bottom w:val="single" w:sz="4" w:space="0" w:color="auto"/>
              <w:right w:val="nil"/>
            </w:tcBorders>
            <w:shd w:val="clear" w:color="auto" w:fill="auto"/>
            <w:noWrap/>
          </w:tcPr>
          <w:p w:rsidR="00EC79A7" w:rsidRPr="00F448CF" w:rsidRDefault="0036558B">
            <w:pPr>
              <w:pStyle w:val="TableTextRightBold"/>
              <w:spacing w:before="10" w:after="10"/>
              <w:rPr>
                <w:rFonts w:asciiTheme="minorHAnsi" w:hAnsiTheme="minorHAnsi"/>
                <w:sz w:val="18"/>
                <w:szCs w:val="18"/>
              </w:rPr>
            </w:pPr>
            <w:r w:rsidRPr="00F448CF">
              <w:rPr>
                <w:rFonts w:asciiTheme="minorHAnsi" w:hAnsiTheme="minorHAnsi"/>
                <w:sz w:val="18"/>
                <w:szCs w:val="18"/>
              </w:rPr>
              <w:t>$’</w:t>
            </w:r>
            <w:r w:rsidR="00EC79A7" w:rsidRPr="00F448CF">
              <w:rPr>
                <w:rFonts w:asciiTheme="minorHAnsi" w:hAnsiTheme="minorHAnsi"/>
                <w:sz w:val="18"/>
                <w:szCs w:val="18"/>
              </w:rPr>
              <w:t>000</w:t>
            </w:r>
          </w:p>
        </w:tc>
        <w:tc>
          <w:tcPr>
            <w:tcW w:w="2217" w:type="dxa"/>
            <w:tcBorders>
              <w:top w:val="nil"/>
              <w:left w:val="nil"/>
              <w:bottom w:val="single" w:sz="4" w:space="0" w:color="auto"/>
              <w:right w:val="nil"/>
            </w:tcBorders>
            <w:shd w:val="clear" w:color="auto" w:fill="auto"/>
            <w:noWrap/>
          </w:tcPr>
          <w:p w:rsidR="00EC79A7" w:rsidRPr="006E3742" w:rsidRDefault="00EC79A7">
            <w:pPr>
              <w:pStyle w:val="TableTextRightBold"/>
              <w:spacing w:before="10" w:after="10"/>
              <w:rPr>
                <w:rFonts w:asciiTheme="minorHAnsi" w:hAnsiTheme="minorHAnsi"/>
              </w:rPr>
            </w:pPr>
            <w:r w:rsidRPr="006E3742">
              <w:rPr>
                <w:rFonts w:asciiTheme="minorHAnsi" w:hAnsiTheme="minorHAnsi"/>
              </w:rPr>
              <w:t> </w:t>
            </w:r>
          </w:p>
        </w:tc>
        <w:tc>
          <w:tcPr>
            <w:tcW w:w="1310" w:type="dxa"/>
            <w:tcBorders>
              <w:top w:val="nil"/>
              <w:left w:val="nil"/>
              <w:bottom w:val="single" w:sz="4" w:space="0" w:color="auto"/>
              <w:right w:val="nil"/>
            </w:tcBorders>
            <w:shd w:val="clear" w:color="auto" w:fill="auto"/>
            <w:noWrap/>
          </w:tcPr>
          <w:p w:rsidR="00EC79A7" w:rsidRPr="00F448CF" w:rsidRDefault="00EC79A7" w:rsidP="0036558B">
            <w:pPr>
              <w:pStyle w:val="TableTextRightBold"/>
              <w:spacing w:before="10" w:after="10"/>
              <w:rPr>
                <w:rFonts w:asciiTheme="minorHAnsi" w:hAnsiTheme="minorHAnsi"/>
                <w:sz w:val="18"/>
                <w:szCs w:val="18"/>
              </w:rPr>
            </w:pPr>
            <w:r w:rsidRPr="00F448CF">
              <w:rPr>
                <w:rFonts w:asciiTheme="minorHAnsi" w:hAnsiTheme="minorHAnsi"/>
                <w:sz w:val="18"/>
                <w:szCs w:val="18"/>
              </w:rPr>
              <w:t>$</w:t>
            </w:r>
            <w:r w:rsidR="0036558B" w:rsidRPr="00F448CF">
              <w:rPr>
                <w:rFonts w:asciiTheme="minorHAnsi" w:hAnsiTheme="minorHAnsi"/>
                <w:sz w:val="18"/>
                <w:szCs w:val="18"/>
              </w:rPr>
              <w:t>’</w:t>
            </w:r>
            <w:r w:rsidRPr="00F448CF">
              <w:rPr>
                <w:rFonts w:asciiTheme="minorHAnsi" w:hAnsiTheme="minorHAnsi"/>
                <w:sz w:val="18"/>
                <w:szCs w:val="18"/>
              </w:rPr>
              <w:t>000</w:t>
            </w:r>
          </w:p>
        </w:tc>
        <w:tc>
          <w:tcPr>
            <w:tcW w:w="1021" w:type="dxa"/>
            <w:tcBorders>
              <w:top w:val="nil"/>
              <w:left w:val="nil"/>
              <w:bottom w:val="single" w:sz="4" w:space="0" w:color="auto"/>
              <w:right w:val="nil"/>
            </w:tcBorders>
            <w:shd w:val="clear" w:color="auto" w:fill="auto"/>
            <w:noWrap/>
          </w:tcPr>
          <w:p w:rsidR="00EC79A7" w:rsidRPr="00F448CF" w:rsidRDefault="0036558B">
            <w:pPr>
              <w:pStyle w:val="TableTextRightBold"/>
              <w:spacing w:before="10" w:after="10"/>
              <w:rPr>
                <w:rFonts w:asciiTheme="minorHAnsi" w:hAnsiTheme="minorHAnsi"/>
                <w:sz w:val="18"/>
                <w:szCs w:val="18"/>
              </w:rPr>
            </w:pPr>
            <w:r w:rsidRPr="00F448CF">
              <w:rPr>
                <w:rFonts w:asciiTheme="minorHAnsi" w:hAnsiTheme="minorHAnsi"/>
                <w:sz w:val="18"/>
                <w:szCs w:val="18"/>
              </w:rPr>
              <w:t>$’</w:t>
            </w:r>
            <w:r w:rsidR="00EC79A7" w:rsidRPr="00F448CF">
              <w:rPr>
                <w:rFonts w:asciiTheme="minorHAnsi" w:hAnsiTheme="minorHAnsi"/>
                <w:sz w:val="18"/>
                <w:szCs w:val="18"/>
              </w:rPr>
              <w:t>000</w:t>
            </w:r>
          </w:p>
        </w:tc>
        <w:tc>
          <w:tcPr>
            <w:tcW w:w="573" w:type="dxa"/>
            <w:tcBorders>
              <w:top w:val="nil"/>
              <w:left w:val="nil"/>
              <w:bottom w:val="single" w:sz="4" w:space="0" w:color="auto"/>
              <w:right w:val="nil"/>
            </w:tcBorders>
            <w:shd w:val="clear" w:color="auto" w:fill="auto"/>
            <w:noWrap/>
          </w:tcPr>
          <w:p w:rsidR="00EC79A7" w:rsidRPr="00F448CF" w:rsidRDefault="00EC79A7">
            <w:pPr>
              <w:pStyle w:val="TableTextRightBold"/>
              <w:spacing w:before="10" w:after="10"/>
              <w:rPr>
                <w:rFonts w:asciiTheme="minorHAnsi" w:hAnsiTheme="minorHAnsi"/>
                <w:sz w:val="18"/>
                <w:szCs w:val="18"/>
              </w:rPr>
            </w:pPr>
            <w:r w:rsidRPr="00F448CF">
              <w:rPr>
                <w:rFonts w:asciiTheme="minorHAnsi" w:hAnsiTheme="minorHAnsi"/>
                <w:sz w:val="18"/>
                <w:szCs w:val="18"/>
              </w:rPr>
              <w:t>%</w:t>
            </w:r>
          </w:p>
        </w:tc>
        <w:tc>
          <w:tcPr>
            <w:tcW w:w="1021" w:type="dxa"/>
            <w:tcBorders>
              <w:top w:val="nil"/>
              <w:left w:val="nil"/>
              <w:bottom w:val="single" w:sz="4" w:space="0" w:color="auto"/>
              <w:right w:val="nil"/>
            </w:tcBorders>
            <w:shd w:val="clear" w:color="auto" w:fill="auto"/>
            <w:noWrap/>
          </w:tcPr>
          <w:p w:rsidR="00EC79A7" w:rsidRPr="00F448CF" w:rsidRDefault="0036558B">
            <w:pPr>
              <w:pStyle w:val="TableTextRightBold"/>
              <w:spacing w:before="10" w:after="10"/>
              <w:rPr>
                <w:rFonts w:asciiTheme="minorHAnsi" w:hAnsiTheme="minorHAnsi"/>
                <w:sz w:val="18"/>
                <w:szCs w:val="18"/>
              </w:rPr>
            </w:pPr>
            <w:r w:rsidRPr="00F448CF">
              <w:rPr>
                <w:rFonts w:asciiTheme="minorHAnsi" w:hAnsiTheme="minorHAnsi"/>
                <w:sz w:val="18"/>
                <w:szCs w:val="18"/>
              </w:rPr>
              <w:t>$’</w:t>
            </w:r>
            <w:r w:rsidR="00EC79A7" w:rsidRPr="00F448CF">
              <w:rPr>
                <w:rFonts w:asciiTheme="minorHAnsi" w:hAnsiTheme="minorHAnsi"/>
                <w:sz w:val="18"/>
                <w:szCs w:val="18"/>
              </w:rPr>
              <w:t>000</w:t>
            </w:r>
          </w:p>
        </w:tc>
        <w:tc>
          <w:tcPr>
            <w:tcW w:w="1021" w:type="dxa"/>
            <w:tcBorders>
              <w:top w:val="nil"/>
              <w:left w:val="nil"/>
              <w:bottom w:val="single" w:sz="4" w:space="0" w:color="auto"/>
              <w:right w:val="nil"/>
            </w:tcBorders>
            <w:shd w:val="clear" w:color="auto" w:fill="auto"/>
            <w:noWrap/>
          </w:tcPr>
          <w:p w:rsidR="00EC79A7" w:rsidRPr="00F448CF" w:rsidRDefault="0036558B">
            <w:pPr>
              <w:pStyle w:val="TableTextRightBold"/>
              <w:spacing w:before="10" w:after="10"/>
              <w:rPr>
                <w:rFonts w:asciiTheme="minorHAnsi" w:hAnsiTheme="minorHAnsi"/>
                <w:sz w:val="18"/>
                <w:szCs w:val="18"/>
              </w:rPr>
            </w:pPr>
            <w:r w:rsidRPr="00F448CF">
              <w:rPr>
                <w:rFonts w:asciiTheme="minorHAnsi" w:hAnsiTheme="minorHAnsi"/>
                <w:sz w:val="18"/>
                <w:szCs w:val="18"/>
              </w:rPr>
              <w:t>$’</w:t>
            </w:r>
            <w:r w:rsidR="00EC79A7" w:rsidRPr="00F448CF">
              <w:rPr>
                <w:rFonts w:asciiTheme="minorHAnsi" w:hAnsiTheme="minorHAnsi"/>
                <w:sz w:val="18"/>
                <w:szCs w:val="18"/>
              </w:rPr>
              <w:t>000</w:t>
            </w:r>
          </w:p>
        </w:tc>
        <w:tc>
          <w:tcPr>
            <w:tcW w:w="1021" w:type="dxa"/>
            <w:tcBorders>
              <w:top w:val="nil"/>
              <w:left w:val="nil"/>
              <w:bottom w:val="single" w:sz="4" w:space="0" w:color="auto"/>
              <w:right w:val="nil"/>
            </w:tcBorders>
            <w:shd w:val="clear" w:color="auto" w:fill="auto"/>
            <w:noWrap/>
          </w:tcPr>
          <w:p w:rsidR="00EC79A7" w:rsidRPr="00F448CF" w:rsidRDefault="0036558B">
            <w:pPr>
              <w:pStyle w:val="TableTextRightBold"/>
              <w:spacing w:before="10" w:after="10"/>
              <w:rPr>
                <w:rFonts w:asciiTheme="minorHAnsi" w:hAnsiTheme="minorHAnsi"/>
                <w:sz w:val="18"/>
                <w:szCs w:val="18"/>
              </w:rPr>
            </w:pPr>
            <w:r w:rsidRPr="00F448CF">
              <w:rPr>
                <w:rFonts w:asciiTheme="minorHAnsi" w:hAnsiTheme="minorHAnsi"/>
                <w:sz w:val="18"/>
                <w:szCs w:val="18"/>
              </w:rPr>
              <w:t>$’</w:t>
            </w:r>
            <w:r w:rsidR="00EC79A7" w:rsidRPr="00F448CF">
              <w:rPr>
                <w:rFonts w:asciiTheme="minorHAnsi" w:hAnsiTheme="minorHAnsi"/>
                <w:sz w:val="18"/>
                <w:szCs w:val="18"/>
              </w:rPr>
              <w:t>000</w:t>
            </w:r>
          </w:p>
        </w:tc>
      </w:tr>
      <w:tr w:rsidR="00EC79A7" w:rsidRPr="006E3742" w:rsidTr="003F0C5C">
        <w:trPr>
          <w:trHeight w:val="170"/>
        </w:trPr>
        <w:tc>
          <w:tcPr>
            <w:tcW w:w="1021" w:type="dxa"/>
            <w:tcBorders>
              <w:top w:val="nil"/>
              <w:left w:val="nil"/>
              <w:bottom w:val="nil"/>
              <w:right w:val="nil"/>
            </w:tcBorders>
            <w:shd w:val="clear" w:color="auto" w:fill="auto"/>
            <w:noWrap/>
          </w:tcPr>
          <w:p w:rsidR="00EC79A7" w:rsidRPr="00F448CF" w:rsidRDefault="00EC79A7" w:rsidP="003F0C5C">
            <w:pPr>
              <w:pStyle w:val="TableTextRight-BP3"/>
              <w:rPr>
                <w:sz w:val="18"/>
                <w:szCs w:val="18"/>
                <w:highlight w:val="yellow"/>
              </w:rPr>
            </w:pPr>
          </w:p>
        </w:tc>
        <w:tc>
          <w:tcPr>
            <w:tcW w:w="2217" w:type="dxa"/>
            <w:tcBorders>
              <w:top w:val="nil"/>
              <w:left w:val="nil"/>
              <w:bottom w:val="nil"/>
              <w:right w:val="nil"/>
            </w:tcBorders>
            <w:shd w:val="clear" w:color="auto" w:fill="auto"/>
            <w:noWrap/>
          </w:tcPr>
          <w:p w:rsidR="00EC79A7" w:rsidRPr="00F448CF" w:rsidRDefault="00EC79A7" w:rsidP="003F0C5C">
            <w:pPr>
              <w:pStyle w:val="TableTextLeftBold"/>
              <w:rPr>
                <w:sz w:val="18"/>
                <w:szCs w:val="18"/>
              </w:rPr>
            </w:pPr>
            <w:r w:rsidRPr="00F448CF">
              <w:rPr>
                <w:sz w:val="18"/>
                <w:szCs w:val="18"/>
              </w:rPr>
              <w:t>Expenses</w:t>
            </w:r>
          </w:p>
        </w:tc>
        <w:tc>
          <w:tcPr>
            <w:tcW w:w="1310" w:type="dxa"/>
            <w:tcBorders>
              <w:top w:val="nil"/>
              <w:left w:val="nil"/>
              <w:bottom w:val="nil"/>
              <w:right w:val="nil"/>
            </w:tcBorders>
            <w:shd w:val="clear" w:color="auto" w:fill="auto"/>
            <w:noWrap/>
          </w:tcPr>
          <w:p w:rsidR="00EC79A7" w:rsidRPr="00F448CF" w:rsidRDefault="00EC79A7">
            <w:pPr>
              <w:keepNext/>
              <w:spacing w:before="16" w:after="16"/>
              <w:jc w:val="right"/>
              <w:rPr>
                <w:rFonts w:asciiTheme="minorHAnsi" w:hAnsiTheme="minorHAnsi"/>
                <w:sz w:val="18"/>
                <w:szCs w:val="18"/>
                <w:highlight w:val="yellow"/>
              </w:rPr>
            </w:pPr>
          </w:p>
        </w:tc>
        <w:tc>
          <w:tcPr>
            <w:tcW w:w="1021" w:type="dxa"/>
            <w:tcBorders>
              <w:top w:val="nil"/>
              <w:left w:val="nil"/>
              <w:bottom w:val="nil"/>
              <w:right w:val="nil"/>
            </w:tcBorders>
            <w:shd w:val="clear" w:color="auto" w:fill="auto"/>
            <w:noWrap/>
          </w:tcPr>
          <w:p w:rsidR="00EC79A7" w:rsidRPr="00F448CF" w:rsidRDefault="00EC79A7" w:rsidP="00192F6B">
            <w:pPr>
              <w:spacing w:before="16" w:after="16"/>
              <w:jc w:val="right"/>
              <w:rPr>
                <w:rFonts w:asciiTheme="minorHAnsi" w:hAnsiTheme="minorHAnsi"/>
                <w:sz w:val="18"/>
                <w:szCs w:val="18"/>
              </w:rPr>
            </w:pPr>
          </w:p>
        </w:tc>
        <w:tc>
          <w:tcPr>
            <w:tcW w:w="573" w:type="dxa"/>
            <w:tcBorders>
              <w:top w:val="nil"/>
              <w:left w:val="nil"/>
              <w:bottom w:val="nil"/>
              <w:right w:val="nil"/>
            </w:tcBorders>
            <w:shd w:val="clear" w:color="auto" w:fill="auto"/>
            <w:noWrap/>
          </w:tcPr>
          <w:p w:rsidR="00EC79A7" w:rsidRPr="00F448CF" w:rsidRDefault="00EC79A7" w:rsidP="00192F6B">
            <w:pPr>
              <w:spacing w:before="16" w:after="16"/>
              <w:rPr>
                <w:rFonts w:asciiTheme="minorHAnsi" w:hAnsiTheme="minorHAnsi"/>
                <w:sz w:val="18"/>
                <w:szCs w:val="18"/>
              </w:rPr>
            </w:pPr>
          </w:p>
        </w:tc>
        <w:tc>
          <w:tcPr>
            <w:tcW w:w="1021" w:type="dxa"/>
            <w:tcBorders>
              <w:top w:val="nil"/>
              <w:left w:val="nil"/>
              <w:bottom w:val="nil"/>
              <w:right w:val="nil"/>
            </w:tcBorders>
            <w:shd w:val="clear" w:color="auto" w:fill="auto"/>
            <w:noWrap/>
          </w:tcPr>
          <w:p w:rsidR="00EC79A7" w:rsidRPr="00F448CF" w:rsidRDefault="00EC79A7" w:rsidP="00192F6B">
            <w:pPr>
              <w:spacing w:before="16" w:after="16"/>
              <w:jc w:val="right"/>
              <w:rPr>
                <w:rFonts w:asciiTheme="minorHAnsi" w:hAnsiTheme="minorHAnsi"/>
                <w:sz w:val="18"/>
                <w:szCs w:val="18"/>
              </w:rPr>
            </w:pPr>
          </w:p>
        </w:tc>
        <w:tc>
          <w:tcPr>
            <w:tcW w:w="1021" w:type="dxa"/>
            <w:tcBorders>
              <w:top w:val="nil"/>
              <w:left w:val="nil"/>
              <w:bottom w:val="nil"/>
              <w:right w:val="nil"/>
            </w:tcBorders>
            <w:shd w:val="clear" w:color="auto" w:fill="auto"/>
            <w:noWrap/>
          </w:tcPr>
          <w:p w:rsidR="00EC79A7" w:rsidRPr="00F448CF" w:rsidRDefault="00EC79A7" w:rsidP="00192F6B">
            <w:pPr>
              <w:spacing w:before="16" w:after="16"/>
              <w:jc w:val="right"/>
              <w:rPr>
                <w:rFonts w:asciiTheme="minorHAnsi" w:hAnsiTheme="minorHAnsi"/>
                <w:sz w:val="18"/>
                <w:szCs w:val="18"/>
              </w:rPr>
            </w:pPr>
          </w:p>
        </w:tc>
        <w:tc>
          <w:tcPr>
            <w:tcW w:w="1021" w:type="dxa"/>
            <w:tcBorders>
              <w:top w:val="nil"/>
              <w:left w:val="nil"/>
              <w:bottom w:val="nil"/>
              <w:right w:val="nil"/>
            </w:tcBorders>
            <w:shd w:val="clear" w:color="auto" w:fill="auto"/>
            <w:noWrap/>
          </w:tcPr>
          <w:p w:rsidR="00EC79A7" w:rsidRPr="00F448CF" w:rsidRDefault="00EC79A7" w:rsidP="00192F6B">
            <w:pPr>
              <w:spacing w:before="16" w:after="16"/>
              <w:jc w:val="right"/>
              <w:rPr>
                <w:rFonts w:asciiTheme="minorHAnsi" w:hAnsiTheme="minorHAnsi"/>
                <w:sz w:val="18"/>
                <w:szCs w:val="18"/>
              </w:rPr>
            </w:pPr>
          </w:p>
        </w:tc>
      </w:tr>
      <w:tr w:rsidR="008A7322" w:rsidRPr="006E3742" w:rsidTr="003F0C5C">
        <w:trPr>
          <w:trHeight w:val="170"/>
        </w:trPr>
        <w:tc>
          <w:tcPr>
            <w:tcW w:w="1021"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r w:rsidRPr="00F448CF">
              <w:rPr>
                <w:sz w:val="18"/>
                <w:szCs w:val="18"/>
              </w:rPr>
              <w:t>1,527,566</w:t>
            </w:r>
          </w:p>
        </w:tc>
        <w:tc>
          <w:tcPr>
            <w:tcW w:w="2217" w:type="dxa"/>
            <w:tcBorders>
              <w:top w:val="nil"/>
              <w:left w:val="nil"/>
              <w:bottom w:val="nil"/>
              <w:right w:val="nil"/>
            </w:tcBorders>
            <w:shd w:val="clear" w:color="auto" w:fill="auto"/>
          </w:tcPr>
          <w:p w:rsidR="008A7322" w:rsidRPr="00F448CF" w:rsidRDefault="008A7322" w:rsidP="003F0C5C">
            <w:pPr>
              <w:pStyle w:val="TableTextLeft-BP3"/>
              <w:rPr>
                <w:sz w:val="18"/>
              </w:rPr>
            </w:pPr>
            <w:r w:rsidRPr="00F448CF">
              <w:rPr>
                <w:sz w:val="18"/>
              </w:rPr>
              <w:t>Employee Expenses</w:t>
            </w:r>
          </w:p>
        </w:tc>
        <w:tc>
          <w:tcPr>
            <w:tcW w:w="1310"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r w:rsidRPr="00F448CF">
              <w:rPr>
                <w:sz w:val="18"/>
                <w:szCs w:val="18"/>
              </w:rPr>
              <w:t xml:space="preserve">1,544,167 </w:t>
            </w:r>
          </w:p>
        </w:tc>
        <w:tc>
          <w:tcPr>
            <w:tcW w:w="1021"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r w:rsidRPr="00F448CF">
              <w:rPr>
                <w:sz w:val="18"/>
                <w:szCs w:val="18"/>
              </w:rPr>
              <w:t xml:space="preserve">1,583,362 </w:t>
            </w:r>
          </w:p>
        </w:tc>
        <w:tc>
          <w:tcPr>
            <w:tcW w:w="573"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r w:rsidRPr="00F448CF">
              <w:rPr>
                <w:sz w:val="18"/>
                <w:szCs w:val="18"/>
              </w:rPr>
              <w:t xml:space="preserve">3 </w:t>
            </w:r>
          </w:p>
        </w:tc>
        <w:tc>
          <w:tcPr>
            <w:tcW w:w="1021"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r w:rsidRPr="00F448CF">
              <w:rPr>
                <w:sz w:val="18"/>
                <w:szCs w:val="18"/>
              </w:rPr>
              <w:t xml:space="preserve">1,621,453 </w:t>
            </w:r>
          </w:p>
        </w:tc>
        <w:tc>
          <w:tcPr>
            <w:tcW w:w="1021"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r w:rsidRPr="00F448CF">
              <w:rPr>
                <w:sz w:val="18"/>
                <w:szCs w:val="18"/>
              </w:rPr>
              <w:t xml:space="preserve">1,670,382 </w:t>
            </w:r>
          </w:p>
        </w:tc>
        <w:tc>
          <w:tcPr>
            <w:tcW w:w="1021"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r w:rsidRPr="00F448CF">
              <w:rPr>
                <w:sz w:val="18"/>
                <w:szCs w:val="18"/>
              </w:rPr>
              <w:t xml:space="preserve">1,749,612 </w:t>
            </w:r>
          </w:p>
        </w:tc>
      </w:tr>
      <w:tr w:rsidR="008A7322" w:rsidRPr="006E3742" w:rsidTr="003F0C5C">
        <w:trPr>
          <w:trHeight w:val="170"/>
        </w:trPr>
        <w:tc>
          <w:tcPr>
            <w:tcW w:w="1021"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p>
        </w:tc>
        <w:tc>
          <w:tcPr>
            <w:tcW w:w="2217" w:type="dxa"/>
            <w:tcBorders>
              <w:top w:val="nil"/>
              <w:left w:val="nil"/>
              <w:bottom w:val="nil"/>
              <w:right w:val="nil"/>
            </w:tcBorders>
            <w:shd w:val="clear" w:color="auto" w:fill="auto"/>
          </w:tcPr>
          <w:p w:rsidR="008A7322" w:rsidRPr="00F448CF" w:rsidRDefault="008A7322" w:rsidP="003F0C5C">
            <w:pPr>
              <w:pStyle w:val="TableTextLeft-BP3"/>
              <w:rPr>
                <w:sz w:val="18"/>
              </w:rPr>
            </w:pPr>
            <w:r w:rsidRPr="00F448CF">
              <w:rPr>
                <w:sz w:val="18"/>
              </w:rPr>
              <w:t>Superannuation Expenses</w:t>
            </w:r>
          </w:p>
        </w:tc>
        <w:tc>
          <w:tcPr>
            <w:tcW w:w="1310"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p>
        </w:tc>
        <w:tc>
          <w:tcPr>
            <w:tcW w:w="1021"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p>
        </w:tc>
        <w:tc>
          <w:tcPr>
            <w:tcW w:w="573"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p>
        </w:tc>
        <w:tc>
          <w:tcPr>
            <w:tcW w:w="1021"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p>
        </w:tc>
        <w:tc>
          <w:tcPr>
            <w:tcW w:w="1021"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p>
        </w:tc>
        <w:tc>
          <w:tcPr>
            <w:tcW w:w="1021" w:type="dxa"/>
            <w:tcBorders>
              <w:top w:val="nil"/>
              <w:left w:val="nil"/>
              <w:bottom w:val="nil"/>
              <w:right w:val="nil"/>
            </w:tcBorders>
            <w:shd w:val="clear" w:color="auto" w:fill="auto"/>
            <w:noWrap/>
          </w:tcPr>
          <w:p w:rsidR="008A7322" w:rsidRPr="00F448CF" w:rsidRDefault="008A7322" w:rsidP="003F0C5C">
            <w:pPr>
              <w:pStyle w:val="TableTextRight-BP3"/>
              <w:rPr>
                <w:sz w:val="18"/>
                <w:szCs w:val="18"/>
              </w:rPr>
            </w:pPr>
          </w:p>
        </w:tc>
      </w:tr>
      <w:tr w:rsidR="002D6060" w:rsidRPr="006E3742" w:rsidTr="003F0C5C">
        <w:trPr>
          <w:trHeight w:val="170"/>
        </w:trPr>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297,660</w:t>
            </w:r>
          </w:p>
        </w:tc>
        <w:tc>
          <w:tcPr>
            <w:tcW w:w="2217" w:type="dxa"/>
            <w:tcBorders>
              <w:top w:val="nil"/>
              <w:left w:val="nil"/>
              <w:bottom w:val="nil"/>
              <w:right w:val="nil"/>
            </w:tcBorders>
            <w:shd w:val="clear" w:color="auto" w:fill="auto"/>
          </w:tcPr>
          <w:p w:rsidR="002D6060" w:rsidRPr="00F448CF" w:rsidRDefault="002D6060" w:rsidP="003F0C5C">
            <w:pPr>
              <w:pStyle w:val="TableTextLeft-BP3"/>
              <w:rPr>
                <w:sz w:val="18"/>
              </w:rPr>
            </w:pPr>
            <w:r w:rsidRPr="00F448CF">
              <w:rPr>
                <w:sz w:val="18"/>
              </w:rPr>
              <w:t>Superannuation Interest Cost</w:t>
            </w:r>
          </w:p>
        </w:tc>
        <w:tc>
          <w:tcPr>
            <w:tcW w:w="1310"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264,214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313,777 </w:t>
            </w:r>
          </w:p>
        </w:tc>
        <w:tc>
          <w:tcPr>
            <w:tcW w:w="573"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19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330,007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345,899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361,386 </w:t>
            </w:r>
          </w:p>
        </w:tc>
      </w:tr>
      <w:tr w:rsidR="002D6060" w:rsidRPr="006E3742" w:rsidTr="003F0C5C">
        <w:trPr>
          <w:trHeight w:val="170"/>
        </w:trPr>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236,567</w:t>
            </w:r>
          </w:p>
        </w:tc>
        <w:tc>
          <w:tcPr>
            <w:tcW w:w="2217" w:type="dxa"/>
            <w:tcBorders>
              <w:top w:val="nil"/>
              <w:left w:val="nil"/>
              <w:bottom w:val="nil"/>
              <w:right w:val="nil"/>
            </w:tcBorders>
            <w:shd w:val="clear" w:color="auto" w:fill="auto"/>
          </w:tcPr>
          <w:p w:rsidR="002D6060" w:rsidRPr="00F448CF" w:rsidRDefault="002D6060" w:rsidP="003F0C5C">
            <w:pPr>
              <w:pStyle w:val="TableTextLeft-BP3"/>
              <w:rPr>
                <w:sz w:val="18"/>
              </w:rPr>
            </w:pPr>
            <w:r w:rsidRPr="00F448CF">
              <w:rPr>
                <w:sz w:val="18"/>
              </w:rPr>
              <w:t>Other Superannuation Expense</w:t>
            </w:r>
          </w:p>
        </w:tc>
        <w:tc>
          <w:tcPr>
            <w:tcW w:w="1310"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346,794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242,113 </w:t>
            </w:r>
          </w:p>
        </w:tc>
        <w:tc>
          <w:tcPr>
            <w:tcW w:w="573"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-30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244,906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248,675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257,892 </w:t>
            </w:r>
          </w:p>
        </w:tc>
      </w:tr>
      <w:tr w:rsidR="002D6060" w:rsidRPr="006E3742" w:rsidTr="003F0C5C">
        <w:trPr>
          <w:trHeight w:val="170"/>
        </w:trPr>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324,488</w:t>
            </w:r>
          </w:p>
        </w:tc>
        <w:tc>
          <w:tcPr>
            <w:tcW w:w="2217" w:type="dxa"/>
            <w:tcBorders>
              <w:top w:val="nil"/>
              <w:left w:val="nil"/>
              <w:bottom w:val="nil"/>
              <w:right w:val="nil"/>
            </w:tcBorders>
            <w:shd w:val="clear" w:color="auto" w:fill="auto"/>
          </w:tcPr>
          <w:p w:rsidR="002D6060" w:rsidRPr="00F448CF" w:rsidRDefault="002D6060" w:rsidP="003F0C5C">
            <w:pPr>
              <w:pStyle w:val="TableTextLeft-BP3"/>
              <w:rPr>
                <w:sz w:val="18"/>
              </w:rPr>
            </w:pPr>
            <w:r w:rsidRPr="00F448CF">
              <w:rPr>
                <w:sz w:val="18"/>
              </w:rPr>
              <w:t>Depreciation and Amortisation</w:t>
            </w:r>
          </w:p>
        </w:tc>
        <w:tc>
          <w:tcPr>
            <w:tcW w:w="1310"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320,838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338,863 </w:t>
            </w:r>
          </w:p>
        </w:tc>
        <w:tc>
          <w:tcPr>
            <w:tcW w:w="573"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6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360,671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366,250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369,092 </w:t>
            </w:r>
          </w:p>
        </w:tc>
      </w:tr>
      <w:tr w:rsidR="002D6060" w:rsidRPr="006E3742" w:rsidTr="003F0C5C">
        <w:trPr>
          <w:trHeight w:val="170"/>
        </w:trPr>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1</w:t>
            </w:r>
            <w:r w:rsidR="001E3816" w:rsidRPr="00F448CF">
              <w:rPr>
                <w:sz w:val="18"/>
                <w:szCs w:val="18"/>
              </w:rPr>
              <w:t>1</w:t>
            </w:r>
            <w:r w:rsidRPr="00F448CF">
              <w:rPr>
                <w:sz w:val="18"/>
                <w:szCs w:val="18"/>
              </w:rPr>
              <w:t>2,728</w:t>
            </w:r>
          </w:p>
        </w:tc>
        <w:tc>
          <w:tcPr>
            <w:tcW w:w="2217" w:type="dxa"/>
            <w:tcBorders>
              <w:top w:val="nil"/>
              <w:left w:val="nil"/>
              <w:bottom w:val="nil"/>
              <w:right w:val="nil"/>
            </w:tcBorders>
            <w:shd w:val="clear" w:color="auto" w:fill="auto"/>
          </w:tcPr>
          <w:p w:rsidR="002D6060" w:rsidRPr="00F448CF" w:rsidRDefault="002D6060" w:rsidP="003F0C5C">
            <w:pPr>
              <w:pStyle w:val="TableTextLeft-BP3"/>
              <w:rPr>
                <w:sz w:val="18"/>
              </w:rPr>
            </w:pPr>
            <w:r w:rsidRPr="00F448CF">
              <w:rPr>
                <w:sz w:val="18"/>
              </w:rPr>
              <w:t>Interest Expense</w:t>
            </w:r>
          </w:p>
        </w:tc>
        <w:tc>
          <w:tcPr>
            <w:tcW w:w="1310"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123,618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149,775 </w:t>
            </w:r>
          </w:p>
        </w:tc>
        <w:tc>
          <w:tcPr>
            <w:tcW w:w="573"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21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166,662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172,665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168,894 </w:t>
            </w:r>
          </w:p>
        </w:tc>
      </w:tr>
      <w:tr w:rsidR="002D6060" w:rsidRPr="006E3742" w:rsidTr="003F0C5C">
        <w:trPr>
          <w:trHeight w:val="170"/>
        </w:trPr>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p>
        </w:tc>
        <w:tc>
          <w:tcPr>
            <w:tcW w:w="2217" w:type="dxa"/>
            <w:tcBorders>
              <w:top w:val="nil"/>
              <w:left w:val="nil"/>
              <w:bottom w:val="nil"/>
              <w:right w:val="nil"/>
            </w:tcBorders>
            <w:shd w:val="clear" w:color="auto" w:fill="auto"/>
          </w:tcPr>
          <w:p w:rsidR="002D6060" w:rsidRPr="00F448CF" w:rsidRDefault="002D6060" w:rsidP="003F0C5C">
            <w:pPr>
              <w:pStyle w:val="TableTextLeft-BP3"/>
              <w:rPr>
                <w:sz w:val="18"/>
              </w:rPr>
            </w:pPr>
            <w:r w:rsidRPr="00F448CF">
              <w:rPr>
                <w:sz w:val="18"/>
              </w:rPr>
              <w:t>Other Operating Expenses</w:t>
            </w:r>
          </w:p>
        </w:tc>
        <w:tc>
          <w:tcPr>
            <w:tcW w:w="1310"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w:t>
            </w:r>
          </w:p>
        </w:tc>
        <w:tc>
          <w:tcPr>
            <w:tcW w:w="573"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w:t>
            </w:r>
          </w:p>
        </w:tc>
      </w:tr>
      <w:tr w:rsidR="002D6060" w:rsidRPr="006E3742" w:rsidTr="003F0C5C">
        <w:trPr>
          <w:trHeight w:val="170"/>
        </w:trPr>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888,385</w:t>
            </w:r>
          </w:p>
        </w:tc>
        <w:tc>
          <w:tcPr>
            <w:tcW w:w="2217" w:type="dxa"/>
            <w:tcBorders>
              <w:top w:val="nil"/>
              <w:left w:val="nil"/>
              <w:bottom w:val="nil"/>
              <w:right w:val="nil"/>
            </w:tcBorders>
            <w:shd w:val="clear" w:color="auto" w:fill="auto"/>
          </w:tcPr>
          <w:p w:rsidR="002D6060" w:rsidRPr="00F448CF" w:rsidRDefault="002D6060" w:rsidP="003F0C5C">
            <w:pPr>
              <w:pStyle w:val="TableTextLeft-BP3"/>
              <w:rPr>
                <w:sz w:val="18"/>
              </w:rPr>
            </w:pPr>
            <w:r w:rsidRPr="00F448CF">
              <w:rPr>
                <w:sz w:val="18"/>
              </w:rPr>
              <w:t>Supplies and Services</w:t>
            </w:r>
          </w:p>
        </w:tc>
        <w:tc>
          <w:tcPr>
            <w:tcW w:w="1310"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869,974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919,472 </w:t>
            </w:r>
          </w:p>
        </w:tc>
        <w:tc>
          <w:tcPr>
            <w:tcW w:w="573"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6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965,030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1,013,421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1,078,533 </w:t>
            </w:r>
          </w:p>
        </w:tc>
      </w:tr>
      <w:tr w:rsidR="002D6060" w:rsidRPr="006E3742" w:rsidTr="003F0C5C">
        <w:trPr>
          <w:trHeight w:val="170"/>
        </w:trPr>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199,840</w:t>
            </w:r>
          </w:p>
        </w:tc>
        <w:tc>
          <w:tcPr>
            <w:tcW w:w="2217" w:type="dxa"/>
            <w:tcBorders>
              <w:top w:val="nil"/>
              <w:left w:val="nil"/>
              <w:bottom w:val="nil"/>
              <w:right w:val="nil"/>
            </w:tcBorders>
            <w:shd w:val="clear" w:color="auto" w:fill="auto"/>
          </w:tcPr>
          <w:p w:rsidR="002D6060" w:rsidRPr="00F448CF" w:rsidRDefault="002D6060" w:rsidP="003F0C5C">
            <w:pPr>
              <w:pStyle w:val="TableTextLeft-BP3"/>
              <w:rPr>
                <w:sz w:val="18"/>
              </w:rPr>
            </w:pPr>
            <w:r w:rsidRPr="00F448CF">
              <w:rPr>
                <w:sz w:val="18"/>
              </w:rPr>
              <w:t>Other Operating Expenses</w:t>
            </w:r>
          </w:p>
        </w:tc>
        <w:tc>
          <w:tcPr>
            <w:tcW w:w="1310"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180,317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199,788 </w:t>
            </w:r>
          </w:p>
        </w:tc>
        <w:tc>
          <w:tcPr>
            <w:tcW w:w="573"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11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203,513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210,117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208,131 </w:t>
            </w:r>
          </w:p>
        </w:tc>
      </w:tr>
      <w:tr w:rsidR="002D6060" w:rsidRPr="006E3742" w:rsidTr="003F0C5C">
        <w:trPr>
          <w:trHeight w:val="170"/>
        </w:trPr>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760,187</w:t>
            </w:r>
          </w:p>
        </w:tc>
        <w:tc>
          <w:tcPr>
            <w:tcW w:w="2217" w:type="dxa"/>
            <w:tcBorders>
              <w:top w:val="nil"/>
              <w:left w:val="nil"/>
              <w:bottom w:val="nil"/>
              <w:right w:val="nil"/>
            </w:tcBorders>
            <w:shd w:val="clear" w:color="auto" w:fill="auto"/>
          </w:tcPr>
          <w:p w:rsidR="002D6060" w:rsidRPr="00F448CF" w:rsidRDefault="002D6060" w:rsidP="003F0C5C">
            <w:pPr>
              <w:pStyle w:val="TableTextLeft-BP3"/>
              <w:rPr>
                <w:sz w:val="18"/>
              </w:rPr>
            </w:pPr>
            <w:r w:rsidRPr="00F448CF">
              <w:rPr>
                <w:sz w:val="18"/>
              </w:rPr>
              <w:t>Grants Expenses</w:t>
            </w:r>
          </w:p>
        </w:tc>
        <w:tc>
          <w:tcPr>
            <w:tcW w:w="1310"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774,419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830,726 </w:t>
            </w:r>
          </w:p>
        </w:tc>
        <w:tc>
          <w:tcPr>
            <w:tcW w:w="573"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7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821,225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832,825 </w:t>
            </w:r>
          </w:p>
        </w:tc>
        <w:tc>
          <w:tcPr>
            <w:tcW w:w="1021" w:type="dxa"/>
            <w:tcBorders>
              <w:top w:val="nil"/>
              <w:left w:val="nil"/>
              <w:bottom w:val="nil"/>
              <w:right w:val="nil"/>
            </w:tcBorders>
            <w:shd w:val="clear" w:color="auto" w:fill="auto"/>
            <w:noWrap/>
          </w:tcPr>
          <w:p w:rsidR="002D6060" w:rsidRPr="00F448CF" w:rsidRDefault="002D6060" w:rsidP="003F0C5C">
            <w:pPr>
              <w:pStyle w:val="TableTextRight-BP3"/>
              <w:rPr>
                <w:sz w:val="18"/>
                <w:szCs w:val="18"/>
              </w:rPr>
            </w:pPr>
            <w:r w:rsidRPr="00F448CF">
              <w:rPr>
                <w:sz w:val="18"/>
                <w:szCs w:val="18"/>
              </w:rPr>
              <w:t xml:space="preserve">875,035 </w:t>
            </w:r>
          </w:p>
        </w:tc>
      </w:tr>
      <w:tr w:rsidR="002D6060" w:rsidRPr="006E3742" w:rsidTr="003F0C5C">
        <w:trPr>
          <w:trHeight w:val="170"/>
        </w:trPr>
        <w:tc>
          <w:tcPr>
            <w:tcW w:w="1021" w:type="dxa"/>
            <w:tcBorders>
              <w:top w:val="single" w:sz="4" w:space="0" w:color="auto"/>
              <w:left w:val="nil"/>
              <w:bottom w:val="single" w:sz="4" w:space="0" w:color="auto"/>
              <w:right w:val="nil"/>
            </w:tcBorders>
            <w:shd w:val="clear" w:color="auto" w:fill="auto"/>
            <w:noWrap/>
          </w:tcPr>
          <w:p w:rsidR="002D6060" w:rsidRPr="00F448CF" w:rsidRDefault="002D6060" w:rsidP="003F0C5C">
            <w:pPr>
              <w:pStyle w:val="TableTextRight-BP3"/>
              <w:rPr>
                <w:sz w:val="18"/>
                <w:szCs w:val="18"/>
              </w:rPr>
            </w:pPr>
            <w:r w:rsidRPr="00F448CF">
              <w:rPr>
                <w:sz w:val="18"/>
                <w:szCs w:val="18"/>
              </w:rPr>
              <w:t>4,347,421</w:t>
            </w:r>
          </w:p>
        </w:tc>
        <w:tc>
          <w:tcPr>
            <w:tcW w:w="2217" w:type="dxa"/>
            <w:tcBorders>
              <w:top w:val="single" w:sz="4" w:space="0" w:color="auto"/>
              <w:left w:val="nil"/>
              <w:bottom w:val="single" w:sz="4" w:space="0" w:color="auto"/>
              <w:right w:val="nil"/>
            </w:tcBorders>
            <w:shd w:val="clear" w:color="auto" w:fill="auto"/>
          </w:tcPr>
          <w:p w:rsidR="002D6060" w:rsidRPr="00F448CF" w:rsidRDefault="002D6060" w:rsidP="003F0C5C">
            <w:pPr>
              <w:pStyle w:val="TableTextLeftBold"/>
              <w:rPr>
                <w:sz w:val="18"/>
                <w:szCs w:val="18"/>
              </w:rPr>
            </w:pPr>
            <w:r w:rsidRPr="00F448CF">
              <w:rPr>
                <w:sz w:val="18"/>
                <w:szCs w:val="18"/>
              </w:rPr>
              <w:t>Total Expenses</w:t>
            </w:r>
          </w:p>
        </w:tc>
        <w:tc>
          <w:tcPr>
            <w:tcW w:w="1310" w:type="dxa"/>
            <w:tcBorders>
              <w:top w:val="single" w:sz="4" w:space="0" w:color="auto"/>
              <w:left w:val="nil"/>
              <w:bottom w:val="single" w:sz="4" w:space="0" w:color="auto"/>
              <w:right w:val="nil"/>
            </w:tcBorders>
            <w:shd w:val="clear" w:color="auto" w:fill="auto"/>
            <w:noWrap/>
          </w:tcPr>
          <w:p w:rsidR="002D6060" w:rsidRPr="00F448CF" w:rsidRDefault="002D6060">
            <w:pPr>
              <w:jc w:val="right"/>
              <w:rPr>
                <w:rFonts w:asciiTheme="minorHAnsi" w:hAnsiTheme="minorHAnsi" w:cs="Arial"/>
                <w:b/>
                <w:bCs/>
                <w:sz w:val="18"/>
                <w:szCs w:val="18"/>
              </w:rPr>
            </w:pPr>
            <w:r w:rsidRPr="00F448CF">
              <w:rPr>
                <w:rFonts w:asciiTheme="minorHAnsi" w:hAnsiTheme="minorHAnsi" w:cs="Arial"/>
                <w:b/>
                <w:bCs/>
                <w:sz w:val="18"/>
                <w:szCs w:val="18"/>
              </w:rPr>
              <w:t xml:space="preserve">4,424,341 </w:t>
            </w:r>
          </w:p>
        </w:tc>
        <w:tc>
          <w:tcPr>
            <w:tcW w:w="1021" w:type="dxa"/>
            <w:tcBorders>
              <w:top w:val="single" w:sz="4" w:space="0" w:color="auto"/>
              <w:left w:val="nil"/>
              <w:bottom w:val="single" w:sz="4" w:space="0" w:color="auto"/>
              <w:right w:val="nil"/>
            </w:tcBorders>
            <w:shd w:val="clear" w:color="auto" w:fill="auto"/>
            <w:noWrap/>
          </w:tcPr>
          <w:p w:rsidR="002D6060" w:rsidRPr="00F448CF" w:rsidRDefault="002D6060">
            <w:pPr>
              <w:jc w:val="right"/>
              <w:rPr>
                <w:rFonts w:asciiTheme="minorHAnsi" w:hAnsiTheme="minorHAnsi" w:cs="Arial"/>
                <w:b/>
                <w:bCs/>
                <w:sz w:val="18"/>
                <w:szCs w:val="18"/>
              </w:rPr>
            </w:pPr>
            <w:r w:rsidRPr="00F448CF">
              <w:rPr>
                <w:rFonts w:asciiTheme="minorHAnsi" w:hAnsiTheme="minorHAnsi" w:cs="Arial"/>
                <w:b/>
                <w:bCs/>
                <w:sz w:val="18"/>
                <w:szCs w:val="18"/>
              </w:rPr>
              <w:t xml:space="preserve">4,577,876 </w:t>
            </w:r>
          </w:p>
        </w:tc>
        <w:tc>
          <w:tcPr>
            <w:tcW w:w="573" w:type="dxa"/>
            <w:tcBorders>
              <w:top w:val="single" w:sz="4" w:space="0" w:color="auto"/>
              <w:left w:val="nil"/>
              <w:bottom w:val="single" w:sz="4" w:space="0" w:color="auto"/>
              <w:right w:val="nil"/>
            </w:tcBorders>
            <w:shd w:val="clear" w:color="auto" w:fill="auto"/>
            <w:noWrap/>
          </w:tcPr>
          <w:p w:rsidR="002D6060" w:rsidRPr="00F448CF" w:rsidRDefault="002D6060">
            <w:pPr>
              <w:jc w:val="right"/>
              <w:rPr>
                <w:rFonts w:asciiTheme="minorHAnsi" w:hAnsiTheme="minorHAnsi" w:cs="Arial"/>
                <w:b/>
                <w:sz w:val="18"/>
                <w:szCs w:val="18"/>
              </w:rPr>
            </w:pPr>
            <w:r w:rsidRPr="00F448CF">
              <w:rPr>
                <w:rFonts w:asciiTheme="minorHAnsi" w:hAnsiTheme="minorHAnsi" w:cs="Arial"/>
                <w:b/>
                <w:sz w:val="18"/>
                <w:szCs w:val="18"/>
              </w:rPr>
              <w:t xml:space="preserve">3 </w:t>
            </w:r>
          </w:p>
        </w:tc>
        <w:tc>
          <w:tcPr>
            <w:tcW w:w="1021" w:type="dxa"/>
            <w:tcBorders>
              <w:top w:val="single" w:sz="4" w:space="0" w:color="auto"/>
              <w:left w:val="nil"/>
              <w:bottom w:val="single" w:sz="4" w:space="0" w:color="auto"/>
              <w:right w:val="nil"/>
            </w:tcBorders>
            <w:shd w:val="clear" w:color="auto" w:fill="auto"/>
            <w:noWrap/>
          </w:tcPr>
          <w:p w:rsidR="002D6060" w:rsidRPr="00F448CF" w:rsidRDefault="002D6060">
            <w:pPr>
              <w:jc w:val="right"/>
              <w:rPr>
                <w:rFonts w:asciiTheme="minorHAnsi" w:hAnsiTheme="minorHAnsi" w:cs="Arial"/>
                <w:b/>
                <w:bCs/>
                <w:sz w:val="18"/>
                <w:szCs w:val="18"/>
              </w:rPr>
            </w:pPr>
            <w:r w:rsidRPr="00F448CF">
              <w:rPr>
                <w:rFonts w:asciiTheme="minorHAnsi" w:hAnsiTheme="minorHAnsi" w:cs="Arial"/>
                <w:b/>
                <w:bCs/>
                <w:sz w:val="18"/>
                <w:szCs w:val="18"/>
              </w:rPr>
              <w:t xml:space="preserve">4,713,467 </w:t>
            </w:r>
          </w:p>
        </w:tc>
        <w:tc>
          <w:tcPr>
            <w:tcW w:w="1021" w:type="dxa"/>
            <w:tcBorders>
              <w:top w:val="single" w:sz="4" w:space="0" w:color="auto"/>
              <w:left w:val="nil"/>
              <w:bottom w:val="single" w:sz="4" w:space="0" w:color="auto"/>
              <w:right w:val="nil"/>
            </w:tcBorders>
            <w:shd w:val="clear" w:color="auto" w:fill="auto"/>
            <w:noWrap/>
          </w:tcPr>
          <w:p w:rsidR="002D6060" w:rsidRPr="00F448CF" w:rsidRDefault="002D6060">
            <w:pPr>
              <w:jc w:val="right"/>
              <w:rPr>
                <w:rFonts w:asciiTheme="minorHAnsi" w:hAnsiTheme="minorHAnsi" w:cs="Arial"/>
                <w:b/>
                <w:bCs/>
                <w:sz w:val="18"/>
                <w:szCs w:val="18"/>
              </w:rPr>
            </w:pPr>
            <w:r w:rsidRPr="00F448CF">
              <w:rPr>
                <w:rFonts w:asciiTheme="minorHAnsi" w:hAnsiTheme="minorHAnsi" w:cs="Arial"/>
                <w:b/>
                <w:bCs/>
                <w:sz w:val="18"/>
                <w:szCs w:val="18"/>
              </w:rPr>
              <w:t xml:space="preserve">4,860,234 </w:t>
            </w:r>
          </w:p>
        </w:tc>
        <w:tc>
          <w:tcPr>
            <w:tcW w:w="1021" w:type="dxa"/>
            <w:tcBorders>
              <w:top w:val="single" w:sz="4" w:space="0" w:color="auto"/>
              <w:left w:val="nil"/>
              <w:bottom w:val="single" w:sz="4" w:space="0" w:color="auto"/>
              <w:right w:val="nil"/>
            </w:tcBorders>
            <w:shd w:val="clear" w:color="auto" w:fill="auto"/>
            <w:noWrap/>
          </w:tcPr>
          <w:p w:rsidR="002D6060" w:rsidRPr="00F448CF" w:rsidRDefault="002D6060">
            <w:pPr>
              <w:jc w:val="right"/>
              <w:rPr>
                <w:rFonts w:asciiTheme="minorHAnsi" w:hAnsiTheme="minorHAnsi" w:cs="Arial"/>
                <w:b/>
                <w:bCs/>
                <w:sz w:val="18"/>
                <w:szCs w:val="18"/>
              </w:rPr>
            </w:pPr>
            <w:r w:rsidRPr="00F448CF">
              <w:rPr>
                <w:rFonts w:asciiTheme="minorHAnsi" w:hAnsiTheme="minorHAnsi" w:cs="Arial"/>
                <w:b/>
                <w:bCs/>
                <w:sz w:val="18"/>
                <w:szCs w:val="18"/>
              </w:rPr>
              <w:t xml:space="preserve">5,068,575 </w:t>
            </w:r>
          </w:p>
        </w:tc>
      </w:tr>
    </w:tbl>
    <w:p w:rsidR="00E73C2A" w:rsidRPr="006E3742" w:rsidRDefault="00EC79A7" w:rsidP="00355EF2">
      <w:pPr>
        <w:pStyle w:val="NoteText"/>
        <w:spacing w:before="120"/>
        <w:ind w:left="357" w:hanging="357"/>
        <w:rPr>
          <w:rFonts w:asciiTheme="minorHAnsi" w:hAnsiTheme="minorHAnsi"/>
        </w:rPr>
      </w:pPr>
      <w:r w:rsidRPr="006E3742">
        <w:rPr>
          <w:rFonts w:asciiTheme="minorHAnsi" w:hAnsiTheme="minorHAnsi"/>
          <w:b/>
        </w:rPr>
        <w:t>Note:</w:t>
      </w:r>
      <w:r w:rsidRPr="006E3742">
        <w:rPr>
          <w:rFonts w:asciiTheme="minorHAnsi" w:hAnsiTheme="minorHAnsi"/>
        </w:rPr>
        <w:t xml:space="preserve">  </w:t>
      </w:r>
      <w:r w:rsidRPr="003F0C5C">
        <w:t>Numbers may not add due to rounding.</w:t>
      </w:r>
    </w:p>
    <w:p w:rsidR="00EC79A7" w:rsidRPr="003F0C5C" w:rsidRDefault="00DD04FB" w:rsidP="003F0C5C">
      <w:pPr>
        <w:pStyle w:val="Heading3"/>
      </w:pPr>
      <w:r w:rsidRPr="003F0C5C">
        <w:t>Fac</w:t>
      </w:r>
      <w:r w:rsidR="00EC79A7" w:rsidRPr="003F0C5C">
        <w:t>tors Affecting Expenditure Levels</w:t>
      </w:r>
    </w:p>
    <w:p w:rsidR="00EC79A7" w:rsidRPr="003F0C5C" w:rsidRDefault="00EC79A7" w:rsidP="003F0C5C">
      <w:pPr>
        <w:pStyle w:val="Heading4"/>
      </w:pPr>
      <w:r w:rsidRPr="003F0C5C">
        <w:t>Employee Expenses</w:t>
      </w:r>
    </w:p>
    <w:p w:rsidR="00EC79A7" w:rsidRPr="003F0C5C" w:rsidRDefault="008A7322" w:rsidP="003F0C5C">
      <w:pPr>
        <w:pStyle w:val="BodyText"/>
      </w:pPr>
      <w:r w:rsidRPr="003F0C5C">
        <w:t>For 2012-13</w:t>
      </w:r>
      <w:r w:rsidR="00EC79A7" w:rsidRPr="003F0C5C">
        <w:t>, employee expenses are estimated to be $</w:t>
      </w:r>
      <w:r w:rsidR="00832EFE" w:rsidRPr="003F0C5C">
        <w:t>1.</w:t>
      </w:r>
      <w:r w:rsidRPr="003F0C5C">
        <w:t xml:space="preserve">544 </w:t>
      </w:r>
      <w:r w:rsidR="0067752D" w:rsidRPr="003F0C5C">
        <w:t>billion.</w:t>
      </w:r>
      <w:r w:rsidR="00EC79A7" w:rsidRPr="003F0C5C">
        <w:t xml:space="preserve"> </w:t>
      </w:r>
      <w:r w:rsidR="00DD04FB" w:rsidRPr="003F0C5C">
        <w:t xml:space="preserve"> </w:t>
      </w:r>
      <w:r w:rsidR="00EC79A7" w:rsidRPr="003F0C5C">
        <w:t xml:space="preserve">This is </w:t>
      </w:r>
      <w:r w:rsidR="0067752D" w:rsidRPr="003F0C5C">
        <w:t>an</w:t>
      </w:r>
      <w:r w:rsidR="00EC79A7" w:rsidRPr="003F0C5C">
        <w:t xml:space="preserve"> </w:t>
      </w:r>
      <w:r w:rsidR="00832EFE" w:rsidRPr="003F0C5C">
        <w:t xml:space="preserve">increase </w:t>
      </w:r>
      <w:r w:rsidR="00EC79A7" w:rsidRPr="003F0C5C">
        <w:t>of $</w:t>
      </w:r>
      <w:r w:rsidR="00711DDE" w:rsidRPr="003F0C5C">
        <w:t>16.6</w:t>
      </w:r>
      <w:r w:rsidR="00D91686" w:rsidRPr="003F0C5C">
        <w:t xml:space="preserve"> </w:t>
      </w:r>
      <w:r w:rsidR="00D179F4" w:rsidRPr="003F0C5C">
        <w:t>million</w:t>
      </w:r>
      <w:r w:rsidR="00EC79A7" w:rsidRPr="003F0C5C">
        <w:t xml:space="preserve"> </w:t>
      </w:r>
      <w:r w:rsidR="00711DDE" w:rsidRPr="003F0C5C">
        <w:t>or 1.1</w:t>
      </w:r>
      <w:r w:rsidR="00426B24" w:rsidRPr="003F0C5C">
        <w:t xml:space="preserve"> per cent </w:t>
      </w:r>
      <w:r w:rsidR="00EC79A7" w:rsidRPr="003F0C5C">
        <w:t>from the original budget of $</w:t>
      </w:r>
      <w:r w:rsidR="00832EFE" w:rsidRPr="003F0C5C">
        <w:t>1.</w:t>
      </w:r>
      <w:r w:rsidR="00711DDE" w:rsidRPr="003F0C5C">
        <w:t>528</w:t>
      </w:r>
      <w:r w:rsidR="00832EFE" w:rsidRPr="003F0C5C">
        <w:t> </w:t>
      </w:r>
      <w:r w:rsidR="00EC79A7" w:rsidRPr="003F0C5C">
        <w:t xml:space="preserve">billion mainly due to </w:t>
      </w:r>
      <w:r w:rsidR="00426B24" w:rsidRPr="003F0C5C">
        <w:t xml:space="preserve">the </w:t>
      </w:r>
      <w:r w:rsidR="00044AFE" w:rsidRPr="003F0C5C">
        <w:t xml:space="preserve">impact of </w:t>
      </w:r>
      <w:r w:rsidR="00E27616" w:rsidRPr="003F0C5C">
        <w:t>revised wage parameters</w:t>
      </w:r>
      <w:r w:rsidR="006D74EB" w:rsidRPr="003F0C5C">
        <w:t xml:space="preserve"> and changes in the workforce profile</w:t>
      </w:r>
      <w:r w:rsidR="00E27616" w:rsidRPr="003F0C5C">
        <w:t>.</w:t>
      </w:r>
    </w:p>
    <w:p w:rsidR="00EC79A7" w:rsidRPr="003F0C5C" w:rsidRDefault="00EC79A7" w:rsidP="003F0C5C">
      <w:pPr>
        <w:pStyle w:val="BodyText"/>
      </w:pPr>
      <w:r w:rsidRPr="003F0C5C">
        <w:t xml:space="preserve">Employee expenses </w:t>
      </w:r>
      <w:r w:rsidR="00044AFE" w:rsidRPr="003F0C5C">
        <w:t>are forecast</w:t>
      </w:r>
      <w:r w:rsidR="008B1A05" w:rsidRPr="003F0C5C">
        <w:t xml:space="preserve"> to</w:t>
      </w:r>
      <w:r w:rsidRPr="003F0C5C">
        <w:t xml:space="preserve"> grow by $</w:t>
      </w:r>
      <w:r w:rsidR="003625FD" w:rsidRPr="003F0C5C">
        <w:t>39.</w:t>
      </w:r>
      <w:r w:rsidR="007D2D1F" w:rsidRPr="003F0C5C">
        <w:t>2</w:t>
      </w:r>
      <w:r w:rsidR="000A2C35" w:rsidRPr="003F0C5C">
        <w:t xml:space="preserve"> </w:t>
      </w:r>
      <w:r w:rsidRPr="003F0C5C">
        <w:t xml:space="preserve">million or </w:t>
      </w:r>
      <w:r w:rsidR="007D2D1F" w:rsidRPr="003F0C5C">
        <w:t>2.5</w:t>
      </w:r>
      <w:r w:rsidR="000A2C35" w:rsidRPr="003F0C5C">
        <w:t xml:space="preserve"> </w:t>
      </w:r>
      <w:r w:rsidR="003625FD" w:rsidRPr="003F0C5C">
        <w:t>per cent in 2013</w:t>
      </w:r>
      <w:r w:rsidR="003625FD" w:rsidRPr="003F0C5C">
        <w:noBreakHyphen/>
        <w:t>14 from the 2012</w:t>
      </w:r>
      <w:r w:rsidR="003625FD" w:rsidRPr="003F0C5C">
        <w:noBreakHyphen/>
        <w:t>13</w:t>
      </w:r>
      <w:r w:rsidRPr="003F0C5C">
        <w:t xml:space="preserve"> estimated outcome.  </w:t>
      </w:r>
      <w:r w:rsidR="00054498" w:rsidRPr="003F0C5C">
        <w:t xml:space="preserve">These increases are largely due to </w:t>
      </w:r>
      <w:r w:rsidR="00C52E24" w:rsidRPr="003F0C5C">
        <w:t xml:space="preserve">the </w:t>
      </w:r>
      <w:r w:rsidR="00700FCB" w:rsidRPr="003F0C5C">
        <w:t xml:space="preserve">impact of </w:t>
      </w:r>
      <w:r w:rsidR="0097273F" w:rsidRPr="003F0C5C">
        <w:t>indexation on employee expenses</w:t>
      </w:r>
      <w:r w:rsidR="003625FD" w:rsidRPr="003F0C5C">
        <w:t xml:space="preserve"> and growth in health related initiatives.</w:t>
      </w:r>
    </w:p>
    <w:p w:rsidR="00EC79A7" w:rsidRPr="003F0C5C" w:rsidRDefault="00EC79A7" w:rsidP="003F0C5C">
      <w:pPr>
        <w:pStyle w:val="Heading4"/>
      </w:pPr>
      <w:r w:rsidRPr="003F0C5C">
        <w:t>Superannuation Interest Cost and Other Superannuation Expenses</w:t>
      </w:r>
    </w:p>
    <w:p w:rsidR="00B23569" w:rsidRPr="003F0C5C" w:rsidRDefault="00B23569" w:rsidP="003F0C5C">
      <w:pPr>
        <w:pStyle w:val="BodyText"/>
      </w:pPr>
      <w:r w:rsidRPr="003F0C5C">
        <w:t xml:space="preserve">Superannuation interest cost and other superannuation expenses represent superannuation expenses in relation to the defined benefit CSS/PSS liabilities and accumulation superannuation arrangements including </w:t>
      </w:r>
      <w:proofErr w:type="spellStart"/>
      <w:r w:rsidRPr="003F0C5C">
        <w:t>PSSap</w:t>
      </w:r>
      <w:proofErr w:type="spellEnd"/>
      <w:r w:rsidRPr="003F0C5C">
        <w:t xml:space="preserve"> and fund of choice.  The following variance explanation is in relation to the aggregate of these two items.</w:t>
      </w:r>
    </w:p>
    <w:p w:rsidR="00B23569" w:rsidRPr="003F0C5C" w:rsidRDefault="00B23569" w:rsidP="003F0C5C">
      <w:pPr>
        <w:pStyle w:val="BodyText"/>
      </w:pPr>
      <w:r w:rsidRPr="003F0C5C">
        <w:t>The increase of $76.</w:t>
      </w:r>
      <w:r w:rsidR="0097273F" w:rsidRPr="003F0C5C">
        <w:t>8</w:t>
      </w:r>
      <w:r w:rsidRPr="003F0C5C">
        <w:t xml:space="preserve"> million in the 2012-13 estimated </w:t>
      </w:r>
      <w:proofErr w:type="gramStart"/>
      <w:r w:rsidRPr="003F0C5C">
        <w:t>outcome</w:t>
      </w:r>
      <w:proofErr w:type="gramEnd"/>
      <w:r w:rsidRPr="003F0C5C">
        <w:t xml:space="preserve"> from the original budget is due mainly to the impact of the lower </w:t>
      </w:r>
      <w:r w:rsidR="00B50506">
        <w:t>actual</w:t>
      </w:r>
      <w:r w:rsidRPr="003F0C5C">
        <w:t xml:space="preserve"> discount rate as at 30 June 2012 </w:t>
      </w:r>
      <w:r w:rsidR="00B50506">
        <w:t xml:space="preserve">of </w:t>
      </w:r>
      <w:r w:rsidR="005E71CD">
        <w:t>3.41 </w:t>
      </w:r>
      <w:r w:rsidR="00B50506">
        <w:t>per cent</w:t>
      </w:r>
      <w:r w:rsidRPr="003F0C5C">
        <w:t xml:space="preserve"> used for the annual superannuation liability valuation.</w:t>
      </w:r>
      <w:r w:rsidR="00B50506">
        <w:t xml:space="preserve">  This compares to the long term average rate of 6 per cent used in the 2012-13 Budget.</w:t>
      </w:r>
    </w:p>
    <w:p w:rsidR="00793730" w:rsidRPr="006E3742" w:rsidRDefault="00793730" w:rsidP="007B0D9F">
      <w:pPr>
        <w:pStyle w:val="BodyText"/>
        <w:rPr>
          <w:rFonts w:asciiTheme="minorHAnsi" w:hAnsiTheme="minorHAnsi"/>
          <w:i/>
        </w:rPr>
      </w:pPr>
      <w:r w:rsidRPr="006E3742">
        <w:rPr>
          <w:rFonts w:asciiTheme="minorHAnsi" w:hAnsiTheme="minorHAnsi"/>
        </w:rPr>
        <w:br w:type="page"/>
      </w:r>
    </w:p>
    <w:p w:rsidR="00EC79A7" w:rsidRPr="003F0C5C" w:rsidRDefault="00EC79A7" w:rsidP="003F0C5C">
      <w:pPr>
        <w:pStyle w:val="Heading4"/>
        <w:spacing w:before="0"/>
      </w:pPr>
      <w:r w:rsidRPr="003F0C5C">
        <w:lastRenderedPageBreak/>
        <w:t>Depreciation and Amortisation</w:t>
      </w:r>
    </w:p>
    <w:p w:rsidR="00EC79A7" w:rsidRPr="003F0C5C" w:rsidRDefault="00EC79A7" w:rsidP="003F0C5C">
      <w:pPr>
        <w:pStyle w:val="BodyText"/>
      </w:pPr>
      <w:r w:rsidRPr="003F0C5C">
        <w:t>The 201</w:t>
      </w:r>
      <w:r w:rsidR="007A20B5" w:rsidRPr="003F0C5C">
        <w:t>2</w:t>
      </w:r>
      <w:r w:rsidR="007A20B5" w:rsidRPr="003F0C5C">
        <w:noBreakHyphen/>
        <w:t>13</w:t>
      </w:r>
      <w:r w:rsidRPr="003F0C5C">
        <w:t xml:space="preserve"> estimated outcome for depreciation and amortisation of $</w:t>
      </w:r>
      <w:r w:rsidR="007A20B5" w:rsidRPr="003F0C5C">
        <w:t>320.8</w:t>
      </w:r>
      <w:r w:rsidR="00203E32" w:rsidRPr="003F0C5C">
        <w:t> </w:t>
      </w:r>
      <w:r w:rsidR="00B63B12" w:rsidRPr="003F0C5C">
        <w:t>million is $</w:t>
      </w:r>
      <w:r w:rsidR="007A20B5" w:rsidRPr="003F0C5C">
        <w:t>3.7</w:t>
      </w:r>
      <w:r w:rsidR="00203E32" w:rsidRPr="003F0C5C">
        <w:t xml:space="preserve"> million </w:t>
      </w:r>
      <w:r w:rsidR="00E32E0A" w:rsidRPr="003F0C5C">
        <w:t>below</w:t>
      </w:r>
      <w:r w:rsidR="007A20B5" w:rsidRPr="003F0C5C">
        <w:t xml:space="preserve"> the original 2012</w:t>
      </w:r>
      <w:r w:rsidR="007A20B5" w:rsidRPr="003F0C5C">
        <w:noBreakHyphen/>
        <w:t>13</w:t>
      </w:r>
      <w:r w:rsidRPr="003F0C5C">
        <w:t> Budget of $</w:t>
      </w:r>
      <w:r w:rsidR="007A20B5" w:rsidRPr="003F0C5C">
        <w:t>324.5</w:t>
      </w:r>
      <w:r w:rsidRPr="003F0C5C">
        <w:t xml:space="preserve"> million</w:t>
      </w:r>
      <w:r w:rsidR="00DB6736" w:rsidRPr="003F0C5C">
        <w:t>.</w:t>
      </w:r>
      <w:r w:rsidR="00DD04FB" w:rsidRPr="003F0C5C">
        <w:t xml:space="preserve"> </w:t>
      </w:r>
      <w:r w:rsidR="00DB6736" w:rsidRPr="003F0C5C">
        <w:t xml:space="preserve"> This</w:t>
      </w:r>
      <w:r w:rsidRPr="003F0C5C">
        <w:t xml:space="preserve"> largely </w:t>
      </w:r>
      <w:r w:rsidR="008B1A05" w:rsidRPr="003F0C5C">
        <w:t>results</w:t>
      </w:r>
      <w:r w:rsidRPr="003F0C5C">
        <w:t xml:space="preserve"> from </w:t>
      </w:r>
      <w:r w:rsidR="0097273F" w:rsidRPr="003F0C5C">
        <w:t>the timing of</w:t>
      </w:r>
      <w:r w:rsidR="008B1A05" w:rsidRPr="003F0C5C">
        <w:t xml:space="preserve"> capital works projects</w:t>
      </w:r>
      <w:r w:rsidR="0097273F" w:rsidRPr="003F0C5C">
        <w:t xml:space="preserve"> and the </w:t>
      </w:r>
      <w:r w:rsidR="000E180F" w:rsidRPr="003F0C5C">
        <w:t xml:space="preserve">flow on </w:t>
      </w:r>
      <w:r w:rsidR="00E95DFC" w:rsidRPr="003F0C5C">
        <w:t xml:space="preserve">impact of </w:t>
      </w:r>
      <w:r w:rsidR="0097273F" w:rsidRPr="003F0C5C">
        <w:t xml:space="preserve">asset revaluations undertaken in </w:t>
      </w:r>
      <w:r w:rsidR="00E95DFC" w:rsidRPr="003F0C5C">
        <w:t>2011-12.</w:t>
      </w:r>
    </w:p>
    <w:p w:rsidR="00EC79A7" w:rsidRPr="003F0C5C" w:rsidRDefault="00C10C11" w:rsidP="003F0C5C">
      <w:pPr>
        <w:pStyle w:val="BodyText"/>
      </w:pPr>
      <w:r w:rsidRPr="003F0C5C">
        <w:t xml:space="preserve">Depreciation </w:t>
      </w:r>
      <w:r w:rsidR="00EC79A7" w:rsidRPr="003F0C5C">
        <w:t>and</w:t>
      </w:r>
      <w:r w:rsidRPr="003F0C5C">
        <w:t xml:space="preserve"> </w:t>
      </w:r>
      <w:r w:rsidR="00EC79A7" w:rsidRPr="003F0C5C">
        <w:t>amortisation expenses are estimated</w:t>
      </w:r>
      <w:r w:rsidR="00D05F80" w:rsidRPr="003F0C5C">
        <w:t xml:space="preserve"> to increase in 2013</w:t>
      </w:r>
      <w:r w:rsidR="00D05F80" w:rsidRPr="003F0C5C">
        <w:noBreakHyphen/>
        <w:t>14</w:t>
      </w:r>
      <w:r w:rsidR="00B63B12" w:rsidRPr="003F0C5C">
        <w:t xml:space="preserve"> by $</w:t>
      </w:r>
      <w:r w:rsidR="00D6760B" w:rsidRPr="003F0C5C">
        <w:t>18</w:t>
      </w:r>
      <w:r w:rsidR="00B63B12" w:rsidRPr="003F0C5C">
        <w:t xml:space="preserve"> million or </w:t>
      </w:r>
      <w:r w:rsidR="001E3816" w:rsidRPr="003F0C5C">
        <w:t>5.6 per cent from the 2012</w:t>
      </w:r>
      <w:r w:rsidR="001E3816" w:rsidRPr="003F0C5C">
        <w:noBreakHyphen/>
        <w:t>13</w:t>
      </w:r>
      <w:r w:rsidR="00EC79A7" w:rsidRPr="003F0C5C">
        <w:t xml:space="preserve"> estimated outcome reflecting </w:t>
      </w:r>
      <w:r w:rsidR="008B1A05" w:rsidRPr="003F0C5C">
        <w:t>the completion of major infrast</w:t>
      </w:r>
      <w:r w:rsidR="007F2D41" w:rsidRPr="003F0C5C">
        <w:t>ructure projects</w:t>
      </w:r>
      <w:r w:rsidR="001E3816" w:rsidRPr="003F0C5C">
        <w:t xml:space="preserve"> and asset purchases</w:t>
      </w:r>
      <w:r w:rsidR="007F2D41" w:rsidRPr="003F0C5C">
        <w:t>.</w:t>
      </w:r>
    </w:p>
    <w:p w:rsidR="00EC79A7" w:rsidRPr="003F0C5C" w:rsidRDefault="00EC79A7" w:rsidP="003F0C5C">
      <w:pPr>
        <w:pStyle w:val="Heading4"/>
      </w:pPr>
      <w:r w:rsidRPr="003F0C5C">
        <w:t>Interest Expense (Borrowing Costs)</w:t>
      </w:r>
    </w:p>
    <w:p w:rsidR="00856C04" w:rsidRPr="003F0C5C" w:rsidRDefault="00856C04" w:rsidP="003F0C5C">
      <w:pPr>
        <w:pStyle w:val="BodyText"/>
      </w:pPr>
      <w:r w:rsidRPr="003F0C5C">
        <w:t>This item mainly represents the interest payments for borrowings.</w:t>
      </w:r>
    </w:p>
    <w:p w:rsidR="00856C04" w:rsidRPr="003F0C5C" w:rsidRDefault="00856C04" w:rsidP="003F0C5C">
      <w:pPr>
        <w:pStyle w:val="BodyText"/>
      </w:pPr>
      <w:r w:rsidRPr="003F0C5C">
        <w:t>The increase of $10.</w:t>
      </w:r>
      <w:r w:rsidR="00D6760B" w:rsidRPr="003F0C5C">
        <w:t>9</w:t>
      </w:r>
      <w:r w:rsidRPr="003F0C5C">
        <w:t xml:space="preserve"> million in the 2012-13 estimated </w:t>
      </w:r>
      <w:proofErr w:type="gramStart"/>
      <w:r w:rsidRPr="003F0C5C">
        <w:t>outcome</w:t>
      </w:r>
      <w:proofErr w:type="gramEnd"/>
      <w:r w:rsidRPr="003F0C5C">
        <w:t xml:space="preserve"> from the original budget is mainly due to higher borrowing interest costs as a result of the timing and level of new borrowings undertaken through the year.</w:t>
      </w:r>
    </w:p>
    <w:p w:rsidR="00856C04" w:rsidRPr="003F0C5C" w:rsidRDefault="00856C04" w:rsidP="003F0C5C">
      <w:pPr>
        <w:pStyle w:val="BodyText"/>
      </w:pPr>
      <w:r w:rsidRPr="003F0C5C">
        <w:t>The increase of $26.</w:t>
      </w:r>
      <w:r w:rsidR="00D6760B" w:rsidRPr="003F0C5C">
        <w:t>2</w:t>
      </w:r>
      <w:r w:rsidRPr="003F0C5C">
        <w:t xml:space="preserve"> million in the 2013-14 Budget from the 2012-13 estimated </w:t>
      </w:r>
      <w:proofErr w:type="gramStart"/>
      <w:r w:rsidRPr="003F0C5C">
        <w:t>outcome</w:t>
      </w:r>
      <w:proofErr w:type="gramEnd"/>
      <w:r w:rsidRPr="003F0C5C">
        <w:t xml:space="preserve"> is mainly due to increased interest payments </w:t>
      </w:r>
      <w:r w:rsidR="00122451" w:rsidRPr="003F0C5C">
        <w:t xml:space="preserve">from </w:t>
      </w:r>
      <w:r w:rsidRPr="003F0C5C">
        <w:t>higher levels of borrowings.</w:t>
      </w:r>
    </w:p>
    <w:p w:rsidR="00EC79A7" w:rsidRPr="006E3742" w:rsidRDefault="00EC79A7">
      <w:pPr>
        <w:pStyle w:val="Heading4"/>
        <w:rPr>
          <w:rFonts w:asciiTheme="minorHAnsi" w:hAnsiTheme="minorHAnsi"/>
        </w:rPr>
      </w:pPr>
      <w:r w:rsidRPr="006E3742">
        <w:rPr>
          <w:rFonts w:asciiTheme="minorHAnsi" w:hAnsiTheme="minorHAnsi"/>
        </w:rPr>
        <w:t>Supplies and Services</w:t>
      </w:r>
    </w:p>
    <w:p w:rsidR="00EC79A7" w:rsidRPr="003F0C5C" w:rsidRDefault="00EC79A7" w:rsidP="003F0C5C">
      <w:pPr>
        <w:pStyle w:val="BodyText"/>
      </w:pPr>
      <w:r w:rsidRPr="003F0C5C">
        <w:t>Supplies and services expense consists of supplies (such as pharmaceuticals), repairs and maintenance, consultants and contractors expenses</w:t>
      </w:r>
      <w:r w:rsidR="00DD04FB" w:rsidRPr="003F0C5C">
        <w:t xml:space="preserve"> </w:t>
      </w:r>
      <w:r w:rsidRPr="003F0C5C">
        <w:t>and payments for ACT Policing.</w:t>
      </w:r>
    </w:p>
    <w:p w:rsidR="00EC79A7" w:rsidRPr="003F0C5C" w:rsidRDefault="00C2515D" w:rsidP="003F0C5C">
      <w:pPr>
        <w:pStyle w:val="BodyText"/>
      </w:pPr>
      <w:r w:rsidRPr="003F0C5C">
        <w:t>The 2012</w:t>
      </w:r>
      <w:r w:rsidRPr="003F0C5C">
        <w:noBreakHyphen/>
        <w:t>13</w:t>
      </w:r>
      <w:r w:rsidR="00EC79A7" w:rsidRPr="003F0C5C">
        <w:t xml:space="preserve"> estimated outcome for supplies and services expenses is expected to decrease by $</w:t>
      </w:r>
      <w:r w:rsidRPr="003F0C5C">
        <w:t>18.4</w:t>
      </w:r>
      <w:r w:rsidR="00EC79A7" w:rsidRPr="003F0C5C">
        <w:t xml:space="preserve"> million or </w:t>
      </w:r>
      <w:r w:rsidRPr="003F0C5C">
        <w:t>2.1</w:t>
      </w:r>
      <w:r w:rsidR="00EC79A7" w:rsidRPr="003F0C5C">
        <w:t xml:space="preserve"> per cent from the </w:t>
      </w:r>
      <w:r w:rsidRPr="003F0C5C">
        <w:t xml:space="preserve">original </w:t>
      </w:r>
      <w:r w:rsidR="00122451" w:rsidRPr="003F0C5C">
        <w:t>b</w:t>
      </w:r>
      <w:r w:rsidR="00EC79A7" w:rsidRPr="003F0C5C">
        <w:t xml:space="preserve">udget.  </w:t>
      </w:r>
    </w:p>
    <w:p w:rsidR="00EC79A7" w:rsidRPr="006E3742" w:rsidRDefault="00EC79A7">
      <w:pPr>
        <w:pStyle w:val="BodyText"/>
        <w:rPr>
          <w:rFonts w:asciiTheme="minorHAnsi" w:hAnsiTheme="minorHAnsi"/>
        </w:rPr>
      </w:pPr>
      <w:r w:rsidRPr="006E3742">
        <w:rPr>
          <w:rFonts w:asciiTheme="minorHAnsi" w:hAnsiTheme="minorHAnsi"/>
        </w:rPr>
        <w:t xml:space="preserve">Expenses </w:t>
      </w:r>
      <w:r w:rsidR="00C2515D" w:rsidRPr="006E3742">
        <w:rPr>
          <w:rFonts w:asciiTheme="minorHAnsi" w:hAnsiTheme="minorHAnsi"/>
        </w:rPr>
        <w:t>are forecast to increase in 2013</w:t>
      </w:r>
      <w:r w:rsidR="00C2515D" w:rsidRPr="006E3742">
        <w:rPr>
          <w:rFonts w:asciiTheme="minorHAnsi" w:hAnsiTheme="minorHAnsi"/>
        </w:rPr>
        <w:noBreakHyphen/>
        <w:t>14</w:t>
      </w:r>
      <w:r w:rsidRPr="006E3742">
        <w:rPr>
          <w:rFonts w:asciiTheme="minorHAnsi" w:hAnsiTheme="minorHAnsi"/>
        </w:rPr>
        <w:t xml:space="preserve"> by $</w:t>
      </w:r>
      <w:r w:rsidR="00C2515D" w:rsidRPr="006E3742">
        <w:rPr>
          <w:rFonts w:asciiTheme="minorHAnsi" w:hAnsiTheme="minorHAnsi"/>
        </w:rPr>
        <w:t>49.5</w:t>
      </w:r>
      <w:r w:rsidRPr="006E3742">
        <w:rPr>
          <w:rFonts w:asciiTheme="minorHAnsi" w:hAnsiTheme="minorHAnsi"/>
        </w:rPr>
        <w:t xml:space="preserve"> million or </w:t>
      </w:r>
      <w:r w:rsidR="00733560">
        <w:rPr>
          <w:rFonts w:asciiTheme="minorHAnsi" w:hAnsiTheme="minorHAnsi"/>
        </w:rPr>
        <w:t>5.7</w:t>
      </w:r>
      <w:r w:rsidR="00677EE5" w:rsidRPr="006E3742">
        <w:rPr>
          <w:rFonts w:asciiTheme="minorHAnsi" w:hAnsiTheme="minorHAnsi"/>
        </w:rPr>
        <w:t> per cent from the 201</w:t>
      </w:r>
      <w:r w:rsidR="00C2515D" w:rsidRPr="006E3742">
        <w:rPr>
          <w:rFonts w:asciiTheme="minorHAnsi" w:hAnsiTheme="minorHAnsi"/>
        </w:rPr>
        <w:t>2</w:t>
      </w:r>
      <w:r w:rsidR="00C2515D" w:rsidRPr="006E3742">
        <w:rPr>
          <w:rFonts w:asciiTheme="minorHAnsi" w:hAnsiTheme="minorHAnsi"/>
        </w:rPr>
        <w:noBreakHyphen/>
        <w:t>13</w:t>
      </w:r>
      <w:r w:rsidRPr="006E3742">
        <w:rPr>
          <w:rFonts w:asciiTheme="minorHAnsi" w:hAnsiTheme="minorHAnsi"/>
        </w:rPr>
        <w:t xml:space="preserve"> estimated outcome.  The variance reflects increased expenditure associated with the implementation of new initiatives</w:t>
      </w:r>
      <w:r w:rsidR="00D6760B">
        <w:rPr>
          <w:rFonts w:asciiTheme="minorHAnsi" w:hAnsiTheme="minorHAnsi"/>
        </w:rPr>
        <w:t>.</w:t>
      </w:r>
      <w:r w:rsidR="00056474" w:rsidRPr="006E3742">
        <w:rPr>
          <w:rFonts w:asciiTheme="minorHAnsi" w:hAnsiTheme="minorHAnsi"/>
        </w:rPr>
        <w:t xml:space="preserve"> </w:t>
      </w:r>
    </w:p>
    <w:p w:rsidR="00EC79A7" w:rsidRPr="003F0C5C" w:rsidRDefault="00EC79A7" w:rsidP="003F0C5C">
      <w:pPr>
        <w:pStyle w:val="Heading4"/>
      </w:pPr>
      <w:r w:rsidRPr="003F0C5C">
        <w:t>Other</w:t>
      </w:r>
      <w:r w:rsidR="004D0CF7" w:rsidRPr="003F0C5C">
        <w:t xml:space="preserve"> Operating</w:t>
      </w:r>
      <w:r w:rsidRPr="003F0C5C">
        <w:t xml:space="preserve"> Expenses</w:t>
      </w:r>
    </w:p>
    <w:p w:rsidR="00EC79A7" w:rsidRPr="003F0C5C" w:rsidRDefault="00EC79A7" w:rsidP="003F0C5C">
      <w:pPr>
        <w:pStyle w:val="BodyText"/>
      </w:pPr>
      <w:r w:rsidRPr="003F0C5C">
        <w:t xml:space="preserve">Other operating expenses consists of cost of goods sold, insurance related costs, concessions, school accounts expenses and other miscellaneous expenses.  </w:t>
      </w:r>
    </w:p>
    <w:p w:rsidR="00EC79A7" w:rsidRPr="003F0C5C" w:rsidRDefault="006E3742" w:rsidP="003F0C5C">
      <w:pPr>
        <w:pStyle w:val="BodyText"/>
      </w:pPr>
      <w:r w:rsidRPr="003F0C5C">
        <w:t>The 2012</w:t>
      </w:r>
      <w:r w:rsidRPr="003F0C5C">
        <w:noBreakHyphen/>
        <w:t>13 estimated outcome for other expenses is expected to decrease by $19.5 million or 9.8 per cent from the original 2012</w:t>
      </w:r>
      <w:r w:rsidRPr="003F0C5C">
        <w:noBreakHyphen/>
        <w:t xml:space="preserve">13 Budget.  This is primarily attributed to a </w:t>
      </w:r>
      <w:r w:rsidR="002D6430" w:rsidRPr="003F0C5C">
        <w:t>decrease in the average frequency and amount</w:t>
      </w:r>
      <w:r w:rsidR="006F29E0" w:rsidRPr="003F0C5C">
        <w:t>s</w:t>
      </w:r>
      <w:r w:rsidR="002D6430" w:rsidRPr="003F0C5C">
        <w:t xml:space="preserve"> in insurance claim</w:t>
      </w:r>
      <w:r w:rsidR="00D8747F" w:rsidRPr="003F0C5C">
        <w:t>s</w:t>
      </w:r>
      <w:r w:rsidR="00D6760B" w:rsidRPr="003F0C5C">
        <w:t xml:space="preserve"> and</w:t>
      </w:r>
      <w:r w:rsidR="001D40BB" w:rsidRPr="003F0C5C">
        <w:t xml:space="preserve"> </w:t>
      </w:r>
      <w:r w:rsidR="00A12F99" w:rsidRPr="003F0C5C">
        <w:t xml:space="preserve">a </w:t>
      </w:r>
      <w:r w:rsidR="001D40BB" w:rsidRPr="003F0C5C">
        <w:t>funding reduction</w:t>
      </w:r>
      <w:r w:rsidRPr="003F0C5C">
        <w:t xml:space="preserve"> from </w:t>
      </w:r>
      <w:r w:rsidR="00D6760B" w:rsidRPr="003F0C5C">
        <w:t>New South Wales</w:t>
      </w:r>
      <w:r w:rsidRPr="003F0C5C">
        <w:t xml:space="preserve"> for cross border health costs.</w:t>
      </w:r>
    </w:p>
    <w:p w:rsidR="00122451" w:rsidRPr="003F0C5C" w:rsidRDefault="00122451" w:rsidP="003F0C5C">
      <w:pPr>
        <w:pStyle w:val="BodyText"/>
      </w:pPr>
      <w:r w:rsidRPr="003F0C5C">
        <w:t xml:space="preserve">The increase of $19.5 million in the 2013-14 Budget from the 2012-13 estimated </w:t>
      </w:r>
      <w:proofErr w:type="gramStart"/>
      <w:r w:rsidRPr="003F0C5C">
        <w:t>outcome</w:t>
      </w:r>
      <w:proofErr w:type="gramEnd"/>
      <w:r w:rsidRPr="003F0C5C">
        <w:t xml:space="preserve"> is due to</w:t>
      </w:r>
      <w:r w:rsidR="002D6430" w:rsidRPr="003F0C5C">
        <w:t xml:space="preserve"> </w:t>
      </w:r>
      <w:r w:rsidR="00B50506">
        <w:t>the forecast value of insurance claim expenses returning to anticipated long run levels,</w:t>
      </w:r>
      <w:r w:rsidR="00D6760B" w:rsidRPr="003F0C5C">
        <w:t xml:space="preserve"> and the full year impact of operation of the A</w:t>
      </w:r>
      <w:r w:rsidR="00A12F99" w:rsidRPr="003F0C5C">
        <w:t>CT</w:t>
      </w:r>
      <w:r w:rsidR="00D6760B" w:rsidRPr="003F0C5C">
        <w:t xml:space="preserve"> State Pool </w:t>
      </w:r>
      <w:r w:rsidR="00D25F3F" w:rsidRPr="003F0C5C">
        <w:t>A</w:t>
      </w:r>
      <w:r w:rsidR="00D6760B" w:rsidRPr="003F0C5C">
        <w:t>ccount</w:t>
      </w:r>
      <w:r w:rsidRPr="003F0C5C">
        <w:t xml:space="preserve"> </w:t>
      </w:r>
      <w:r w:rsidR="00D25F3F" w:rsidRPr="003F0C5C">
        <w:t>under the National Health Reform Arrangements.</w:t>
      </w:r>
    </w:p>
    <w:p w:rsidR="00EC79A7" w:rsidRPr="003F0C5C" w:rsidRDefault="00EC79A7" w:rsidP="003F0C5C">
      <w:pPr>
        <w:pStyle w:val="Heading4"/>
      </w:pPr>
      <w:r w:rsidRPr="003F0C5C">
        <w:t>Grants</w:t>
      </w:r>
      <w:r w:rsidR="004D0CF7" w:rsidRPr="003F0C5C">
        <w:t xml:space="preserve"> Expenses</w:t>
      </w:r>
    </w:p>
    <w:p w:rsidR="00EC79A7" w:rsidRPr="003F0C5C" w:rsidRDefault="00C14ABA" w:rsidP="003F0C5C">
      <w:pPr>
        <w:pStyle w:val="BodyText"/>
      </w:pPr>
      <w:r w:rsidRPr="003F0C5C">
        <w:t>The 2012</w:t>
      </w:r>
      <w:r w:rsidRPr="003F0C5C">
        <w:noBreakHyphen/>
        <w:t>13</w:t>
      </w:r>
      <w:r w:rsidR="00EC79A7" w:rsidRPr="003F0C5C">
        <w:t xml:space="preserve"> estimated outcome for grants is expected to </w:t>
      </w:r>
      <w:r w:rsidR="000D01E1" w:rsidRPr="003F0C5C">
        <w:t>increase</w:t>
      </w:r>
      <w:r w:rsidR="00EC79A7" w:rsidRPr="003F0C5C">
        <w:t xml:space="preserve"> by $</w:t>
      </w:r>
      <w:r w:rsidRPr="003F0C5C">
        <w:t>14.2</w:t>
      </w:r>
      <w:r w:rsidR="00A12F99" w:rsidRPr="003F0C5C">
        <w:t> million from the original b</w:t>
      </w:r>
      <w:r w:rsidR="00EC79A7" w:rsidRPr="003F0C5C">
        <w:t>udget.</w:t>
      </w:r>
      <w:r w:rsidRPr="003F0C5C">
        <w:t xml:space="preserve"> </w:t>
      </w:r>
      <w:r w:rsidR="003F0C5C">
        <w:t xml:space="preserve"> </w:t>
      </w:r>
      <w:r w:rsidRPr="003F0C5C">
        <w:t xml:space="preserve">This is mainly attributed to </w:t>
      </w:r>
      <w:r w:rsidR="00A12F99" w:rsidRPr="003F0C5C">
        <w:t>the</w:t>
      </w:r>
      <w:r w:rsidRPr="003F0C5C">
        <w:t xml:space="preserve"> </w:t>
      </w:r>
      <w:r w:rsidR="00B50506">
        <w:t>reclassification</w:t>
      </w:r>
      <w:r w:rsidRPr="003F0C5C">
        <w:t xml:space="preserve"> of expenses </w:t>
      </w:r>
      <w:r w:rsidR="00436DFB" w:rsidRPr="003F0C5C">
        <w:t>to</w:t>
      </w:r>
      <w:r w:rsidR="00B50506">
        <w:t xml:space="preserve"> other expense line items to</w:t>
      </w:r>
      <w:r w:rsidR="00436DFB" w:rsidRPr="003F0C5C">
        <w:t xml:space="preserve"> more</w:t>
      </w:r>
      <w:r w:rsidR="00C04D6D" w:rsidRPr="003F0C5C">
        <w:t xml:space="preserve"> closely align with expected expenditure patterns</w:t>
      </w:r>
      <w:r w:rsidR="00C04D6D" w:rsidRPr="003F0C5C" w:rsidDel="00C04D6D">
        <w:t xml:space="preserve"> </w:t>
      </w:r>
      <w:r w:rsidR="00C04D6D" w:rsidRPr="003F0C5C">
        <w:t>and grant</w:t>
      </w:r>
      <w:r w:rsidR="00436DFB" w:rsidRPr="003F0C5C">
        <w:t>s</w:t>
      </w:r>
      <w:r w:rsidR="00C04D6D" w:rsidRPr="003F0C5C">
        <w:t xml:space="preserve"> to Calvary</w:t>
      </w:r>
      <w:r w:rsidR="00513404" w:rsidRPr="003F0C5C">
        <w:t xml:space="preserve"> Hospital</w:t>
      </w:r>
      <w:r w:rsidR="000D40CC" w:rsidRPr="003F0C5C">
        <w:t xml:space="preserve"> </w:t>
      </w:r>
      <w:r w:rsidR="00C04D6D" w:rsidRPr="003F0C5C">
        <w:t>to be used for capital works in their Emergency Department</w:t>
      </w:r>
      <w:r w:rsidRPr="003F0C5C">
        <w:t>.</w:t>
      </w:r>
    </w:p>
    <w:p w:rsidR="00EC79A7" w:rsidRPr="003F0C5C" w:rsidRDefault="00137A33" w:rsidP="003F0C5C">
      <w:pPr>
        <w:pStyle w:val="BodyText"/>
      </w:pPr>
      <w:r w:rsidRPr="003F0C5C">
        <w:t>The 201</w:t>
      </w:r>
      <w:r w:rsidR="00361369" w:rsidRPr="003F0C5C">
        <w:t>3</w:t>
      </w:r>
      <w:r w:rsidR="00361369" w:rsidRPr="003F0C5C">
        <w:noBreakHyphen/>
        <w:t>14</w:t>
      </w:r>
      <w:r w:rsidR="00EC79A7" w:rsidRPr="003F0C5C">
        <w:t> Budget forecast</w:t>
      </w:r>
      <w:r w:rsidR="00B50506">
        <w:t xml:space="preserve"> for grants expenses</w:t>
      </w:r>
      <w:r w:rsidR="00EC79A7" w:rsidRPr="003F0C5C">
        <w:t xml:space="preserve"> of $</w:t>
      </w:r>
      <w:r w:rsidR="006A4542" w:rsidRPr="003F0C5C">
        <w:t>830.7</w:t>
      </w:r>
      <w:r w:rsidR="00EC79A7" w:rsidRPr="003F0C5C">
        <w:t> million is $</w:t>
      </w:r>
      <w:r w:rsidR="006A4542" w:rsidRPr="003F0C5C">
        <w:t>56.3</w:t>
      </w:r>
      <w:r w:rsidR="00361369" w:rsidRPr="003F0C5C">
        <w:t> million higher than the 2012</w:t>
      </w:r>
      <w:r w:rsidR="00361369" w:rsidRPr="003F0C5C">
        <w:noBreakHyphen/>
        <w:t>13</w:t>
      </w:r>
      <w:r w:rsidR="00EC79A7" w:rsidRPr="003F0C5C">
        <w:t xml:space="preserve"> estimated outcome of $</w:t>
      </w:r>
      <w:r w:rsidR="00361369" w:rsidRPr="003F0C5C">
        <w:t>774.4</w:t>
      </w:r>
      <w:r w:rsidR="00EC79A7" w:rsidRPr="003F0C5C">
        <w:t> million</w:t>
      </w:r>
      <w:r w:rsidR="0098541B" w:rsidRPr="003F0C5C">
        <w:t>.</w:t>
      </w:r>
      <w:r w:rsidR="00044AFE" w:rsidRPr="003F0C5C">
        <w:t xml:space="preserve"> </w:t>
      </w:r>
      <w:r w:rsidR="0098541B" w:rsidRPr="003F0C5C">
        <w:t xml:space="preserve"> This is </w:t>
      </w:r>
      <w:r w:rsidR="00EC79A7" w:rsidRPr="003F0C5C">
        <w:t xml:space="preserve">mainly </w:t>
      </w:r>
      <w:r w:rsidR="00494F8C" w:rsidRPr="003F0C5C">
        <w:t xml:space="preserve">due to </w:t>
      </w:r>
      <w:r w:rsidR="000D40CC" w:rsidRPr="003F0C5C">
        <w:t>the impact of Government initiatives and increased community sector grants.</w:t>
      </w:r>
    </w:p>
    <w:p w:rsidR="00EC79A7" w:rsidRPr="00C43329" w:rsidRDefault="00D43295" w:rsidP="00C43329">
      <w:pPr>
        <w:pStyle w:val="Heading3TopofPage"/>
      </w:pPr>
      <w:r w:rsidRPr="006E3742">
        <w:br w:type="page"/>
      </w:r>
      <w:r w:rsidR="00EC79A7" w:rsidRPr="00C43329">
        <w:lastRenderedPageBreak/>
        <w:t>Community Service Obligations</w:t>
      </w:r>
    </w:p>
    <w:p w:rsidR="00EC79A7" w:rsidRPr="003F0C5C" w:rsidRDefault="00EC79A7" w:rsidP="003F0C5C">
      <w:pPr>
        <w:pStyle w:val="BodyText"/>
      </w:pPr>
      <w:r w:rsidRPr="003F0C5C">
        <w:t>Community Service Obligations (CSOs) primarily relate to Public Trading Enterprises.  The definition adopted by the ACT Government is the one used by the Steering Committee on National Performance Monitoring of Government Trading Enterprises, established under the aegis of the Special Premiers’ Conference in 1991, which states:</w:t>
      </w:r>
    </w:p>
    <w:p w:rsidR="00EC79A7" w:rsidRPr="006E3742" w:rsidRDefault="00EC79A7">
      <w:pPr>
        <w:pStyle w:val="BodyText"/>
        <w:rPr>
          <w:rFonts w:asciiTheme="minorHAnsi" w:hAnsiTheme="minorHAnsi"/>
          <w:i/>
          <w:iCs/>
        </w:rPr>
      </w:pPr>
      <w:r w:rsidRPr="006E3742">
        <w:rPr>
          <w:rFonts w:asciiTheme="minorHAnsi" w:hAnsiTheme="minorHAnsi"/>
          <w:i/>
          <w:iCs/>
        </w:rPr>
        <w:t>“A Community Service Obligation arises when a government specifically requires a public enterprise to carry out activities relating to outputs or inputs, with identified public benefit objectives, which it would not elect to do on a commercial basis, and which the government does not require other businesses in the public or private sector to undertake, or which it would only do commercially at higher prices.”</w:t>
      </w:r>
    </w:p>
    <w:p w:rsidR="00EC79A7" w:rsidRPr="003F0C5C" w:rsidRDefault="00EC79A7" w:rsidP="003F0C5C">
      <w:pPr>
        <w:pStyle w:val="BodyText"/>
      </w:pPr>
      <w:r w:rsidRPr="003F0C5C">
        <w:t>The Government extends the policy to other business units regardless of whether the unit is formally a Territory</w:t>
      </w:r>
      <w:r w:rsidRPr="003F0C5C">
        <w:noBreakHyphen/>
      </w:r>
      <w:proofErr w:type="spellStart"/>
      <w:r w:rsidRPr="003F0C5C">
        <w:t>owned</w:t>
      </w:r>
      <w:proofErr w:type="spellEnd"/>
      <w:r w:rsidRPr="003F0C5C">
        <w:t xml:space="preserve"> corporation or a statutory authority and irrespective of its organisational structure. </w:t>
      </w:r>
    </w:p>
    <w:p w:rsidR="00EC79A7" w:rsidRPr="003F0C5C" w:rsidRDefault="00EC79A7" w:rsidP="003F0C5C">
      <w:pPr>
        <w:pStyle w:val="BodyText"/>
      </w:pPr>
      <w:r w:rsidRPr="003F0C5C">
        <w:t>The separate identification of CSOs provides transparency on the full costs of services and the financial implications of Government decisions in the provision of services to specific targeted groups in the community.</w:t>
      </w:r>
    </w:p>
    <w:p w:rsidR="00EC79A7" w:rsidRPr="003F0C5C" w:rsidRDefault="00EC79A7" w:rsidP="003F0C5C">
      <w:pPr>
        <w:pStyle w:val="BodyText"/>
      </w:pPr>
      <w:r w:rsidRPr="003F0C5C">
        <w:t xml:space="preserve">Table </w:t>
      </w:r>
      <w:r w:rsidR="003B6DB4" w:rsidRPr="003F0C5C">
        <w:t>5</w:t>
      </w:r>
      <w:r w:rsidRPr="003F0C5C">
        <w:t>.1.2 lists Community Servic</w:t>
      </w:r>
      <w:r w:rsidR="00A06C80" w:rsidRPr="003F0C5C">
        <w:t>e O</w:t>
      </w:r>
      <w:r w:rsidR="005E71CD">
        <w:t>bligations funded in the 2013-14</w:t>
      </w:r>
      <w:r w:rsidRPr="003F0C5C">
        <w:t> Budget.</w:t>
      </w:r>
    </w:p>
    <w:p w:rsidR="00EC79A7" w:rsidRPr="003F0C5C" w:rsidRDefault="00EC79A7" w:rsidP="003F0C5C">
      <w:pPr>
        <w:pStyle w:val="TableNumber"/>
      </w:pPr>
      <w:r w:rsidRPr="003F0C5C">
        <w:t xml:space="preserve">Table </w:t>
      </w:r>
      <w:r w:rsidR="00F26068" w:rsidRPr="003F0C5C">
        <w:t>5</w:t>
      </w:r>
      <w:r w:rsidRPr="003F0C5C">
        <w:t>.1.2</w:t>
      </w:r>
    </w:p>
    <w:p w:rsidR="00EC79A7" w:rsidRPr="003F0C5C" w:rsidRDefault="00A06C80" w:rsidP="003F0C5C">
      <w:pPr>
        <w:pStyle w:val="TableName"/>
      </w:pPr>
      <w:r w:rsidRPr="003F0C5C">
        <w:t>CSOs Funded in the 201</w:t>
      </w:r>
      <w:r w:rsidR="00601360" w:rsidRPr="003F0C5C">
        <w:t>3</w:t>
      </w:r>
      <w:r w:rsidRPr="003F0C5C">
        <w:noBreakHyphen/>
        <w:t>1</w:t>
      </w:r>
      <w:r w:rsidR="00601360" w:rsidRPr="003F0C5C">
        <w:t>4</w:t>
      </w:r>
      <w:r w:rsidR="00EC79A7" w:rsidRPr="003F0C5C">
        <w:t> Budget</w:t>
      </w:r>
    </w:p>
    <w:tbl>
      <w:tblPr>
        <w:tblW w:w="9210" w:type="dxa"/>
        <w:tblLook w:val="0000"/>
      </w:tblPr>
      <w:tblGrid>
        <w:gridCol w:w="618"/>
        <w:gridCol w:w="2303"/>
        <w:gridCol w:w="939"/>
        <w:gridCol w:w="372"/>
        <w:gridCol w:w="4978"/>
      </w:tblGrid>
      <w:tr w:rsidR="00EC79A7" w:rsidRPr="00833CE9" w:rsidTr="00F448CF">
        <w:trPr>
          <w:trHeight w:val="170"/>
        </w:trPr>
        <w:tc>
          <w:tcPr>
            <w:tcW w:w="2921" w:type="dxa"/>
            <w:gridSpan w:val="2"/>
            <w:tcBorders>
              <w:top w:val="single" w:sz="4" w:space="0" w:color="auto"/>
              <w:left w:val="nil"/>
              <w:bottom w:val="nil"/>
              <w:right w:val="nil"/>
            </w:tcBorders>
            <w:shd w:val="clear" w:color="auto" w:fill="auto"/>
            <w:noWrap/>
          </w:tcPr>
          <w:p w:rsidR="00EC79A7" w:rsidRPr="003F0C5C" w:rsidRDefault="00EC79A7" w:rsidP="003F0C5C">
            <w:pPr>
              <w:pStyle w:val="TableTextLeftBold-BP4"/>
            </w:pPr>
            <w:r w:rsidRPr="003F0C5C">
              <w:t>CSO provided by:</w:t>
            </w:r>
          </w:p>
        </w:tc>
        <w:tc>
          <w:tcPr>
            <w:tcW w:w="939" w:type="dxa"/>
            <w:tcBorders>
              <w:top w:val="single" w:sz="4" w:space="0" w:color="auto"/>
              <w:left w:val="nil"/>
              <w:bottom w:val="nil"/>
              <w:right w:val="nil"/>
            </w:tcBorders>
            <w:shd w:val="clear" w:color="auto" w:fill="auto"/>
            <w:noWrap/>
          </w:tcPr>
          <w:p w:rsidR="00EC79A7" w:rsidRPr="003F0C5C" w:rsidRDefault="004859BF" w:rsidP="003F0C5C">
            <w:pPr>
              <w:pStyle w:val="TableTextRight-BP4"/>
              <w:rPr>
                <w:b/>
              </w:rPr>
            </w:pPr>
            <w:r w:rsidRPr="003F0C5C">
              <w:rPr>
                <w:b/>
              </w:rPr>
              <w:t>201</w:t>
            </w:r>
            <w:r w:rsidR="00601360" w:rsidRPr="003F0C5C">
              <w:rPr>
                <w:b/>
              </w:rPr>
              <w:t>3</w:t>
            </w:r>
            <w:r w:rsidRPr="003F0C5C">
              <w:rPr>
                <w:b/>
              </w:rPr>
              <w:t>-1</w:t>
            </w:r>
            <w:r w:rsidR="00601360" w:rsidRPr="003F0C5C">
              <w:rPr>
                <w:b/>
              </w:rPr>
              <w:t>4</w:t>
            </w:r>
          </w:p>
        </w:tc>
        <w:tc>
          <w:tcPr>
            <w:tcW w:w="372" w:type="dxa"/>
            <w:tcBorders>
              <w:top w:val="single" w:sz="4" w:space="0" w:color="auto"/>
              <w:left w:val="nil"/>
              <w:bottom w:val="nil"/>
              <w:right w:val="nil"/>
            </w:tcBorders>
            <w:shd w:val="clear" w:color="auto" w:fill="auto"/>
            <w:noWrap/>
          </w:tcPr>
          <w:p w:rsidR="00EC79A7" w:rsidRPr="00833CE9" w:rsidRDefault="00EC79A7">
            <w:pPr>
              <w:jc w:val="right"/>
              <w:rPr>
                <w:rFonts w:asciiTheme="minorHAnsi" w:hAnsiTheme="minorHAnsi"/>
                <w:b/>
                <w:bCs/>
                <w:sz w:val="18"/>
                <w:szCs w:val="18"/>
              </w:rPr>
            </w:pPr>
          </w:p>
        </w:tc>
        <w:tc>
          <w:tcPr>
            <w:tcW w:w="4978" w:type="dxa"/>
            <w:tcBorders>
              <w:top w:val="single" w:sz="4" w:space="0" w:color="auto"/>
              <w:left w:val="nil"/>
              <w:bottom w:val="nil"/>
              <w:right w:val="nil"/>
            </w:tcBorders>
            <w:shd w:val="clear" w:color="auto" w:fill="auto"/>
            <w:noWrap/>
          </w:tcPr>
          <w:p w:rsidR="00EC79A7" w:rsidRPr="003F0C5C" w:rsidRDefault="00EC79A7" w:rsidP="003F0C5C">
            <w:pPr>
              <w:pStyle w:val="TableTextLeft-BP4"/>
              <w:rPr>
                <w:b/>
              </w:rPr>
            </w:pPr>
            <w:r w:rsidRPr="003F0C5C">
              <w:rPr>
                <w:b/>
              </w:rPr>
              <w:t>Description</w:t>
            </w:r>
          </w:p>
        </w:tc>
      </w:tr>
      <w:tr w:rsidR="00EC79A7" w:rsidRPr="00833CE9" w:rsidTr="00F448CF">
        <w:trPr>
          <w:trHeight w:val="170"/>
        </w:trPr>
        <w:tc>
          <w:tcPr>
            <w:tcW w:w="618" w:type="dxa"/>
            <w:tcBorders>
              <w:top w:val="nil"/>
              <w:left w:val="nil"/>
              <w:bottom w:val="nil"/>
              <w:right w:val="nil"/>
            </w:tcBorders>
            <w:shd w:val="clear" w:color="auto" w:fill="auto"/>
            <w:noWrap/>
          </w:tcPr>
          <w:p w:rsidR="00EC79A7" w:rsidRPr="00833CE9" w:rsidRDefault="00EC79A7">
            <w:pPr>
              <w:rPr>
                <w:rFonts w:asciiTheme="minorHAnsi" w:hAnsiTheme="minorHAnsi"/>
                <w:sz w:val="18"/>
                <w:szCs w:val="18"/>
              </w:rPr>
            </w:pPr>
          </w:p>
        </w:tc>
        <w:tc>
          <w:tcPr>
            <w:tcW w:w="2303" w:type="dxa"/>
            <w:tcBorders>
              <w:top w:val="nil"/>
              <w:left w:val="nil"/>
              <w:bottom w:val="nil"/>
              <w:right w:val="nil"/>
            </w:tcBorders>
            <w:shd w:val="clear" w:color="auto" w:fill="auto"/>
            <w:noWrap/>
          </w:tcPr>
          <w:p w:rsidR="00EC79A7" w:rsidRPr="00833CE9" w:rsidRDefault="00EC79A7">
            <w:pPr>
              <w:jc w:val="right"/>
              <w:rPr>
                <w:rFonts w:asciiTheme="minorHAnsi" w:hAnsiTheme="minorHAnsi"/>
                <w:b/>
                <w:bCs/>
                <w:sz w:val="18"/>
                <w:szCs w:val="18"/>
              </w:rPr>
            </w:pPr>
          </w:p>
        </w:tc>
        <w:tc>
          <w:tcPr>
            <w:tcW w:w="939" w:type="dxa"/>
            <w:tcBorders>
              <w:top w:val="nil"/>
              <w:left w:val="nil"/>
              <w:bottom w:val="nil"/>
              <w:right w:val="nil"/>
            </w:tcBorders>
            <w:shd w:val="clear" w:color="auto" w:fill="auto"/>
            <w:noWrap/>
          </w:tcPr>
          <w:p w:rsidR="00EC79A7" w:rsidRPr="003F0C5C" w:rsidRDefault="00EC79A7" w:rsidP="003F0C5C">
            <w:pPr>
              <w:pStyle w:val="TableTextRight-BP4"/>
              <w:rPr>
                <w:b/>
              </w:rPr>
            </w:pPr>
            <w:r w:rsidRPr="003F0C5C">
              <w:rPr>
                <w:b/>
              </w:rPr>
              <w:t>Budget</w:t>
            </w:r>
          </w:p>
        </w:tc>
        <w:tc>
          <w:tcPr>
            <w:tcW w:w="372" w:type="dxa"/>
            <w:tcBorders>
              <w:top w:val="nil"/>
              <w:left w:val="nil"/>
              <w:bottom w:val="nil"/>
              <w:right w:val="nil"/>
            </w:tcBorders>
            <w:shd w:val="clear" w:color="auto" w:fill="auto"/>
            <w:noWrap/>
          </w:tcPr>
          <w:p w:rsidR="00EC79A7" w:rsidRPr="00833CE9" w:rsidRDefault="00EC79A7">
            <w:pPr>
              <w:jc w:val="right"/>
              <w:rPr>
                <w:rFonts w:asciiTheme="minorHAnsi" w:hAnsiTheme="minorHAnsi"/>
                <w:b/>
                <w:bCs/>
                <w:sz w:val="18"/>
                <w:szCs w:val="18"/>
              </w:rPr>
            </w:pPr>
          </w:p>
        </w:tc>
        <w:tc>
          <w:tcPr>
            <w:tcW w:w="4978" w:type="dxa"/>
            <w:tcBorders>
              <w:top w:val="nil"/>
              <w:left w:val="nil"/>
              <w:bottom w:val="nil"/>
              <w:right w:val="nil"/>
            </w:tcBorders>
            <w:shd w:val="clear" w:color="auto" w:fill="auto"/>
            <w:noWrap/>
          </w:tcPr>
          <w:p w:rsidR="00EC79A7" w:rsidRPr="00833CE9" w:rsidRDefault="00EC79A7">
            <w:pPr>
              <w:jc w:val="right"/>
              <w:rPr>
                <w:rFonts w:asciiTheme="minorHAnsi" w:hAnsiTheme="minorHAnsi"/>
                <w:b/>
                <w:bCs/>
                <w:sz w:val="18"/>
                <w:szCs w:val="18"/>
              </w:rPr>
            </w:pPr>
          </w:p>
        </w:tc>
      </w:tr>
      <w:tr w:rsidR="00EC79A7" w:rsidRPr="00833CE9" w:rsidTr="00F448CF">
        <w:trPr>
          <w:trHeight w:val="170"/>
        </w:trPr>
        <w:tc>
          <w:tcPr>
            <w:tcW w:w="618" w:type="dxa"/>
            <w:tcBorders>
              <w:top w:val="nil"/>
              <w:left w:val="nil"/>
              <w:bottom w:val="single" w:sz="4" w:space="0" w:color="auto"/>
              <w:right w:val="nil"/>
            </w:tcBorders>
            <w:shd w:val="clear" w:color="auto" w:fill="auto"/>
            <w:noWrap/>
          </w:tcPr>
          <w:p w:rsidR="00EC79A7" w:rsidRPr="00833CE9" w:rsidRDefault="00EC79A7">
            <w:pPr>
              <w:pStyle w:val="TableTextLeftBold"/>
              <w:rPr>
                <w:rFonts w:asciiTheme="minorHAnsi" w:hAnsiTheme="minorHAnsi"/>
              </w:rPr>
            </w:pPr>
            <w:r w:rsidRPr="00833CE9">
              <w:rPr>
                <w:rFonts w:asciiTheme="minorHAnsi" w:hAnsiTheme="minorHAnsi"/>
              </w:rPr>
              <w:t> </w:t>
            </w:r>
          </w:p>
        </w:tc>
        <w:tc>
          <w:tcPr>
            <w:tcW w:w="2303" w:type="dxa"/>
            <w:tcBorders>
              <w:top w:val="nil"/>
              <w:left w:val="nil"/>
              <w:bottom w:val="single" w:sz="4" w:space="0" w:color="auto"/>
              <w:right w:val="nil"/>
            </w:tcBorders>
            <w:shd w:val="clear" w:color="auto" w:fill="auto"/>
            <w:noWrap/>
          </w:tcPr>
          <w:p w:rsidR="00EC79A7" w:rsidRPr="00833CE9" w:rsidRDefault="00EC79A7">
            <w:pPr>
              <w:jc w:val="right"/>
              <w:rPr>
                <w:rFonts w:asciiTheme="minorHAnsi" w:hAnsiTheme="minorHAnsi"/>
                <w:b/>
                <w:bCs/>
                <w:sz w:val="18"/>
                <w:szCs w:val="18"/>
              </w:rPr>
            </w:pPr>
            <w:r w:rsidRPr="00833CE9">
              <w:rPr>
                <w:rFonts w:asciiTheme="minorHAnsi" w:hAnsiTheme="minorHAnsi"/>
                <w:b/>
                <w:bCs/>
                <w:sz w:val="18"/>
                <w:szCs w:val="18"/>
              </w:rPr>
              <w:t> </w:t>
            </w:r>
          </w:p>
        </w:tc>
        <w:tc>
          <w:tcPr>
            <w:tcW w:w="939" w:type="dxa"/>
            <w:tcBorders>
              <w:top w:val="nil"/>
              <w:left w:val="nil"/>
              <w:bottom w:val="single" w:sz="4" w:space="0" w:color="auto"/>
              <w:right w:val="nil"/>
            </w:tcBorders>
            <w:shd w:val="clear" w:color="auto" w:fill="auto"/>
            <w:noWrap/>
          </w:tcPr>
          <w:p w:rsidR="00EC79A7" w:rsidRPr="003F0C5C" w:rsidRDefault="00A2614C" w:rsidP="003F0C5C">
            <w:pPr>
              <w:pStyle w:val="TableTextRight-BP4"/>
              <w:rPr>
                <w:b/>
              </w:rPr>
            </w:pPr>
            <w:r w:rsidRPr="003F0C5C">
              <w:rPr>
                <w:b/>
              </w:rPr>
              <w:t>$’</w:t>
            </w:r>
            <w:r w:rsidR="00EC79A7" w:rsidRPr="003F0C5C">
              <w:rPr>
                <w:b/>
              </w:rPr>
              <w:t>000</w:t>
            </w:r>
          </w:p>
        </w:tc>
        <w:tc>
          <w:tcPr>
            <w:tcW w:w="372" w:type="dxa"/>
            <w:tcBorders>
              <w:top w:val="nil"/>
              <w:left w:val="nil"/>
              <w:bottom w:val="single" w:sz="4" w:space="0" w:color="auto"/>
              <w:right w:val="nil"/>
            </w:tcBorders>
            <w:shd w:val="clear" w:color="auto" w:fill="auto"/>
            <w:noWrap/>
          </w:tcPr>
          <w:p w:rsidR="00EC79A7" w:rsidRPr="00833CE9" w:rsidRDefault="00EC79A7">
            <w:pPr>
              <w:jc w:val="right"/>
              <w:rPr>
                <w:rFonts w:asciiTheme="minorHAnsi" w:hAnsiTheme="minorHAnsi"/>
                <w:b/>
                <w:bCs/>
                <w:sz w:val="18"/>
                <w:szCs w:val="18"/>
              </w:rPr>
            </w:pPr>
            <w:r w:rsidRPr="00833CE9">
              <w:rPr>
                <w:rFonts w:asciiTheme="minorHAnsi" w:hAnsiTheme="minorHAnsi"/>
                <w:b/>
                <w:bCs/>
                <w:sz w:val="18"/>
                <w:szCs w:val="18"/>
              </w:rPr>
              <w:t> </w:t>
            </w:r>
          </w:p>
        </w:tc>
        <w:tc>
          <w:tcPr>
            <w:tcW w:w="4978" w:type="dxa"/>
            <w:tcBorders>
              <w:top w:val="nil"/>
              <w:left w:val="nil"/>
              <w:bottom w:val="single" w:sz="4" w:space="0" w:color="auto"/>
              <w:right w:val="nil"/>
            </w:tcBorders>
            <w:shd w:val="clear" w:color="auto" w:fill="auto"/>
            <w:noWrap/>
          </w:tcPr>
          <w:p w:rsidR="00EC79A7" w:rsidRPr="00833CE9" w:rsidRDefault="00EC79A7">
            <w:pPr>
              <w:jc w:val="right"/>
              <w:rPr>
                <w:rFonts w:asciiTheme="minorHAnsi" w:hAnsiTheme="minorHAnsi"/>
                <w:b/>
                <w:bCs/>
                <w:sz w:val="18"/>
                <w:szCs w:val="18"/>
              </w:rPr>
            </w:pPr>
            <w:r w:rsidRPr="00833CE9">
              <w:rPr>
                <w:rFonts w:asciiTheme="minorHAnsi" w:hAnsiTheme="minorHAnsi"/>
                <w:b/>
                <w:bCs/>
                <w:sz w:val="18"/>
                <w:szCs w:val="18"/>
              </w:rPr>
              <w:t> </w:t>
            </w:r>
          </w:p>
        </w:tc>
      </w:tr>
      <w:tr w:rsidR="0083537B" w:rsidRPr="00833CE9" w:rsidTr="00F448CF">
        <w:trPr>
          <w:trHeight w:val="170"/>
        </w:trPr>
        <w:tc>
          <w:tcPr>
            <w:tcW w:w="4232" w:type="dxa"/>
            <w:gridSpan w:val="4"/>
            <w:tcBorders>
              <w:top w:val="nil"/>
              <w:left w:val="nil"/>
              <w:bottom w:val="nil"/>
              <w:right w:val="nil"/>
            </w:tcBorders>
            <w:shd w:val="clear" w:color="auto" w:fill="auto"/>
            <w:noWrap/>
          </w:tcPr>
          <w:p w:rsidR="0083537B" w:rsidRPr="00833CE9" w:rsidRDefault="0083537B" w:rsidP="003F0C5C">
            <w:pPr>
              <w:pStyle w:val="TableTextLeftBold-BP4"/>
            </w:pPr>
            <w:r w:rsidRPr="00833CE9">
              <w:t>Territory and Municipal Services Directorate</w:t>
            </w:r>
          </w:p>
        </w:tc>
        <w:tc>
          <w:tcPr>
            <w:tcW w:w="4978" w:type="dxa"/>
            <w:tcBorders>
              <w:top w:val="nil"/>
              <w:left w:val="nil"/>
              <w:bottom w:val="nil"/>
              <w:right w:val="nil"/>
            </w:tcBorders>
            <w:shd w:val="clear" w:color="auto" w:fill="auto"/>
            <w:noWrap/>
          </w:tcPr>
          <w:p w:rsidR="0083537B" w:rsidRPr="00833CE9" w:rsidRDefault="0083537B">
            <w:pPr>
              <w:rPr>
                <w:rFonts w:asciiTheme="minorHAnsi" w:hAnsiTheme="minorHAnsi"/>
                <w:b/>
                <w:bCs/>
                <w:sz w:val="18"/>
                <w:szCs w:val="18"/>
              </w:rPr>
            </w:pPr>
          </w:p>
        </w:tc>
      </w:tr>
      <w:tr w:rsidR="00771CF5" w:rsidRPr="00833CE9" w:rsidTr="00F448CF">
        <w:trPr>
          <w:trHeight w:val="170"/>
        </w:trPr>
        <w:tc>
          <w:tcPr>
            <w:tcW w:w="618" w:type="dxa"/>
            <w:tcBorders>
              <w:top w:val="nil"/>
              <w:left w:val="nil"/>
              <w:bottom w:val="nil"/>
              <w:right w:val="nil"/>
            </w:tcBorders>
            <w:shd w:val="clear" w:color="auto" w:fill="auto"/>
          </w:tcPr>
          <w:p w:rsidR="00771CF5" w:rsidRPr="00833CE9" w:rsidRDefault="00771CF5">
            <w:pPr>
              <w:jc w:val="right"/>
              <w:rPr>
                <w:rFonts w:asciiTheme="minorHAnsi" w:hAnsiTheme="minorHAnsi"/>
                <w:sz w:val="18"/>
                <w:szCs w:val="18"/>
              </w:rPr>
            </w:pPr>
          </w:p>
        </w:tc>
        <w:tc>
          <w:tcPr>
            <w:tcW w:w="2303" w:type="dxa"/>
            <w:tcBorders>
              <w:top w:val="nil"/>
              <w:left w:val="nil"/>
              <w:bottom w:val="nil"/>
            </w:tcBorders>
            <w:shd w:val="clear" w:color="auto" w:fill="auto"/>
          </w:tcPr>
          <w:p w:rsidR="00771CF5" w:rsidRPr="00833CE9" w:rsidRDefault="00771CF5">
            <w:pPr>
              <w:rPr>
                <w:rFonts w:asciiTheme="minorHAnsi" w:hAnsiTheme="minorHAnsi"/>
                <w:sz w:val="18"/>
                <w:szCs w:val="18"/>
              </w:rPr>
            </w:pPr>
            <w:r w:rsidRPr="00833CE9">
              <w:rPr>
                <w:rFonts w:asciiTheme="minorHAnsi" w:hAnsiTheme="minorHAnsi"/>
                <w:sz w:val="18"/>
                <w:szCs w:val="18"/>
              </w:rPr>
              <w:t>Yarralumla Nursery</w:t>
            </w:r>
          </w:p>
        </w:tc>
        <w:tc>
          <w:tcPr>
            <w:tcW w:w="939" w:type="dxa"/>
            <w:tcBorders>
              <w:bottom w:val="nil"/>
            </w:tcBorders>
            <w:shd w:val="clear" w:color="auto" w:fill="auto"/>
            <w:noWrap/>
          </w:tcPr>
          <w:p w:rsidR="00771CF5" w:rsidRDefault="00771CF5">
            <w:pPr>
              <w:jc w:val="right"/>
              <w:rPr>
                <w:rFonts w:cs="Arial"/>
                <w:sz w:val="18"/>
                <w:szCs w:val="18"/>
              </w:rPr>
            </w:pPr>
            <w:r>
              <w:rPr>
                <w:rFonts w:cs="Arial"/>
                <w:sz w:val="18"/>
                <w:szCs w:val="18"/>
              </w:rPr>
              <w:t xml:space="preserve">270 </w:t>
            </w:r>
          </w:p>
        </w:tc>
        <w:tc>
          <w:tcPr>
            <w:tcW w:w="372" w:type="dxa"/>
            <w:tcBorders>
              <w:top w:val="nil"/>
              <w:left w:val="nil"/>
              <w:bottom w:val="nil"/>
              <w:right w:val="nil"/>
            </w:tcBorders>
            <w:shd w:val="clear" w:color="auto" w:fill="auto"/>
            <w:noWrap/>
          </w:tcPr>
          <w:p w:rsidR="00771CF5" w:rsidRPr="00833CE9" w:rsidRDefault="00771CF5">
            <w:pPr>
              <w:jc w:val="right"/>
              <w:rPr>
                <w:rFonts w:asciiTheme="minorHAnsi" w:hAnsiTheme="minorHAnsi"/>
                <w:color w:val="800080"/>
                <w:sz w:val="18"/>
                <w:szCs w:val="18"/>
              </w:rPr>
            </w:pPr>
          </w:p>
        </w:tc>
        <w:tc>
          <w:tcPr>
            <w:tcW w:w="4978" w:type="dxa"/>
            <w:tcBorders>
              <w:top w:val="nil"/>
              <w:left w:val="nil"/>
              <w:bottom w:val="nil"/>
              <w:right w:val="nil"/>
            </w:tcBorders>
            <w:shd w:val="clear" w:color="auto" w:fill="auto"/>
          </w:tcPr>
          <w:p w:rsidR="00771CF5" w:rsidRPr="00833CE9" w:rsidRDefault="00771CF5" w:rsidP="00601360">
            <w:pPr>
              <w:jc w:val="both"/>
              <w:rPr>
                <w:rFonts w:asciiTheme="minorHAnsi" w:hAnsiTheme="minorHAnsi"/>
                <w:sz w:val="18"/>
                <w:szCs w:val="18"/>
              </w:rPr>
            </w:pPr>
            <w:r w:rsidRPr="00833CE9">
              <w:rPr>
                <w:rFonts w:asciiTheme="minorHAnsi" w:hAnsiTheme="minorHAnsi"/>
                <w:sz w:val="18"/>
                <w:szCs w:val="18"/>
              </w:rPr>
              <w:t xml:space="preserve">Free </w:t>
            </w:r>
            <w:r w:rsidR="00601360">
              <w:rPr>
                <w:rFonts w:asciiTheme="minorHAnsi" w:hAnsiTheme="minorHAnsi"/>
                <w:sz w:val="18"/>
                <w:szCs w:val="18"/>
              </w:rPr>
              <w:t>p</w:t>
            </w:r>
            <w:r w:rsidRPr="00833CE9">
              <w:rPr>
                <w:rFonts w:asciiTheme="minorHAnsi" w:hAnsiTheme="minorHAnsi"/>
                <w:sz w:val="18"/>
                <w:szCs w:val="18"/>
              </w:rPr>
              <w:t xml:space="preserve">lant </w:t>
            </w:r>
            <w:r w:rsidR="00601360">
              <w:rPr>
                <w:rFonts w:asciiTheme="minorHAnsi" w:hAnsiTheme="minorHAnsi"/>
                <w:sz w:val="18"/>
                <w:szCs w:val="18"/>
              </w:rPr>
              <w:t>i</w:t>
            </w:r>
            <w:r w:rsidRPr="00833CE9">
              <w:rPr>
                <w:rFonts w:asciiTheme="minorHAnsi" w:hAnsiTheme="minorHAnsi"/>
                <w:sz w:val="18"/>
                <w:szCs w:val="18"/>
              </w:rPr>
              <w:t>ssue.</w:t>
            </w:r>
          </w:p>
        </w:tc>
      </w:tr>
      <w:tr w:rsidR="00771CF5" w:rsidRPr="00833CE9" w:rsidTr="00F448CF">
        <w:trPr>
          <w:trHeight w:val="170"/>
        </w:trPr>
        <w:tc>
          <w:tcPr>
            <w:tcW w:w="618" w:type="dxa"/>
            <w:tcBorders>
              <w:top w:val="nil"/>
              <w:left w:val="nil"/>
              <w:bottom w:val="nil"/>
              <w:right w:val="nil"/>
            </w:tcBorders>
            <w:shd w:val="clear" w:color="auto" w:fill="auto"/>
          </w:tcPr>
          <w:p w:rsidR="00771CF5" w:rsidRPr="00833CE9" w:rsidRDefault="00771CF5">
            <w:pPr>
              <w:jc w:val="right"/>
              <w:rPr>
                <w:rFonts w:asciiTheme="minorHAnsi" w:hAnsiTheme="minorHAnsi"/>
                <w:sz w:val="18"/>
                <w:szCs w:val="18"/>
              </w:rPr>
            </w:pPr>
          </w:p>
        </w:tc>
        <w:tc>
          <w:tcPr>
            <w:tcW w:w="2303" w:type="dxa"/>
            <w:tcBorders>
              <w:top w:val="nil"/>
              <w:left w:val="nil"/>
              <w:bottom w:val="nil"/>
            </w:tcBorders>
            <w:shd w:val="clear" w:color="auto" w:fill="auto"/>
          </w:tcPr>
          <w:p w:rsidR="00771CF5" w:rsidRPr="00833CE9" w:rsidRDefault="00771CF5">
            <w:pPr>
              <w:rPr>
                <w:rFonts w:asciiTheme="minorHAnsi" w:hAnsiTheme="minorHAnsi"/>
                <w:sz w:val="18"/>
                <w:szCs w:val="18"/>
              </w:rPr>
            </w:pPr>
            <w:r w:rsidRPr="00833CE9">
              <w:rPr>
                <w:rFonts w:asciiTheme="minorHAnsi" w:hAnsiTheme="minorHAnsi"/>
                <w:sz w:val="18"/>
                <w:szCs w:val="18"/>
              </w:rPr>
              <w:t>ACT Forests</w:t>
            </w:r>
          </w:p>
        </w:tc>
        <w:tc>
          <w:tcPr>
            <w:tcW w:w="939" w:type="dxa"/>
            <w:tcBorders>
              <w:top w:val="nil"/>
            </w:tcBorders>
            <w:shd w:val="clear" w:color="auto" w:fill="auto"/>
            <w:noWrap/>
          </w:tcPr>
          <w:p w:rsidR="00771CF5" w:rsidRDefault="00771CF5">
            <w:pPr>
              <w:jc w:val="right"/>
              <w:rPr>
                <w:rFonts w:cs="Arial"/>
                <w:sz w:val="18"/>
                <w:szCs w:val="18"/>
              </w:rPr>
            </w:pPr>
            <w:r>
              <w:rPr>
                <w:rFonts w:cs="Arial"/>
                <w:sz w:val="18"/>
                <w:szCs w:val="18"/>
              </w:rPr>
              <w:t xml:space="preserve">2,329 </w:t>
            </w:r>
          </w:p>
        </w:tc>
        <w:tc>
          <w:tcPr>
            <w:tcW w:w="372" w:type="dxa"/>
            <w:tcBorders>
              <w:top w:val="nil"/>
              <w:left w:val="nil"/>
              <w:bottom w:val="nil"/>
              <w:right w:val="nil"/>
            </w:tcBorders>
            <w:shd w:val="clear" w:color="auto" w:fill="auto"/>
            <w:noWrap/>
          </w:tcPr>
          <w:p w:rsidR="00771CF5" w:rsidRPr="00833CE9" w:rsidRDefault="00771CF5">
            <w:pPr>
              <w:jc w:val="right"/>
              <w:rPr>
                <w:rFonts w:asciiTheme="minorHAnsi" w:hAnsiTheme="minorHAnsi"/>
                <w:color w:val="800080"/>
                <w:sz w:val="18"/>
                <w:szCs w:val="18"/>
              </w:rPr>
            </w:pPr>
          </w:p>
        </w:tc>
        <w:tc>
          <w:tcPr>
            <w:tcW w:w="4978" w:type="dxa"/>
            <w:tcBorders>
              <w:top w:val="nil"/>
              <w:left w:val="nil"/>
              <w:bottom w:val="nil"/>
              <w:right w:val="nil"/>
            </w:tcBorders>
            <w:shd w:val="clear" w:color="auto" w:fill="auto"/>
          </w:tcPr>
          <w:p w:rsidR="00771CF5" w:rsidRPr="00833CE9" w:rsidRDefault="00771CF5" w:rsidP="00441A11">
            <w:pPr>
              <w:jc w:val="both"/>
              <w:rPr>
                <w:rFonts w:asciiTheme="minorHAnsi" w:hAnsiTheme="minorHAnsi"/>
                <w:sz w:val="18"/>
                <w:szCs w:val="18"/>
              </w:rPr>
            </w:pPr>
            <w:r w:rsidRPr="00833CE9">
              <w:rPr>
                <w:rFonts w:asciiTheme="minorHAnsi" w:hAnsiTheme="minorHAnsi"/>
                <w:sz w:val="18"/>
                <w:szCs w:val="18"/>
              </w:rPr>
              <w:t>Provision and upkeep of public use areas within ACT Forests.</w:t>
            </w:r>
          </w:p>
        </w:tc>
      </w:tr>
      <w:tr w:rsidR="00771CF5" w:rsidRPr="00833CE9" w:rsidTr="00F448CF">
        <w:trPr>
          <w:trHeight w:val="170"/>
        </w:trPr>
        <w:tc>
          <w:tcPr>
            <w:tcW w:w="618" w:type="dxa"/>
            <w:tcBorders>
              <w:top w:val="nil"/>
              <w:left w:val="nil"/>
              <w:bottom w:val="nil"/>
              <w:right w:val="nil"/>
            </w:tcBorders>
            <w:shd w:val="clear" w:color="auto" w:fill="auto"/>
          </w:tcPr>
          <w:p w:rsidR="00771CF5" w:rsidRPr="00833CE9" w:rsidRDefault="00771CF5">
            <w:pPr>
              <w:jc w:val="right"/>
              <w:rPr>
                <w:rFonts w:asciiTheme="minorHAnsi" w:hAnsiTheme="minorHAnsi"/>
                <w:sz w:val="18"/>
                <w:szCs w:val="18"/>
              </w:rPr>
            </w:pPr>
          </w:p>
        </w:tc>
        <w:tc>
          <w:tcPr>
            <w:tcW w:w="2303" w:type="dxa"/>
            <w:tcBorders>
              <w:top w:val="nil"/>
              <w:left w:val="nil"/>
              <w:bottom w:val="nil"/>
            </w:tcBorders>
            <w:shd w:val="clear" w:color="auto" w:fill="auto"/>
          </w:tcPr>
          <w:p w:rsidR="00771CF5" w:rsidRPr="00833CE9" w:rsidRDefault="00771CF5">
            <w:pPr>
              <w:rPr>
                <w:rFonts w:asciiTheme="minorHAnsi" w:hAnsiTheme="minorHAnsi"/>
                <w:sz w:val="18"/>
                <w:szCs w:val="18"/>
              </w:rPr>
            </w:pPr>
            <w:r w:rsidRPr="00833CE9">
              <w:rPr>
                <w:rFonts w:asciiTheme="minorHAnsi" w:hAnsiTheme="minorHAnsi"/>
                <w:sz w:val="18"/>
                <w:szCs w:val="18"/>
              </w:rPr>
              <w:t>ACTION</w:t>
            </w:r>
          </w:p>
        </w:tc>
        <w:tc>
          <w:tcPr>
            <w:tcW w:w="939" w:type="dxa"/>
            <w:tcBorders>
              <w:top w:val="nil"/>
            </w:tcBorders>
            <w:shd w:val="clear" w:color="auto" w:fill="auto"/>
            <w:noWrap/>
          </w:tcPr>
          <w:p w:rsidR="00771CF5" w:rsidRDefault="00771CF5">
            <w:pPr>
              <w:jc w:val="right"/>
              <w:rPr>
                <w:rFonts w:cs="Arial"/>
                <w:sz w:val="18"/>
                <w:szCs w:val="18"/>
              </w:rPr>
            </w:pPr>
            <w:r>
              <w:rPr>
                <w:rFonts w:cs="Arial"/>
                <w:sz w:val="18"/>
                <w:szCs w:val="18"/>
              </w:rPr>
              <w:t xml:space="preserve">91,230 </w:t>
            </w:r>
          </w:p>
        </w:tc>
        <w:tc>
          <w:tcPr>
            <w:tcW w:w="372" w:type="dxa"/>
            <w:tcBorders>
              <w:top w:val="nil"/>
              <w:left w:val="nil"/>
              <w:bottom w:val="nil"/>
              <w:right w:val="nil"/>
            </w:tcBorders>
            <w:shd w:val="clear" w:color="auto" w:fill="auto"/>
            <w:noWrap/>
          </w:tcPr>
          <w:p w:rsidR="00771CF5" w:rsidRPr="00833CE9" w:rsidRDefault="00771CF5" w:rsidP="00F448CF">
            <w:pPr>
              <w:rPr>
                <w:rFonts w:asciiTheme="minorHAnsi" w:hAnsiTheme="minorHAnsi"/>
                <w:color w:val="800080"/>
                <w:sz w:val="18"/>
                <w:szCs w:val="18"/>
              </w:rPr>
            </w:pPr>
          </w:p>
        </w:tc>
        <w:tc>
          <w:tcPr>
            <w:tcW w:w="4978" w:type="dxa"/>
            <w:tcBorders>
              <w:top w:val="nil"/>
              <w:left w:val="nil"/>
              <w:bottom w:val="nil"/>
              <w:right w:val="nil"/>
            </w:tcBorders>
            <w:shd w:val="clear" w:color="auto" w:fill="auto"/>
          </w:tcPr>
          <w:p w:rsidR="00771CF5" w:rsidRPr="00833CE9" w:rsidRDefault="00771CF5" w:rsidP="00441A11">
            <w:pPr>
              <w:jc w:val="both"/>
              <w:rPr>
                <w:rFonts w:asciiTheme="minorHAnsi" w:hAnsiTheme="minorHAnsi"/>
                <w:sz w:val="18"/>
                <w:szCs w:val="18"/>
              </w:rPr>
            </w:pPr>
            <w:r w:rsidRPr="00833CE9">
              <w:rPr>
                <w:rFonts w:asciiTheme="minorHAnsi" w:hAnsiTheme="minorHAnsi"/>
                <w:sz w:val="18"/>
                <w:szCs w:val="18"/>
              </w:rPr>
              <w:t>Funding provided to ACTION to operate network services.</w:t>
            </w:r>
          </w:p>
        </w:tc>
      </w:tr>
      <w:tr w:rsidR="005E71CD" w:rsidRPr="00833CE9" w:rsidTr="00F448CF">
        <w:trPr>
          <w:trHeight w:val="170"/>
        </w:trPr>
        <w:tc>
          <w:tcPr>
            <w:tcW w:w="3860" w:type="dxa"/>
            <w:gridSpan w:val="3"/>
            <w:tcBorders>
              <w:top w:val="nil"/>
              <w:left w:val="nil"/>
              <w:bottom w:val="nil"/>
              <w:right w:val="nil"/>
            </w:tcBorders>
            <w:shd w:val="clear" w:color="auto" w:fill="auto"/>
          </w:tcPr>
          <w:p w:rsidR="005E71CD" w:rsidRPr="00833CE9" w:rsidRDefault="005E71CD" w:rsidP="003F0C5C">
            <w:pPr>
              <w:pStyle w:val="TableTextLeftBold-BP4"/>
            </w:pPr>
          </w:p>
        </w:tc>
        <w:tc>
          <w:tcPr>
            <w:tcW w:w="372" w:type="dxa"/>
            <w:tcBorders>
              <w:top w:val="nil"/>
              <w:left w:val="nil"/>
              <w:bottom w:val="nil"/>
              <w:right w:val="nil"/>
            </w:tcBorders>
            <w:shd w:val="clear" w:color="auto" w:fill="auto"/>
            <w:noWrap/>
          </w:tcPr>
          <w:p w:rsidR="005E71CD" w:rsidRPr="00833CE9" w:rsidRDefault="005E71CD">
            <w:pPr>
              <w:rPr>
                <w:rFonts w:asciiTheme="minorHAnsi" w:hAnsiTheme="minorHAnsi"/>
                <w:b/>
                <w:bCs/>
                <w:sz w:val="18"/>
                <w:szCs w:val="18"/>
              </w:rPr>
            </w:pPr>
          </w:p>
        </w:tc>
        <w:tc>
          <w:tcPr>
            <w:tcW w:w="4978" w:type="dxa"/>
            <w:tcBorders>
              <w:top w:val="nil"/>
              <w:left w:val="nil"/>
              <w:bottom w:val="nil"/>
              <w:right w:val="nil"/>
            </w:tcBorders>
            <w:shd w:val="clear" w:color="auto" w:fill="auto"/>
          </w:tcPr>
          <w:p w:rsidR="005E71CD" w:rsidRPr="00833CE9" w:rsidRDefault="005E71CD" w:rsidP="00441A11">
            <w:pPr>
              <w:jc w:val="both"/>
              <w:rPr>
                <w:rFonts w:asciiTheme="minorHAnsi" w:hAnsiTheme="minorHAnsi"/>
                <w:b/>
                <w:bCs/>
                <w:sz w:val="18"/>
                <w:szCs w:val="18"/>
              </w:rPr>
            </w:pPr>
          </w:p>
        </w:tc>
      </w:tr>
      <w:tr w:rsidR="0083537B" w:rsidRPr="00833CE9" w:rsidTr="00F448CF">
        <w:trPr>
          <w:trHeight w:val="170"/>
        </w:trPr>
        <w:tc>
          <w:tcPr>
            <w:tcW w:w="3860" w:type="dxa"/>
            <w:gridSpan w:val="3"/>
            <w:tcBorders>
              <w:top w:val="nil"/>
              <w:left w:val="nil"/>
              <w:bottom w:val="nil"/>
              <w:right w:val="nil"/>
            </w:tcBorders>
            <w:shd w:val="clear" w:color="auto" w:fill="auto"/>
          </w:tcPr>
          <w:p w:rsidR="0083537B" w:rsidRPr="00833CE9" w:rsidRDefault="0083537B" w:rsidP="003F0C5C">
            <w:pPr>
              <w:pStyle w:val="TableTextLeftBold-BP4"/>
            </w:pPr>
            <w:r w:rsidRPr="00833CE9">
              <w:t>Economic Development Directorate</w:t>
            </w:r>
          </w:p>
        </w:tc>
        <w:tc>
          <w:tcPr>
            <w:tcW w:w="372" w:type="dxa"/>
            <w:tcBorders>
              <w:top w:val="nil"/>
              <w:left w:val="nil"/>
              <w:bottom w:val="nil"/>
              <w:right w:val="nil"/>
            </w:tcBorders>
            <w:shd w:val="clear" w:color="auto" w:fill="auto"/>
            <w:noWrap/>
          </w:tcPr>
          <w:p w:rsidR="0083537B" w:rsidRPr="00833CE9" w:rsidRDefault="0083537B">
            <w:pPr>
              <w:rPr>
                <w:rFonts w:asciiTheme="minorHAnsi" w:hAnsiTheme="minorHAnsi"/>
                <w:b/>
                <w:bCs/>
                <w:sz w:val="18"/>
                <w:szCs w:val="18"/>
              </w:rPr>
            </w:pPr>
          </w:p>
        </w:tc>
        <w:tc>
          <w:tcPr>
            <w:tcW w:w="4978" w:type="dxa"/>
            <w:tcBorders>
              <w:top w:val="nil"/>
              <w:left w:val="nil"/>
              <w:bottom w:val="nil"/>
              <w:right w:val="nil"/>
            </w:tcBorders>
            <w:shd w:val="clear" w:color="auto" w:fill="auto"/>
          </w:tcPr>
          <w:p w:rsidR="0083537B" w:rsidRPr="00833CE9" w:rsidRDefault="0083537B" w:rsidP="00441A11">
            <w:pPr>
              <w:jc w:val="both"/>
              <w:rPr>
                <w:rFonts w:asciiTheme="minorHAnsi" w:hAnsiTheme="minorHAnsi"/>
                <w:b/>
                <w:bCs/>
                <w:sz w:val="18"/>
                <w:szCs w:val="18"/>
              </w:rPr>
            </w:pPr>
          </w:p>
        </w:tc>
      </w:tr>
      <w:tr w:rsidR="0083537B" w:rsidRPr="00833CE9" w:rsidTr="00F448CF">
        <w:trPr>
          <w:trHeight w:val="170"/>
        </w:trPr>
        <w:tc>
          <w:tcPr>
            <w:tcW w:w="618" w:type="dxa"/>
            <w:tcBorders>
              <w:top w:val="nil"/>
              <w:left w:val="nil"/>
              <w:bottom w:val="nil"/>
              <w:right w:val="nil"/>
            </w:tcBorders>
            <w:shd w:val="clear" w:color="auto" w:fill="auto"/>
          </w:tcPr>
          <w:p w:rsidR="0083537B" w:rsidRPr="00833CE9" w:rsidRDefault="0083537B">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83537B" w:rsidRPr="00833CE9" w:rsidRDefault="0083537B">
            <w:pPr>
              <w:rPr>
                <w:rFonts w:asciiTheme="minorHAnsi" w:hAnsiTheme="minorHAnsi"/>
                <w:sz w:val="18"/>
                <w:szCs w:val="18"/>
              </w:rPr>
            </w:pPr>
            <w:r w:rsidRPr="00833CE9">
              <w:rPr>
                <w:rFonts w:asciiTheme="minorHAnsi" w:hAnsiTheme="minorHAnsi"/>
                <w:sz w:val="18"/>
                <w:szCs w:val="18"/>
              </w:rPr>
              <w:t>Exhibition Park Corporation</w:t>
            </w:r>
          </w:p>
        </w:tc>
        <w:tc>
          <w:tcPr>
            <w:tcW w:w="939" w:type="dxa"/>
            <w:tcBorders>
              <w:top w:val="nil"/>
              <w:left w:val="nil"/>
              <w:bottom w:val="nil"/>
              <w:right w:val="nil"/>
            </w:tcBorders>
            <w:shd w:val="clear" w:color="auto" w:fill="auto"/>
            <w:noWrap/>
          </w:tcPr>
          <w:p w:rsidR="00833CE9" w:rsidRDefault="00833CE9" w:rsidP="00833CE9">
            <w:pPr>
              <w:jc w:val="right"/>
              <w:rPr>
                <w:rFonts w:cs="Arial"/>
                <w:sz w:val="18"/>
                <w:szCs w:val="18"/>
              </w:rPr>
            </w:pPr>
            <w:r>
              <w:rPr>
                <w:rFonts w:cs="Arial"/>
                <w:sz w:val="18"/>
                <w:szCs w:val="18"/>
              </w:rPr>
              <w:t xml:space="preserve">425 </w:t>
            </w:r>
          </w:p>
          <w:p w:rsidR="0083537B" w:rsidRPr="00833CE9" w:rsidRDefault="0083537B">
            <w:pPr>
              <w:jc w:val="right"/>
              <w:rPr>
                <w:rFonts w:asciiTheme="minorHAnsi" w:hAnsiTheme="minorHAnsi"/>
                <w:sz w:val="18"/>
                <w:szCs w:val="18"/>
              </w:rPr>
            </w:pPr>
            <w:r w:rsidRPr="00833CE9">
              <w:rPr>
                <w:rFonts w:asciiTheme="minorHAnsi" w:hAnsiTheme="minorHAnsi"/>
                <w:sz w:val="18"/>
                <w:szCs w:val="18"/>
              </w:rPr>
              <w:t xml:space="preserve"> </w:t>
            </w:r>
          </w:p>
        </w:tc>
        <w:tc>
          <w:tcPr>
            <w:tcW w:w="372" w:type="dxa"/>
            <w:tcBorders>
              <w:top w:val="nil"/>
              <w:left w:val="nil"/>
              <w:bottom w:val="nil"/>
              <w:right w:val="nil"/>
            </w:tcBorders>
            <w:shd w:val="clear" w:color="auto" w:fill="auto"/>
            <w:noWrap/>
          </w:tcPr>
          <w:p w:rsidR="0083537B" w:rsidRPr="00833CE9" w:rsidRDefault="0083537B">
            <w:pPr>
              <w:jc w:val="right"/>
              <w:rPr>
                <w:rFonts w:asciiTheme="minorHAnsi" w:hAnsiTheme="minorHAnsi"/>
                <w:color w:val="800080"/>
                <w:sz w:val="18"/>
                <w:szCs w:val="18"/>
              </w:rPr>
            </w:pPr>
          </w:p>
        </w:tc>
        <w:tc>
          <w:tcPr>
            <w:tcW w:w="4978" w:type="dxa"/>
            <w:tcBorders>
              <w:top w:val="nil"/>
              <w:left w:val="nil"/>
              <w:bottom w:val="nil"/>
              <w:right w:val="nil"/>
            </w:tcBorders>
            <w:shd w:val="clear" w:color="auto" w:fill="auto"/>
          </w:tcPr>
          <w:p w:rsidR="00601360" w:rsidRPr="00833CE9" w:rsidRDefault="0083537B" w:rsidP="00441A11">
            <w:pPr>
              <w:jc w:val="both"/>
              <w:rPr>
                <w:rFonts w:asciiTheme="minorHAnsi" w:hAnsiTheme="minorHAnsi"/>
                <w:sz w:val="18"/>
                <w:szCs w:val="18"/>
              </w:rPr>
            </w:pPr>
            <w:r w:rsidRPr="00833CE9">
              <w:rPr>
                <w:rFonts w:asciiTheme="minorHAnsi" w:hAnsiTheme="minorHAnsi"/>
                <w:sz w:val="18"/>
                <w:szCs w:val="18"/>
              </w:rPr>
              <w:t>Compensation for charging below market rates, as a result of Ministerial direction, or in agreement entered into by the ACT Government.</w:t>
            </w:r>
          </w:p>
        </w:tc>
      </w:tr>
      <w:tr w:rsidR="005E71CD" w:rsidRPr="00833CE9" w:rsidTr="00F448CF">
        <w:trPr>
          <w:trHeight w:val="170"/>
        </w:trPr>
        <w:tc>
          <w:tcPr>
            <w:tcW w:w="9210" w:type="dxa"/>
            <w:gridSpan w:val="5"/>
            <w:tcBorders>
              <w:top w:val="nil"/>
              <w:left w:val="nil"/>
              <w:bottom w:val="nil"/>
              <w:right w:val="nil"/>
            </w:tcBorders>
            <w:shd w:val="clear" w:color="auto" w:fill="auto"/>
            <w:noWrap/>
          </w:tcPr>
          <w:p w:rsidR="005E71CD" w:rsidRPr="00833CE9" w:rsidRDefault="005E71CD" w:rsidP="003F0C5C">
            <w:pPr>
              <w:pStyle w:val="TableTextLeftBold-BP4"/>
            </w:pPr>
          </w:p>
        </w:tc>
      </w:tr>
      <w:tr w:rsidR="00EC79A7" w:rsidRPr="00833CE9" w:rsidTr="00F448CF">
        <w:trPr>
          <w:trHeight w:val="170"/>
        </w:trPr>
        <w:tc>
          <w:tcPr>
            <w:tcW w:w="9210" w:type="dxa"/>
            <w:gridSpan w:val="5"/>
            <w:tcBorders>
              <w:top w:val="nil"/>
              <w:left w:val="nil"/>
              <w:bottom w:val="nil"/>
              <w:right w:val="nil"/>
            </w:tcBorders>
            <w:shd w:val="clear" w:color="auto" w:fill="auto"/>
            <w:noWrap/>
          </w:tcPr>
          <w:p w:rsidR="00EC79A7" w:rsidRPr="00833CE9" w:rsidRDefault="00EC79A7" w:rsidP="003F0C5C">
            <w:pPr>
              <w:pStyle w:val="TableTextLeftBold-BP4"/>
            </w:pPr>
            <w:r w:rsidRPr="00833CE9">
              <w:t>Community Services Directorate</w:t>
            </w:r>
          </w:p>
        </w:tc>
      </w:tr>
      <w:tr w:rsidR="00833CE9" w:rsidRPr="00833CE9" w:rsidTr="00F448CF">
        <w:trPr>
          <w:trHeight w:val="170"/>
        </w:trPr>
        <w:tc>
          <w:tcPr>
            <w:tcW w:w="618" w:type="dxa"/>
            <w:tcBorders>
              <w:top w:val="nil"/>
              <w:left w:val="nil"/>
              <w:bottom w:val="nil"/>
              <w:right w:val="nil"/>
            </w:tcBorders>
            <w:shd w:val="clear" w:color="auto" w:fill="auto"/>
          </w:tcPr>
          <w:p w:rsidR="00833CE9" w:rsidRPr="00833CE9" w:rsidRDefault="00833CE9">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833CE9" w:rsidRPr="00833CE9" w:rsidRDefault="00833CE9">
            <w:pPr>
              <w:rPr>
                <w:rFonts w:asciiTheme="minorHAnsi" w:hAnsiTheme="minorHAnsi"/>
                <w:sz w:val="18"/>
                <w:szCs w:val="18"/>
              </w:rPr>
            </w:pPr>
            <w:r w:rsidRPr="00833CE9">
              <w:rPr>
                <w:rFonts w:asciiTheme="minorHAnsi" w:hAnsiTheme="minorHAnsi"/>
                <w:sz w:val="18"/>
                <w:szCs w:val="18"/>
              </w:rPr>
              <w:t>ACTEW</w:t>
            </w:r>
          </w:p>
        </w:tc>
        <w:tc>
          <w:tcPr>
            <w:tcW w:w="939" w:type="dxa"/>
            <w:tcBorders>
              <w:top w:val="nil"/>
              <w:left w:val="nil"/>
              <w:bottom w:val="nil"/>
              <w:right w:val="nil"/>
            </w:tcBorders>
            <w:shd w:val="clear" w:color="auto" w:fill="auto"/>
            <w:noWrap/>
          </w:tcPr>
          <w:p w:rsidR="00833CE9" w:rsidRDefault="00BC74F2" w:rsidP="003F0C5C">
            <w:pPr>
              <w:jc w:val="right"/>
              <w:rPr>
                <w:rFonts w:cs="Arial"/>
                <w:sz w:val="18"/>
                <w:szCs w:val="18"/>
              </w:rPr>
            </w:pPr>
            <w:r>
              <w:rPr>
                <w:rFonts w:cs="Arial"/>
                <w:sz w:val="18"/>
                <w:szCs w:val="18"/>
              </w:rPr>
              <w:t>1,6</w:t>
            </w:r>
            <w:r w:rsidR="001F0DC1">
              <w:rPr>
                <w:rFonts w:cs="Arial"/>
                <w:sz w:val="18"/>
                <w:szCs w:val="18"/>
              </w:rPr>
              <w:t>5</w:t>
            </w:r>
            <w:r>
              <w:rPr>
                <w:rFonts w:cs="Arial"/>
                <w:sz w:val="18"/>
                <w:szCs w:val="18"/>
              </w:rPr>
              <w:t>6</w:t>
            </w:r>
            <w:r w:rsidR="00833CE9">
              <w:rPr>
                <w:rFonts w:cs="Arial"/>
                <w:sz w:val="18"/>
                <w:szCs w:val="18"/>
              </w:rPr>
              <w:t xml:space="preserve"> </w:t>
            </w:r>
          </w:p>
        </w:tc>
        <w:tc>
          <w:tcPr>
            <w:tcW w:w="372" w:type="dxa"/>
            <w:tcBorders>
              <w:top w:val="nil"/>
              <w:left w:val="nil"/>
              <w:bottom w:val="nil"/>
              <w:right w:val="nil"/>
            </w:tcBorders>
            <w:shd w:val="clear" w:color="auto" w:fill="auto"/>
            <w:noWrap/>
          </w:tcPr>
          <w:p w:rsidR="00833CE9" w:rsidRPr="00833CE9" w:rsidRDefault="00833CE9">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833CE9" w:rsidRPr="00833CE9" w:rsidRDefault="00833CE9" w:rsidP="00441A11">
            <w:pPr>
              <w:jc w:val="both"/>
              <w:rPr>
                <w:rFonts w:asciiTheme="minorHAnsi" w:hAnsiTheme="minorHAnsi"/>
                <w:sz w:val="18"/>
                <w:szCs w:val="18"/>
              </w:rPr>
            </w:pPr>
            <w:r w:rsidRPr="00833CE9">
              <w:rPr>
                <w:rFonts w:asciiTheme="minorHAnsi" w:hAnsiTheme="minorHAnsi"/>
                <w:sz w:val="18"/>
                <w:szCs w:val="18"/>
              </w:rPr>
              <w:t>Half cost of water use for schools and churches.</w:t>
            </w:r>
          </w:p>
        </w:tc>
      </w:tr>
      <w:tr w:rsidR="00833CE9" w:rsidRPr="00833CE9" w:rsidTr="00F448CF">
        <w:trPr>
          <w:trHeight w:val="170"/>
        </w:trPr>
        <w:tc>
          <w:tcPr>
            <w:tcW w:w="618" w:type="dxa"/>
            <w:tcBorders>
              <w:top w:val="nil"/>
              <w:left w:val="nil"/>
              <w:bottom w:val="nil"/>
              <w:right w:val="nil"/>
            </w:tcBorders>
            <w:shd w:val="clear" w:color="auto" w:fill="auto"/>
          </w:tcPr>
          <w:p w:rsidR="00833CE9" w:rsidRPr="00833CE9" w:rsidRDefault="00833CE9">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833CE9" w:rsidRPr="00833CE9" w:rsidRDefault="00833CE9">
            <w:pPr>
              <w:rPr>
                <w:rFonts w:asciiTheme="minorHAnsi" w:hAnsiTheme="minorHAnsi"/>
                <w:sz w:val="18"/>
                <w:szCs w:val="18"/>
              </w:rPr>
            </w:pPr>
            <w:r w:rsidRPr="00833CE9">
              <w:rPr>
                <w:rFonts w:asciiTheme="minorHAnsi" w:hAnsiTheme="minorHAnsi"/>
                <w:sz w:val="18"/>
                <w:szCs w:val="18"/>
              </w:rPr>
              <w:t>ACTEW</w:t>
            </w:r>
          </w:p>
        </w:tc>
        <w:tc>
          <w:tcPr>
            <w:tcW w:w="939" w:type="dxa"/>
            <w:tcBorders>
              <w:top w:val="nil"/>
              <w:left w:val="nil"/>
              <w:bottom w:val="nil"/>
              <w:right w:val="nil"/>
            </w:tcBorders>
            <w:shd w:val="clear" w:color="auto" w:fill="auto"/>
            <w:noWrap/>
          </w:tcPr>
          <w:p w:rsidR="00833CE9" w:rsidRDefault="00BC74F2" w:rsidP="003F0C5C">
            <w:pPr>
              <w:jc w:val="right"/>
              <w:rPr>
                <w:rFonts w:cs="Arial"/>
                <w:sz w:val="18"/>
                <w:szCs w:val="18"/>
              </w:rPr>
            </w:pPr>
            <w:r>
              <w:rPr>
                <w:rFonts w:cs="Arial"/>
                <w:sz w:val="18"/>
                <w:szCs w:val="18"/>
              </w:rPr>
              <w:t>3,779</w:t>
            </w:r>
            <w:r w:rsidR="00833CE9">
              <w:rPr>
                <w:rFonts w:cs="Arial"/>
                <w:sz w:val="18"/>
                <w:szCs w:val="18"/>
              </w:rPr>
              <w:t xml:space="preserve"> </w:t>
            </w:r>
          </w:p>
        </w:tc>
        <w:tc>
          <w:tcPr>
            <w:tcW w:w="372" w:type="dxa"/>
            <w:tcBorders>
              <w:top w:val="nil"/>
              <w:left w:val="nil"/>
              <w:bottom w:val="nil"/>
              <w:right w:val="nil"/>
            </w:tcBorders>
            <w:shd w:val="clear" w:color="auto" w:fill="auto"/>
            <w:noWrap/>
          </w:tcPr>
          <w:p w:rsidR="00833CE9" w:rsidRPr="00833CE9" w:rsidRDefault="00833CE9">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833CE9" w:rsidRPr="00833CE9" w:rsidRDefault="00833CE9" w:rsidP="00441A11">
            <w:pPr>
              <w:jc w:val="both"/>
              <w:rPr>
                <w:rFonts w:asciiTheme="minorHAnsi" w:hAnsiTheme="minorHAnsi"/>
                <w:sz w:val="18"/>
                <w:szCs w:val="18"/>
              </w:rPr>
            </w:pPr>
            <w:r w:rsidRPr="00833CE9">
              <w:rPr>
                <w:rFonts w:asciiTheme="minorHAnsi" w:hAnsiTheme="minorHAnsi"/>
                <w:sz w:val="18"/>
                <w:szCs w:val="18"/>
              </w:rPr>
              <w:t>Half cost of sewerage services to churches, hospitals, benevolent, charitable institutions and schools</w:t>
            </w:r>
            <w:r w:rsidR="005E71CD">
              <w:rPr>
                <w:rFonts w:asciiTheme="minorHAnsi" w:hAnsiTheme="minorHAnsi"/>
                <w:sz w:val="18"/>
                <w:szCs w:val="18"/>
              </w:rPr>
              <w:t>.</w:t>
            </w:r>
          </w:p>
        </w:tc>
      </w:tr>
      <w:tr w:rsidR="00833CE9" w:rsidRPr="00833CE9" w:rsidTr="00F448CF">
        <w:trPr>
          <w:trHeight w:val="170"/>
        </w:trPr>
        <w:tc>
          <w:tcPr>
            <w:tcW w:w="618" w:type="dxa"/>
            <w:tcBorders>
              <w:top w:val="nil"/>
              <w:left w:val="nil"/>
              <w:bottom w:val="nil"/>
              <w:right w:val="nil"/>
            </w:tcBorders>
            <w:shd w:val="clear" w:color="auto" w:fill="auto"/>
          </w:tcPr>
          <w:p w:rsidR="00833CE9" w:rsidRPr="00833CE9" w:rsidRDefault="00833CE9">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833CE9" w:rsidRPr="00833CE9" w:rsidRDefault="00833CE9">
            <w:pPr>
              <w:rPr>
                <w:rFonts w:asciiTheme="minorHAnsi" w:hAnsiTheme="minorHAnsi"/>
                <w:sz w:val="18"/>
                <w:szCs w:val="18"/>
              </w:rPr>
            </w:pPr>
            <w:r w:rsidRPr="00833CE9">
              <w:rPr>
                <w:rFonts w:asciiTheme="minorHAnsi" w:hAnsiTheme="minorHAnsi"/>
                <w:sz w:val="18"/>
                <w:szCs w:val="18"/>
              </w:rPr>
              <w:t>ACTEW</w:t>
            </w:r>
          </w:p>
        </w:tc>
        <w:tc>
          <w:tcPr>
            <w:tcW w:w="939" w:type="dxa"/>
            <w:tcBorders>
              <w:top w:val="nil"/>
              <w:left w:val="nil"/>
              <w:bottom w:val="nil"/>
              <w:right w:val="nil"/>
            </w:tcBorders>
            <w:shd w:val="clear" w:color="auto" w:fill="auto"/>
            <w:noWrap/>
          </w:tcPr>
          <w:p w:rsidR="00833CE9" w:rsidRDefault="00BC74F2" w:rsidP="003F0C5C">
            <w:pPr>
              <w:jc w:val="right"/>
              <w:rPr>
                <w:rFonts w:cs="Arial"/>
                <w:sz w:val="18"/>
                <w:szCs w:val="18"/>
              </w:rPr>
            </w:pPr>
            <w:r>
              <w:rPr>
                <w:rFonts w:cs="Arial"/>
                <w:sz w:val="18"/>
                <w:szCs w:val="18"/>
              </w:rPr>
              <w:t>98</w:t>
            </w:r>
            <w:r w:rsidR="00833CE9">
              <w:rPr>
                <w:rFonts w:cs="Arial"/>
                <w:sz w:val="18"/>
                <w:szCs w:val="18"/>
              </w:rPr>
              <w:t xml:space="preserve"> </w:t>
            </w:r>
          </w:p>
        </w:tc>
        <w:tc>
          <w:tcPr>
            <w:tcW w:w="372" w:type="dxa"/>
            <w:tcBorders>
              <w:top w:val="nil"/>
              <w:left w:val="nil"/>
              <w:bottom w:val="nil"/>
              <w:right w:val="nil"/>
            </w:tcBorders>
            <w:shd w:val="clear" w:color="auto" w:fill="auto"/>
            <w:noWrap/>
          </w:tcPr>
          <w:p w:rsidR="00833CE9" w:rsidRPr="00833CE9" w:rsidRDefault="00833CE9">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833CE9" w:rsidRPr="00833CE9" w:rsidRDefault="00833CE9" w:rsidP="00441A11">
            <w:pPr>
              <w:jc w:val="both"/>
              <w:rPr>
                <w:rFonts w:asciiTheme="minorHAnsi" w:hAnsiTheme="minorHAnsi"/>
                <w:sz w:val="18"/>
                <w:szCs w:val="18"/>
              </w:rPr>
            </w:pPr>
            <w:r w:rsidRPr="00833CE9">
              <w:rPr>
                <w:rFonts w:asciiTheme="minorHAnsi" w:hAnsiTheme="minorHAnsi"/>
                <w:sz w:val="18"/>
                <w:szCs w:val="18"/>
              </w:rPr>
              <w:t xml:space="preserve">Compensation for water and sewerage rates for lease granted under the (repealed) </w:t>
            </w:r>
            <w:r w:rsidRPr="00833CE9">
              <w:rPr>
                <w:rFonts w:asciiTheme="minorHAnsi" w:hAnsiTheme="minorHAnsi"/>
                <w:i/>
                <w:iCs/>
                <w:sz w:val="18"/>
                <w:szCs w:val="18"/>
              </w:rPr>
              <w:t>Church Land Act 1924.</w:t>
            </w:r>
          </w:p>
        </w:tc>
      </w:tr>
      <w:tr w:rsidR="00833CE9" w:rsidRPr="00833CE9" w:rsidTr="00F448CF">
        <w:trPr>
          <w:trHeight w:val="170"/>
        </w:trPr>
        <w:tc>
          <w:tcPr>
            <w:tcW w:w="618" w:type="dxa"/>
            <w:tcBorders>
              <w:top w:val="nil"/>
              <w:left w:val="nil"/>
              <w:bottom w:val="nil"/>
              <w:right w:val="nil"/>
            </w:tcBorders>
            <w:shd w:val="clear" w:color="auto" w:fill="auto"/>
          </w:tcPr>
          <w:p w:rsidR="00833CE9" w:rsidRPr="00833CE9" w:rsidRDefault="00833CE9">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833CE9" w:rsidRPr="00833CE9" w:rsidRDefault="00833CE9">
            <w:pPr>
              <w:rPr>
                <w:rFonts w:asciiTheme="minorHAnsi" w:hAnsiTheme="minorHAnsi"/>
                <w:sz w:val="18"/>
                <w:szCs w:val="18"/>
              </w:rPr>
            </w:pPr>
            <w:r w:rsidRPr="00833CE9">
              <w:rPr>
                <w:rFonts w:asciiTheme="minorHAnsi" w:hAnsiTheme="minorHAnsi"/>
                <w:sz w:val="18"/>
                <w:szCs w:val="18"/>
              </w:rPr>
              <w:t>ACTEW</w:t>
            </w:r>
          </w:p>
        </w:tc>
        <w:tc>
          <w:tcPr>
            <w:tcW w:w="939" w:type="dxa"/>
            <w:tcBorders>
              <w:top w:val="nil"/>
              <w:left w:val="nil"/>
              <w:bottom w:val="nil"/>
              <w:right w:val="nil"/>
            </w:tcBorders>
            <w:shd w:val="clear" w:color="auto" w:fill="auto"/>
            <w:noWrap/>
          </w:tcPr>
          <w:p w:rsidR="00833CE9" w:rsidRDefault="00BC74F2" w:rsidP="003F0C5C">
            <w:pPr>
              <w:jc w:val="right"/>
              <w:rPr>
                <w:rFonts w:cs="Arial"/>
                <w:sz w:val="18"/>
                <w:szCs w:val="18"/>
              </w:rPr>
            </w:pPr>
            <w:r>
              <w:rPr>
                <w:rFonts w:cs="Arial"/>
                <w:sz w:val="18"/>
                <w:szCs w:val="18"/>
              </w:rPr>
              <w:t>274</w:t>
            </w:r>
            <w:r w:rsidR="00833CE9">
              <w:rPr>
                <w:rFonts w:cs="Arial"/>
                <w:sz w:val="18"/>
                <w:szCs w:val="18"/>
              </w:rPr>
              <w:t xml:space="preserve"> </w:t>
            </w:r>
          </w:p>
        </w:tc>
        <w:tc>
          <w:tcPr>
            <w:tcW w:w="372" w:type="dxa"/>
            <w:tcBorders>
              <w:top w:val="nil"/>
              <w:left w:val="nil"/>
              <w:bottom w:val="nil"/>
              <w:right w:val="nil"/>
            </w:tcBorders>
            <w:shd w:val="clear" w:color="auto" w:fill="auto"/>
            <w:noWrap/>
          </w:tcPr>
          <w:p w:rsidR="00833CE9" w:rsidRPr="00833CE9" w:rsidRDefault="00833CE9">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833CE9" w:rsidRPr="00833CE9" w:rsidRDefault="00833CE9" w:rsidP="00441A11">
            <w:pPr>
              <w:jc w:val="both"/>
              <w:rPr>
                <w:rFonts w:asciiTheme="minorHAnsi" w:hAnsiTheme="minorHAnsi"/>
                <w:sz w:val="18"/>
                <w:szCs w:val="18"/>
              </w:rPr>
            </w:pPr>
            <w:r w:rsidRPr="00833CE9">
              <w:rPr>
                <w:rFonts w:asciiTheme="minorHAnsi" w:hAnsiTheme="minorHAnsi"/>
                <w:sz w:val="18"/>
                <w:szCs w:val="18"/>
              </w:rPr>
              <w:t>Administration cost for rebates.</w:t>
            </w:r>
          </w:p>
        </w:tc>
      </w:tr>
      <w:tr w:rsidR="00833CE9" w:rsidRPr="00833CE9" w:rsidTr="00F448CF">
        <w:trPr>
          <w:trHeight w:val="170"/>
        </w:trPr>
        <w:tc>
          <w:tcPr>
            <w:tcW w:w="618" w:type="dxa"/>
            <w:tcBorders>
              <w:top w:val="nil"/>
              <w:left w:val="nil"/>
              <w:bottom w:val="nil"/>
              <w:right w:val="nil"/>
            </w:tcBorders>
            <w:shd w:val="clear" w:color="auto" w:fill="auto"/>
          </w:tcPr>
          <w:p w:rsidR="00833CE9" w:rsidRPr="00833CE9" w:rsidRDefault="00833CE9">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833CE9" w:rsidRPr="00833CE9" w:rsidRDefault="00833CE9">
            <w:pPr>
              <w:rPr>
                <w:rFonts w:asciiTheme="minorHAnsi" w:hAnsiTheme="minorHAnsi"/>
                <w:sz w:val="18"/>
                <w:szCs w:val="18"/>
              </w:rPr>
            </w:pPr>
            <w:r w:rsidRPr="00833CE9">
              <w:rPr>
                <w:rFonts w:asciiTheme="minorHAnsi" w:hAnsiTheme="minorHAnsi"/>
                <w:sz w:val="18"/>
                <w:szCs w:val="18"/>
              </w:rPr>
              <w:t>ACTEW</w:t>
            </w:r>
          </w:p>
        </w:tc>
        <w:tc>
          <w:tcPr>
            <w:tcW w:w="939" w:type="dxa"/>
            <w:tcBorders>
              <w:top w:val="nil"/>
              <w:left w:val="nil"/>
              <w:bottom w:val="nil"/>
              <w:right w:val="nil"/>
            </w:tcBorders>
            <w:shd w:val="clear" w:color="auto" w:fill="auto"/>
            <w:noWrap/>
          </w:tcPr>
          <w:p w:rsidR="00833CE9" w:rsidRDefault="00BC74F2" w:rsidP="003F0C5C">
            <w:pPr>
              <w:jc w:val="right"/>
              <w:rPr>
                <w:rFonts w:cs="Arial"/>
                <w:sz w:val="18"/>
                <w:szCs w:val="18"/>
              </w:rPr>
            </w:pPr>
            <w:r>
              <w:rPr>
                <w:rFonts w:cs="Arial"/>
                <w:sz w:val="18"/>
                <w:szCs w:val="18"/>
              </w:rPr>
              <w:t>6,965</w:t>
            </w:r>
            <w:r w:rsidR="00833CE9">
              <w:rPr>
                <w:rFonts w:cs="Arial"/>
                <w:sz w:val="18"/>
                <w:szCs w:val="18"/>
              </w:rPr>
              <w:t xml:space="preserve"> </w:t>
            </w:r>
          </w:p>
        </w:tc>
        <w:tc>
          <w:tcPr>
            <w:tcW w:w="372" w:type="dxa"/>
            <w:tcBorders>
              <w:top w:val="nil"/>
              <w:left w:val="nil"/>
              <w:bottom w:val="nil"/>
              <w:right w:val="nil"/>
            </w:tcBorders>
            <w:shd w:val="clear" w:color="auto" w:fill="auto"/>
            <w:noWrap/>
          </w:tcPr>
          <w:p w:rsidR="00833CE9" w:rsidRPr="00833CE9" w:rsidRDefault="00833CE9">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833CE9" w:rsidRPr="00833CE9" w:rsidRDefault="00833CE9" w:rsidP="00441A11">
            <w:pPr>
              <w:jc w:val="both"/>
              <w:rPr>
                <w:rFonts w:asciiTheme="minorHAnsi" w:hAnsiTheme="minorHAnsi"/>
                <w:sz w:val="18"/>
                <w:szCs w:val="18"/>
              </w:rPr>
            </w:pPr>
            <w:r w:rsidRPr="00833CE9">
              <w:rPr>
                <w:rFonts w:asciiTheme="minorHAnsi" w:hAnsiTheme="minorHAnsi"/>
                <w:sz w:val="18"/>
                <w:szCs w:val="18"/>
              </w:rPr>
              <w:t>Rebates on water and sewerage charges to pensioners.</w:t>
            </w:r>
          </w:p>
        </w:tc>
      </w:tr>
      <w:tr w:rsidR="00833CE9" w:rsidRPr="00833CE9" w:rsidTr="00F448CF">
        <w:trPr>
          <w:trHeight w:val="170"/>
        </w:trPr>
        <w:tc>
          <w:tcPr>
            <w:tcW w:w="618" w:type="dxa"/>
            <w:tcBorders>
              <w:top w:val="nil"/>
              <w:left w:val="nil"/>
              <w:bottom w:val="nil"/>
              <w:right w:val="nil"/>
            </w:tcBorders>
            <w:shd w:val="clear" w:color="auto" w:fill="auto"/>
          </w:tcPr>
          <w:p w:rsidR="00833CE9" w:rsidRPr="00833CE9" w:rsidRDefault="00833CE9">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833CE9" w:rsidRPr="00833CE9" w:rsidRDefault="00833CE9">
            <w:pPr>
              <w:rPr>
                <w:rFonts w:asciiTheme="minorHAnsi" w:hAnsiTheme="minorHAnsi"/>
                <w:sz w:val="18"/>
                <w:szCs w:val="18"/>
              </w:rPr>
            </w:pPr>
            <w:r w:rsidRPr="00833CE9">
              <w:rPr>
                <w:rFonts w:asciiTheme="minorHAnsi" w:hAnsiTheme="minorHAnsi"/>
                <w:sz w:val="18"/>
                <w:szCs w:val="18"/>
              </w:rPr>
              <w:t>ActewAGL &amp; TRUenergy</w:t>
            </w:r>
          </w:p>
        </w:tc>
        <w:tc>
          <w:tcPr>
            <w:tcW w:w="939" w:type="dxa"/>
            <w:tcBorders>
              <w:top w:val="nil"/>
              <w:left w:val="nil"/>
              <w:bottom w:val="nil"/>
              <w:right w:val="nil"/>
            </w:tcBorders>
            <w:shd w:val="clear" w:color="auto" w:fill="auto"/>
            <w:noWrap/>
          </w:tcPr>
          <w:p w:rsidR="00833CE9" w:rsidRDefault="00BC74F2" w:rsidP="003F0C5C">
            <w:pPr>
              <w:jc w:val="right"/>
              <w:rPr>
                <w:rFonts w:cs="Arial"/>
                <w:sz w:val="18"/>
                <w:szCs w:val="18"/>
              </w:rPr>
            </w:pPr>
            <w:r>
              <w:rPr>
                <w:rFonts w:cs="Arial"/>
                <w:sz w:val="18"/>
                <w:szCs w:val="18"/>
              </w:rPr>
              <w:t>8,5</w:t>
            </w:r>
            <w:r w:rsidR="001F0DC1">
              <w:rPr>
                <w:rFonts w:cs="Arial"/>
                <w:sz w:val="18"/>
                <w:szCs w:val="18"/>
              </w:rPr>
              <w:t>8</w:t>
            </w:r>
            <w:r>
              <w:rPr>
                <w:rFonts w:cs="Arial"/>
                <w:sz w:val="18"/>
                <w:szCs w:val="18"/>
              </w:rPr>
              <w:t>1</w:t>
            </w:r>
            <w:r w:rsidR="00833CE9">
              <w:rPr>
                <w:rFonts w:cs="Arial"/>
                <w:sz w:val="18"/>
                <w:szCs w:val="18"/>
              </w:rPr>
              <w:t xml:space="preserve"> </w:t>
            </w:r>
          </w:p>
        </w:tc>
        <w:tc>
          <w:tcPr>
            <w:tcW w:w="372" w:type="dxa"/>
            <w:tcBorders>
              <w:top w:val="nil"/>
              <w:left w:val="nil"/>
              <w:bottom w:val="nil"/>
              <w:right w:val="nil"/>
            </w:tcBorders>
            <w:shd w:val="clear" w:color="auto" w:fill="auto"/>
            <w:noWrap/>
          </w:tcPr>
          <w:p w:rsidR="00833CE9" w:rsidRPr="00833CE9" w:rsidRDefault="00833CE9">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833CE9" w:rsidRPr="00833CE9" w:rsidRDefault="00833CE9" w:rsidP="00441A11">
            <w:pPr>
              <w:jc w:val="both"/>
              <w:rPr>
                <w:rFonts w:asciiTheme="minorHAnsi" w:hAnsiTheme="minorHAnsi"/>
                <w:sz w:val="18"/>
                <w:szCs w:val="18"/>
              </w:rPr>
            </w:pPr>
            <w:r w:rsidRPr="00833CE9">
              <w:rPr>
                <w:rFonts w:asciiTheme="minorHAnsi" w:hAnsiTheme="minorHAnsi"/>
                <w:sz w:val="18"/>
                <w:szCs w:val="18"/>
              </w:rPr>
              <w:t>Rebates on electricity bills to pensioners.</w:t>
            </w:r>
          </w:p>
        </w:tc>
      </w:tr>
      <w:tr w:rsidR="00833CE9" w:rsidRPr="00833CE9" w:rsidTr="00F448CF">
        <w:trPr>
          <w:trHeight w:val="170"/>
        </w:trPr>
        <w:tc>
          <w:tcPr>
            <w:tcW w:w="618" w:type="dxa"/>
            <w:tcBorders>
              <w:top w:val="nil"/>
              <w:left w:val="nil"/>
              <w:bottom w:val="nil"/>
              <w:right w:val="nil"/>
            </w:tcBorders>
            <w:shd w:val="clear" w:color="auto" w:fill="auto"/>
          </w:tcPr>
          <w:p w:rsidR="00833CE9" w:rsidRPr="00833CE9" w:rsidRDefault="00833CE9">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833CE9" w:rsidRPr="00833CE9" w:rsidRDefault="00833CE9">
            <w:pPr>
              <w:rPr>
                <w:rFonts w:asciiTheme="minorHAnsi" w:hAnsiTheme="minorHAnsi"/>
                <w:sz w:val="18"/>
                <w:szCs w:val="18"/>
              </w:rPr>
            </w:pPr>
            <w:r w:rsidRPr="00833CE9">
              <w:rPr>
                <w:rFonts w:asciiTheme="minorHAnsi" w:hAnsiTheme="minorHAnsi"/>
                <w:sz w:val="18"/>
                <w:szCs w:val="18"/>
              </w:rPr>
              <w:t>ACTEW/ActewAGL</w:t>
            </w:r>
          </w:p>
        </w:tc>
        <w:tc>
          <w:tcPr>
            <w:tcW w:w="939" w:type="dxa"/>
            <w:tcBorders>
              <w:top w:val="nil"/>
              <w:left w:val="nil"/>
              <w:bottom w:val="nil"/>
              <w:right w:val="nil"/>
            </w:tcBorders>
            <w:shd w:val="clear" w:color="auto" w:fill="auto"/>
            <w:noWrap/>
          </w:tcPr>
          <w:p w:rsidR="00833CE9" w:rsidRDefault="00BC74F2" w:rsidP="003F0C5C">
            <w:pPr>
              <w:jc w:val="right"/>
              <w:rPr>
                <w:rFonts w:cs="Arial"/>
                <w:sz w:val="18"/>
                <w:szCs w:val="18"/>
              </w:rPr>
            </w:pPr>
            <w:r>
              <w:rPr>
                <w:rFonts w:cs="Arial"/>
                <w:sz w:val="18"/>
                <w:szCs w:val="18"/>
              </w:rPr>
              <w:t>58</w:t>
            </w:r>
            <w:r w:rsidR="00833CE9">
              <w:rPr>
                <w:rFonts w:cs="Arial"/>
                <w:sz w:val="18"/>
                <w:szCs w:val="18"/>
              </w:rPr>
              <w:t xml:space="preserve"> </w:t>
            </w:r>
          </w:p>
        </w:tc>
        <w:tc>
          <w:tcPr>
            <w:tcW w:w="372" w:type="dxa"/>
            <w:tcBorders>
              <w:top w:val="nil"/>
              <w:left w:val="nil"/>
              <w:bottom w:val="nil"/>
              <w:right w:val="nil"/>
            </w:tcBorders>
            <w:shd w:val="clear" w:color="auto" w:fill="auto"/>
            <w:noWrap/>
          </w:tcPr>
          <w:p w:rsidR="00833CE9" w:rsidRPr="00833CE9" w:rsidRDefault="00833CE9">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833CE9" w:rsidRPr="00833CE9" w:rsidRDefault="00833CE9" w:rsidP="00441A11">
            <w:pPr>
              <w:jc w:val="both"/>
              <w:rPr>
                <w:rFonts w:asciiTheme="minorHAnsi" w:hAnsiTheme="minorHAnsi"/>
                <w:sz w:val="18"/>
                <w:szCs w:val="18"/>
              </w:rPr>
            </w:pPr>
            <w:r w:rsidRPr="00833CE9">
              <w:rPr>
                <w:rFonts w:asciiTheme="minorHAnsi" w:hAnsiTheme="minorHAnsi"/>
                <w:sz w:val="18"/>
                <w:szCs w:val="18"/>
              </w:rPr>
              <w:t>Rebates on utility bills.</w:t>
            </w:r>
          </w:p>
        </w:tc>
      </w:tr>
      <w:tr w:rsidR="00833CE9" w:rsidRPr="00833CE9" w:rsidTr="00F448CF">
        <w:trPr>
          <w:trHeight w:val="170"/>
        </w:trPr>
        <w:tc>
          <w:tcPr>
            <w:tcW w:w="618" w:type="dxa"/>
            <w:tcBorders>
              <w:top w:val="nil"/>
              <w:left w:val="nil"/>
              <w:bottom w:val="nil"/>
              <w:right w:val="nil"/>
            </w:tcBorders>
            <w:shd w:val="clear" w:color="auto" w:fill="auto"/>
          </w:tcPr>
          <w:p w:rsidR="00833CE9" w:rsidRPr="00833CE9" w:rsidRDefault="00833CE9">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833CE9" w:rsidRPr="00833CE9" w:rsidRDefault="00833CE9">
            <w:pPr>
              <w:rPr>
                <w:rFonts w:asciiTheme="minorHAnsi" w:hAnsiTheme="minorHAnsi"/>
                <w:sz w:val="18"/>
                <w:szCs w:val="18"/>
              </w:rPr>
            </w:pPr>
            <w:r w:rsidRPr="00833CE9">
              <w:rPr>
                <w:rFonts w:asciiTheme="minorHAnsi" w:hAnsiTheme="minorHAnsi"/>
                <w:sz w:val="18"/>
                <w:szCs w:val="18"/>
              </w:rPr>
              <w:t>ACTEW</w:t>
            </w:r>
          </w:p>
        </w:tc>
        <w:tc>
          <w:tcPr>
            <w:tcW w:w="939" w:type="dxa"/>
            <w:tcBorders>
              <w:top w:val="nil"/>
              <w:left w:val="nil"/>
              <w:bottom w:val="nil"/>
              <w:right w:val="nil"/>
            </w:tcBorders>
            <w:shd w:val="clear" w:color="auto" w:fill="auto"/>
            <w:noWrap/>
          </w:tcPr>
          <w:p w:rsidR="002849E7" w:rsidRDefault="00BC74F2" w:rsidP="003F0C5C">
            <w:pPr>
              <w:jc w:val="right"/>
              <w:rPr>
                <w:rFonts w:cs="Arial"/>
                <w:sz w:val="18"/>
                <w:szCs w:val="18"/>
              </w:rPr>
            </w:pPr>
            <w:r>
              <w:rPr>
                <w:rFonts w:cs="Arial"/>
                <w:sz w:val="18"/>
                <w:szCs w:val="18"/>
              </w:rPr>
              <w:t>157</w:t>
            </w:r>
          </w:p>
          <w:p w:rsidR="00833CE9" w:rsidRDefault="00833CE9" w:rsidP="003F0C5C">
            <w:pPr>
              <w:jc w:val="right"/>
              <w:rPr>
                <w:rFonts w:cs="Arial"/>
                <w:sz w:val="18"/>
                <w:szCs w:val="18"/>
              </w:rPr>
            </w:pPr>
            <w:r>
              <w:rPr>
                <w:rFonts w:cs="Arial"/>
                <w:sz w:val="18"/>
                <w:szCs w:val="18"/>
              </w:rPr>
              <w:t xml:space="preserve"> </w:t>
            </w:r>
          </w:p>
        </w:tc>
        <w:tc>
          <w:tcPr>
            <w:tcW w:w="372" w:type="dxa"/>
            <w:tcBorders>
              <w:top w:val="nil"/>
              <w:left w:val="nil"/>
              <w:bottom w:val="nil"/>
              <w:right w:val="nil"/>
            </w:tcBorders>
            <w:shd w:val="clear" w:color="auto" w:fill="auto"/>
            <w:noWrap/>
          </w:tcPr>
          <w:p w:rsidR="00833CE9" w:rsidRPr="00833CE9" w:rsidRDefault="00833CE9">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833CE9" w:rsidRPr="00833CE9" w:rsidRDefault="00833CE9" w:rsidP="00441A11">
            <w:pPr>
              <w:jc w:val="both"/>
              <w:rPr>
                <w:rFonts w:asciiTheme="minorHAnsi" w:hAnsiTheme="minorHAnsi"/>
                <w:sz w:val="18"/>
                <w:szCs w:val="18"/>
              </w:rPr>
            </w:pPr>
            <w:r w:rsidRPr="00833CE9">
              <w:rPr>
                <w:rFonts w:asciiTheme="minorHAnsi" w:hAnsiTheme="minorHAnsi"/>
                <w:sz w:val="18"/>
                <w:szCs w:val="18"/>
              </w:rPr>
              <w:t>Rebates on electricity suppl</w:t>
            </w:r>
            <w:r w:rsidR="00601360">
              <w:rPr>
                <w:rFonts w:asciiTheme="minorHAnsi" w:hAnsiTheme="minorHAnsi"/>
                <w:sz w:val="18"/>
                <w:szCs w:val="18"/>
              </w:rPr>
              <w:t xml:space="preserve">y to properties operated by non </w:t>
            </w:r>
            <w:r w:rsidRPr="00833CE9">
              <w:rPr>
                <w:rFonts w:asciiTheme="minorHAnsi" w:hAnsiTheme="minorHAnsi"/>
                <w:sz w:val="18"/>
                <w:szCs w:val="18"/>
              </w:rPr>
              <w:t>profit organisations</w:t>
            </w:r>
            <w:r w:rsidR="008B4586">
              <w:rPr>
                <w:rFonts w:asciiTheme="minorHAnsi" w:hAnsiTheme="minorHAnsi"/>
                <w:sz w:val="18"/>
                <w:szCs w:val="18"/>
              </w:rPr>
              <w:t>.</w:t>
            </w:r>
          </w:p>
        </w:tc>
      </w:tr>
      <w:tr w:rsidR="00BC74F2" w:rsidRPr="00833CE9" w:rsidTr="00F448CF">
        <w:trPr>
          <w:trHeight w:val="170"/>
        </w:trPr>
        <w:tc>
          <w:tcPr>
            <w:tcW w:w="618" w:type="dxa"/>
            <w:tcBorders>
              <w:top w:val="nil"/>
              <w:left w:val="nil"/>
              <w:bottom w:val="nil"/>
              <w:right w:val="nil"/>
            </w:tcBorders>
            <w:shd w:val="clear" w:color="auto" w:fill="auto"/>
          </w:tcPr>
          <w:p w:rsidR="00BC74F2" w:rsidRPr="00833CE9" w:rsidRDefault="00BC74F2">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BC74F2" w:rsidRPr="00833CE9" w:rsidRDefault="00601360" w:rsidP="00601360">
            <w:pPr>
              <w:rPr>
                <w:rFonts w:asciiTheme="minorHAnsi" w:hAnsiTheme="minorHAnsi"/>
                <w:sz w:val="18"/>
                <w:szCs w:val="18"/>
              </w:rPr>
            </w:pPr>
            <w:r>
              <w:rPr>
                <w:rFonts w:asciiTheme="minorHAnsi" w:hAnsiTheme="minorHAnsi"/>
                <w:sz w:val="18"/>
                <w:szCs w:val="18"/>
              </w:rPr>
              <w:t>Several T</w:t>
            </w:r>
            <w:r w:rsidR="00BC74F2">
              <w:rPr>
                <w:rFonts w:asciiTheme="minorHAnsi" w:hAnsiTheme="minorHAnsi"/>
                <w:sz w:val="18"/>
                <w:szCs w:val="18"/>
              </w:rPr>
              <w:t xml:space="preserve">ransport </w:t>
            </w:r>
            <w:r>
              <w:rPr>
                <w:rFonts w:asciiTheme="minorHAnsi" w:hAnsiTheme="minorHAnsi"/>
                <w:sz w:val="18"/>
                <w:szCs w:val="18"/>
              </w:rPr>
              <w:t>P</w:t>
            </w:r>
            <w:r w:rsidR="00BC74F2">
              <w:rPr>
                <w:rFonts w:asciiTheme="minorHAnsi" w:hAnsiTheme="minorHAnsi"/>
                <w:sz w:val="18"/>
                <w:szCs w:val="18"/>
              </w:rPr>
              <w:t>roviders</w:t>
            </w:r>
          </w:p>
        </w:tc>
        <w:tc>
          <w:tcPr>
            <w:tcW w:w="939" w:type="dxa"/>
            <w:tcBorders>
              <w:top w:val="nil"/>
              <w:left w:val="nil"/>
              <w:bottom w:val="nil"/>
              <w:right w:val="nil"/>
            </w:tcBorders>
            <w:shd w:val="clear" w:color="auto" w:fill="auto"/>
            <w:noWrap/>
          </w:tcPr>
          <w:p w:rsidR="00BC74F2" w:rsidRPr="00BC74F2" w:rsidRDefault="00BC74F2" w:rsidP="003F0C5C">
            <w:pPr>
              <w:jc w:val="right"/>
              <w:rPr>
                <w:rFonts w:asciiTheme="minorHAnsi" w:hAnsiTheme="minorHAnsi"/>
                <w:sz w:val="18"/>
                <w:szCs w:val="18"/>
              </w:rPr>
            </w:pPr>
            <w:r w:rsidRPr="00BC74F2">
              <w:rPr>
                <w:rFonts w:asciiTheme="minorHAnsi" w:hAnsiTheme="minorHAnsi"/>
                <w:sz w:val="18"/>
                <w:szCs w:val="18"/>
              </w:rPr>
              <w:t>1,620</w:t>
            </w:r>
          </w:p>
        </w:tc>
        <w:tc>
          <w:tcPr>
            <w:tcW w:w="372" w:type="dxa"/>
            <w:tcBorders>
              <w:top w:val="nil"/>
              <w:left w:val="nil"/>
              <w:bottom w:val="nil"/>
              <w:right w:val="nil"/>
            </w:tcBorders>
            <w:shd w:val="clear" w:color="auto" w:fill="auto"/>
            <w:noWrap/>
          </w:tcPr>
          <w:p w:rsidR="00BC74F2" w:rsidRPr="00833CE9" w:rsidRDefault="00BC74F2" w:rsidP="00BC74F2">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BC74F2" w:rsidRPr="00833CE9" w:rsidRDefault="00BC74F2" w:rsidP="00BC74F2">
            <w:pPr>
              <w:rPr>
                <w:rFonts w:asciiTheme="minorHAnsi" w:hAnsiTheme="minorHAnsi"/>
                <w:sz w:val="18"/>
                <w:szCs w:val="18"/>
              </w:rPr>
            </w:pPr>
            <w:r w:rsidRPr="00BC74F2">
              <w:rPr>
                <w:rFonts w:asciiTheme="minorHAnsi" w:hAnsiTheme="minorHAnsi"/>
                <w:sz w:val="18"/>
                <w:szCs w:val="18"/>
              </w:rPr>
              <w:t>Part subsidy for taxi fares for eligible persons with disability.</w:t>
            </w:r>
          </w:p>
        </w:tc>
      </w:tr>
      <w:tr w:rsidR="00BC74F2" w:rsidRPr="00833CE9" w:rsidTr="00F448CF">
        <w:trPr>
          <w:trHeight w:val="170"/>
        </w:trPr>
        <w:tc>
          <w:tcPr>
            <w:tcW w:w="618" w:type="dxa"/>
            <w:tcBorders>
              <w:top w:val="nil"/>
              <w:left w:val="nil"/>
              <w:bottom w:val="nil"/>
              <w:right w:val="nil"/>
            </w:tcBorders>
            <w:shd w:val="clear" w:color="auto" w:fill="auto"/>
          </w:tcPr>
          <w:p w:rsidR="00BC74F2" w:rsidRPr="00833CE9" w:rsidRDefault="00BC74F2">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BC74F2" w:rsidRDefault="00BC74F2" w:rsidP="00BC74F2">
            <w:pPr>
              <w:rPr>
                <w:rFonts w:asciiTheme="minorHAnsi" w:hAnsiTheme="minorHAnsi"/>
                <w:sz w:val="18"/>
                <w:szCs w:val="18"/>
              </w:rPr>
            </w:pPr>
            <w:r w:rsidRPr="00BC74F2">
              <w:rPr>
                <w:rFonts w:asciiTheme="minorHAnsi" w:hAnsiTheme="minorHAnsi"/>
                <w:sz w:val="18"/>
                <w:szCs w:val="18"/>
              </w:rPr>
              <w:t>Several Funeral Directors</w:t>
            </w:r>
          </w:p>
        </w:tc>
        <w:tc>
          <w:tcPr>
            <w:tcW w:w="939" w:type="dxa"/>
            <w:tcBorders>
              <w:top w:val="nil"/>
              <w:left w:val="nil"/>
              <w:bottom w:val="nil"/>
              <w:right w:val="nil"/>
            </w:tcBorders>
            <w:shd w:val="clear" w:color="auto" w:fill="auto"/>
            <w:noWrap/>
          </w:tcPr>
          <w:p w:rsidR="00BC74F2" w:rsidRPr="00BC74F2" w:rsidRDefault="00BC74F2" w:rsidP="003F0C5C">
            <w:pPr>
              <w:jc w:val="right"/>
              <w:rPr>
                <w:rFonts w:asciiTheme="minorHAnsi" w:hAnsiTheme="minorHAnsi"/>
                <w:sz w:val="18"/>
                <w:szCs w:val="18"/>
              </w:rPr>
            </w:pPr>
            <w:r w:rsidRPr="00BC74F2">
              <w:rPr>
                <w:rFonts w:asciiTheme="minorHAnsi" w:hAnsiTheme="minorHAnsi"/>
                <w:sz w:val="18"/>
                <w:szCs w:val="18"/>
              </w:rPr>
              <w:t>50</w:t>
            </w:r>
          </w:p>
        </w:tc>
        <w:tc>
          <w:tcPr>
            <w:tcW w:w="372" w:type="dxa"/>
            <w:tcBorders>
              <w:top w:val="nil"/>
              <w:left w:val="nil"/>
              <w:bottom w:val="nil"/>
              <w:right w:val="nil"/>
            </w:tcBorders>
            <w:shd w:val="clear" w:color="auto" w:fill="auto"/>
            <w:noWrap/>
          </w:tcPr>
          <w:p w:rsidR="00BC74F2" w:rsidRPr="00833CE9" w:rsidRDefault="00BC74F2" w:rsidP="00BC74F2">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601360" w:rsidRPr="00BC74F2" w:rsidRDefault="00BC74F2" w:rsidP="00BC74F2">
            <w:pPr>
              <w:rPr>
                <w:rFonts w:asciiTheme="minorHAnsi" w:hAnsiTheme="minorHAnsi"/>
                <w:sz w:val="18"/>
                <w:szCs w:val="18"/>
              </w:rPr>
            </w:pPr>
            <w:r w:rsidRPr="00BC74F2">
              <w:rPr>
                <w:rFonts w:asciiTheme="minorHAnsi" w:hAnsiTheme="minorHAnsi"/>
                <w:sz w:val="18"/>
                <w:szCs w:val="18"/>
              </w:rPr>
              <w:t>Funerals Assistance Program</w:t>
            </w:r>
            <w:r w:rsidR="008B4586">
              <w:rPr>
                <w:rFonts w:asciiTheme="minorHAnsi" w:hAnsiTheme="minorHAnsi"/>
                <w:sz w:val="18"/>
                <w:szCs w:val="18"/>
              </w:rPr>
              <w:t>.</w:t>
            </w:r>
          </w:p>
        </w:tc>
      </w:tr>
      <w:tr w:rsidR="005E71CD" w:rsidRPr="00833CE9" w:rsidTr="00F448CF">
        <w:trPr>
          <w:trHeight w:val="170"/>
        </w:trPr>
        <w:tc>
          <w:tcPr>
            <w:tcW w:w="2921" w:type="dxa"/>
            <w:gridSpan w:val="2"/>
            <w:tcBorders>
              <w:top w:val="nil"/>
              <w:left w:val="nil"/>
              <w:bottom w:val="nil"/>
              <w:right w:val="nil"/>
            </w:tcBorders>
            <w:shd w:val="clear" w:color="auto" w:fill="auto"/>
          </w:tcPr>
          <w:p w:rsidR="005E71CD" w:rsidRPr="003F0C5C" w:rsidRDefault="005E71CD" w:rsidP="003F0C5C">
            <w:pPr>
              <w:pStyle w:val="TableTextLeftBold-BP4"/>
            </w:pPr>
          </w:p>
        </w:tc>
        <w:tc>
          <w:tcPr>
            <w:tcW w:w="939" w:type="dxa"/>
            <w:tcBorders>
              <w:top w:val="nil"/>
              <w:left w:val="nil"/>
              <w:bottom w:val="nil"/>
              <w:right w:val="nil"/>
            </w:tcBorders>
            <w:shd w:val="clear" w:color="auto" w:fill="auto"/>
            <w:noWrap/>
          </w:tcPr>
          <w:p w:rsidR="005E71CD" w:rsidRPr="00833CE9" w:rsidRDefault="005E71CD" w:rsidP="003F0C5C">
            <w:pPr>
              <w:jc w:val="right"/>
              <w:rPr>
                <w:rFonts w:asciiTheme="minorHAnsi" w:hAnsiTheme="minorHAnsi"/>
                <w:b/>
                <w:bCs/>
                <w:sz w:val="18"/>
                <w:szCs w:val="18"/>
              </w:rPr>
            </w:pPr>
          </w:p>
        </w:tc>
        <w:tc>
          <w:tcPr>
            <w:tcW w:w="372" w:type="dxa"/>
            <w:tcBorders>
              <w:top w:val="nil"/>
              <w:left w:val="nil"/>
              <w:bottom w:val="nil"/>
              <w:right w:val="nil"/>
            </w:tcBorders>
            <w:shd w:val="clear" w:color="auto" w:fill="auto"/>
            <w:noWrap/>
          </w:tcPr>
          <w:p w:rsidR="005E71CD" w:rsidRPr="00833CE9" w:rsidRDefault="005E71CD">
            <w:pPr>
              <w:jc w:val="right"/>
              <w:rPr>
                <w:rFonts w:asciiTheme="minorHAnsi" w:hAnsiTheme="minorHAnsi"/>
                <w:sz w:val="18"/>
                <w:szCs w:val="18"/>
              </w:rPr>
            </w:pPr>
          </w:p>
        </w:tc>
        <w:tc>
          <w:tcPr>
            <w:tcW w:w="4978" w:type="dxa"/>
            <w:tcBorders>
              <w:top w:val="nil"/>
              <w:left w:val="nil"/>
              <w:bottom w:val="nil"/>
              <w:right w:val="nil"/>
            </w:tcBorders>
            <w:shd w:val="clear" w:color="auto" w:fill="auto"/>
            <w:noWrap/>
          </w:tcPr>
          <w:p w:rsidR="005E71CD" w:rsidRPr="00833CE9" w:rsidRDefault="005E71CD" w:rsidP="00441A11">
            <w:pPr>
              <w:jc w:val="both"/>
              <w:rPr>
                <w:rFonts w:asciiTheme="minorHAnsi" w:hAnsiTheme="minorHAnsi"/>
                <w:b/>
                <w:bCs/>
                <w:sz w:val="18"/>
                <w:szCs w:val="18"/>
              </w:rPr>
            </w:pPr>
          </w:p>
        </w:tc>
      </w:tr>
      <w:tr w:rsidR="00EC79A7" w:rsidRPr="00833CE9" w:rsidTr="00F448CF">
        <w:trPr>
          <w:trHeight w:val="170"/>
        </w:trPr>
        <w:tc>
          <w:tcPr>
            <w:tcW w:w="2921" w:type="dxa"/>
            <w:gridSpan w:val="2"/>
            <w:tcBorders>
              <w:top w:val="nil"/>
              <w:left w:val="nil"/>
              <w:bottom w:val="nil"/>
              <w:right w:val="nil"/>
            </w:tcBorders>
            <w:shd w:val="clear" w:color="auto" w:fill="auto"/>
          </w:tcPr>
          <w:p w:rsidR="00601360" w:rsidRPr="003F0C5C" w:rsidRDefault="00EC79A7" w:rsidP="003F0C5C">
            <w:pPr>
              <w:pStyle w:val="TableTextLeftBold-BP4"/>
            </w:pPr>
            <w:r w:rsidRPr="003F0C5C">
              <w:t>Public Trustee for the ACT</w:t>
            </w:r>
          </w:p>
        </w:tc>
        <w:tc>
          <w:tcPr>
            <w:tcW w:w="939" w:type="dxa"/>
            <w:tcBorders>
              <w:top w:val="nil"/>
              <w:left w:val="nil"/>
              <w:bottom w:val="nil"/>
              <w:right w:val="nil"/>
            </w:tcBorders>
            <w:shd w:val="clear" w:color="auto" w:fill="auto"/>
            <w:noWrap/>
          </w:tcPr>
          <w:p w:rsidR="00EC79A7" w:rsidRPr="00833CE9" w:rsidRDefault="00EC79A7" w:rsidP="003F0C5C">
            <w:pPr>
              <w:jc w:val="right"/>
              <w:rPr>
                <w:rFonts w:asciiTheme="minorHAnsi" w:hAnsiTheme="minorHAnsi"/>
                <w:b/>
                <w:bCs/>
                <w:sz w:val="18"/>
                <w:szCs w:val="18"/>
              </w:rPr>
            </w:pPr>
          </w:p>
        </w:tc>
        <w:tc>
          <w:tcPr>
            <w:tcW w:w="372" w:type="dxa"/>
            <w:tcBorders>
              <w:top w:val="nil"/>
              <w:left w:val="nil"/>
              <w:bottom w:val="nil"/>
              <w:right w:val="nil"/>
            </w:tcBorders>
            <w:shd w:val="clear" w:color="auto" w:fill="auto"/>
            <w:noWrap/>
          </w:tcPr>
          <w:p w:rsidR="00EC79A7" w:rsidRPr="00833CE9" w:rsidRDefault="00EC79A7">
            <w:pPr>
              <w:jc w:val="right"/>
              <w:rPr>
                <w:rFonts w:asciiTheme="minorHAnsi" w:hAnsiTheme="minorHAnsi"/>
                <w:sz w:val="18"/>
                <w:szCs w:val="18"/>
              </w:rPr>
            </w:pPr>
          </w:p>
        </w:tc>
        <w:tc>
          <w:tcPr>
            <w:tcW w:w="4978" w:type="dxa"/>
            <w:tcBorders>
              <w:top w:val="nil"/>
              <w:left w:val="nil"/>
              <w:bottom w:val="nil"/>
              <w:right w:val="nil"/>
            </w:tcBorders>
            <w:shd w:val="clear" w:color="auto" w:fill="auto"/>
            <w:noWrap/>
          </w:tcPr>
          <w:p w:rsidR="00EC79A7" w:rsidRPr="00833CE9" w:rsidRDefault="00EC79A7" w:rsidP="00441A11">
            <w:pPr>
              <w:jc w:val="both"/>
              <w:rPr>
                <w:rFonts w:asciiTheme="minorHAnsi" w:hAnsiTheme="minorHAnsi"/>
                <w:b/>
                <w:bCs/>
                <w:sz w:val="18"/>
                <w:szCs w:val="18"/>
              </w:rPr>
            </w:pPr>
          </w:p>
        </w:tc>
      </w:tr>
      <w:tr w:rsidR="00DC6DD5" w:rsidRPr="00833CE9" w:rsidTr="00F448CF">
        <w:trPr>
          <w:trHeight w:val="170"/>
        </w:trPr>
        <w:tc>
          <w:tcPr>
            <w:tcW w:w="618" w:type="dxa"/>
            <w:tcBorders>
              <w:top w:val="nil"/>
              <w:left w:val="nil"/>
              <w:bottom w:val="nil"/>
              <w:right w:val="nil"/>
            </w:tcBorders>
            <w:shd w:val="clear" w:color="auto" w:fill="auto"/>
          </w:tcPr>
          <w:p w:rsidR="00DC6DD5" w:rsidRPr="00833CE9" w:rsidRDefault="00DC6DD5">
            <w:pPr>
              <w:jc w:val="right"/>
              <w:rPr>
                <w:rFonts w:asciiTheme="minorHAnsi" w:hAnsiTheme="minorHAnsi"/>
                <w:sz w:val="18"/>
                <w:szCs w:val="18"/>
              </w:rPr>
            </w:pPr>
          </w:p>
        </w:tc>
        <w:tc>
          <w:tcPr>
            <w:tcW w:w="2303" w:type="dxa"/>
            <w:tcBorders>
              <w:top w:val="nil"/>
              <w:left w:val="nil"/>
              <w:bottom w:val="nil"/>
              <w:right w:val="nil"/>
            </w:tcBorders>
            <w:shd w:val="clear" w:color="auto" w:fill="auto"/>
          </w:tcPr>
          <w:p w:rsidR="00DC6DD5" w:rsidRPr="00833CE9" w:rsidRDefault="00DC6DD5">
            <w:pPr>
              <w:rPr>
                <w:rFonts w:asciiTheme="minorHAnsi" w:hAnsiTheme="minorHAnsi"/>
                <w:sz w:val="18"/>
                <w:szCs w:val="18"/>
              </w:rPr>
            </w:pPr>
            <w:r w:rsidRPr="00833CE9">
              <w:rPr>
                <w:rFonts w:asciiTheme="minorHAnsi" w:hAnsiTheme="minorHAnsi"/>
                <w:sz w:val="18"/>
                <w:szCs w:val="18"/>
              </w:rPr>
              <w:t>Public Trustee</w:t>
            </w:r>
          </w:p>
        </w:tc>
        <w:tc>
          <w:tcPr>
            <w:tcW w:w="939" w:type="dxa"/>
            <w:tcBorders>
              <w:top w:val="nil"/>
              <w:left w:val="nil"/>
              <w:bottom w:val="nil"/>
              <w:right w:val="nil"/>
            </w:tcBorders>
            <w:shd w:val="clear" w:color="auto" w:fill="auto"/>
            <w:noWrap/>
          </w:tcPr>
          <w:p w:rsidR="002849E7" w:rsidRDefault="002849E7" w:rsidP="003F0C5C">
            <w:pPr>
              <w:jc w:val="right"/>
              <w:rPr>
                <w:rFonts w:cs="Arial"/>
                <w:sz w:val="18"/>
                <w:szCs w:val="18"/>
              </w:rPr>
            </w:pPr>
            <w:r>
              <w:rPr>
                <w:rFonts w:cs="Arial"/>
                <w:sz w:val="18"/>
                <w:szCs w:val="18"/>
              </w:rPr>
              <w:t xml:space="preserve">473 </w:t>
            </w:r>
          </w:p>
          <w:p w:rsidR="00DC6DD5" w:rsidRPr="00833CE9" w:rsidRDefault="00DC6DD5" w:rsidP="003F0C5C">
            <w:pPr>
              <w:jc w:val="right"/>
              <w:rPr>
                <w:rFonts w:asciiTheme="minorHAnsi" w:hAnsiTheme="minorHAnsi"/>
                <w:sz w:val="18"/>
                <w:szCs w:val="18"/>
              </w:rPr>
            </w:pPr>
            <w:r w:rsidRPr="00833CE9">
              <w:rPr>
                <w:rFonts w:asciiTheme="minorHAnsi" w:hAnsiTheme="minorHAnsi"/>
                <w:sz w:val="18"/>
                <w:szCs w:val="18"/>
              </w:rPr>
              <w:t xml:space="preserve"> </w:t>
            </w:r>
          </w:p>
        </w:tc>
        <w:tc>
          <w:tcPr>
            <w:tcW w:w="372" w:type="dxa"/>
            <w:tcBorders>
              <w:top w:val="nil"/>
              <w:left w:val="nil"/>
              <w:bottom w:val="nil"/>
              <w:right w:val="nil"/>
            </w:tcBorders>
            <w:shd w:val="clear" w:color="auto" w:fill="auto"/>
            <w:noWrap/>
          </w:tcPr>
          <w:p w:rsidR="00DC6DD5" w:rsidRPr="00833CE9" w:rsidRDefault="00DC6DD5">
            <w:pPr>
              <w:jc w:val="right"/>
              <w:rPr>
                <w:rFonts w:asciiTheme="minorHAnsi" w:hAnsiTheme="minorHAnsi"/>
                <w:sz w:val="18"/>
                <w:szCs w:val="18"/>
              </w:rPr>
            </w:pPr>
          </w:p>
        </w:tc>
        <w:tc>
          <w:tcPr>
            <w:tcW w:w="4978" w:type="dxa"/>
            <w:tcBorders>
              <w:top w:val="nil"/>
              <w:left w:val="nil"/>
              <w:bottom w:val="nil"/>
              <w:right w:val="nil"/>
            </w:tcBorders>
            <w:shd w:val="clear" w:color="auto" w:fill="auto"/>
          </w:tcPr>
          <w:p w:rsidR="00DC6DD5" w:rsidRPr="00833CE9" w:rsidRDefault="00DC6DD5" w:rsidP="00441A11">
            <w:pPr>
              <w:jc w:val="both"/>
              <w:rPr>
                <w:rFonts w:asciiTheme="minorHAnsi" w:hAnsiTheme="minorHAnsi"/>
                <w:sz w:val="18"/>
                <w:szCs w:val="18"/>
              </w:rPr>
            </w:pPr>
            <w:r w:rsidRPr="00833CE9">
              <w:rPr>
                <w:rFonts w:asciiTheme="minorHAnsi" w:hAnsiTheme="minorHAnsi"/>
                <w:sz w:val="18"/>
                <w:szCs w:val="18"/>
              </w:rPr>
              <w:t xml:space="preserve">Financial </w:t>
            </w:r>
            <w:r w:rsidR="004859BF" w:rsidRPr="00833CE9">
              <w:rPr>
                <w:rFonts w:asciiTheme="minorHAnsi" w:hAnsiTheme="minorHAnsi"/>
                <w:sz w:val="18"/>
                <w:szCs w:val="18"/>
              </w:rPr>
              <w:t>Management under ACAT o</w:t>
            </w:r>
            <w:r w:rsidRPr="00833CE9">
              <w:rPr>
                <w:rFonts w:asciiTheme="minorHAnsi" w:hAnsiTheme="minorHAnsi"/>
                <w:sz w:val="18"/>
                <w:szCs w:val="18"/>
              </w:rPr>
              <w:t>rder</w:t>
            </w:r>
            <w:r w:rsidR="004859BF" w:rsidRPr="00833CE9">
              <w:rPr>
                <w:rFonts w:asciiTheme="minorHAnsi" w:hAnsiTheme="minorHAnsi"/>
                <w:sz w:val="18"/>
                <w:szCs w:val="18"/>
              </w:rPr>
              <w:t>s, Enduring Power of Attorney, welfare funerals, AFP callouts, estates and t</w:t>
            </w:r>
            <w:r w:rsidRPr="00833CE9">
              <w:rPr>
                <w:rFonts w:asciiTheme="minorHAnsi" w:hAnsiTheme="minorHAnsi"/>
                <w:sz w:val="18"/>
                <w:szCs w:val="18"/>
              </w:rPr>
              <w:t>rusts administered valued less than $100,000</w:t>
            </w:r>
            <w:r w:rsidR="00E826ED" w:rsidRPr="00833CE9">
              <w:rPr>
                <w:rFonts w:asciiTheme="minorHAnsi" w:hAnsiTheme="minorHAnsi"/>
                <w:sz w:val="18"/>
                <w:szCs w:val="18"/>
              </w:rPr>
              <w:t>, e</w:t>
            </w:r>
            <w:r w:rsidR="004859BF" w:rsidRPr="00833CE9">
              <w:rPr>
                <w:rFonts w:asciiTheme="minorHAnsi" w:hAnsiTheme="minorHAnsi"/>
                <w:sz w:val="18"/>
                <w:szCs w:val="18"/>
              </w:rPr>
              <w:t>xamination of e</w:t>
            </w:r>
            <w:r w:rsidRPr="00833CE9">
              <w:rPr>
                <w:rFonts w:asciiTheme="minorHAnsi" w:hAnsiTheme="minorHAnsi"/>
                <w:sz w:val="18"/>
                <w:szCs w:val="18"/>
              </w:rPr>
              <w:t>xternal ACAT</w:t>
            </w:r>
            <w:r w:rsidR="004859BF" w:rsidRPr="00833CE9">
              <w:rPr>
                <w:rFonts w:asciiTheme="minorHAnsi" w:hAnsiTheme="minorHAnsi"/>
                <w:sz w:val="18"/>
                <w:szCs w:val="18"/>
              </w:rPr>
              <w:t xml:space="preserve"> orders and will p</w:t>
            </w:r>
            <w:r w:rsidRPr="00833CE9">
              <w:rPr>
                <w:rFonts w:asciiTheme="minorHAnsi" w:hAnsiTheme="minorHAnsi"/>
                <w:sz w:val="18"/>
                <w:szCs w:val="18"/>
              </w:rPr>
              <w:t>reparation.</w:t>
            </w:r>
          </w:p>
          <w:p w:rsidR="000525F4" w:rsidRPr="00833CE9" w:rsidRDefault="000525F4" w:rsidP="00441A11">
            <w:pPr>
              <w:jc w:val="both"/>
              <w:rPr>
                <w:rFonts w:asciiTheme="minorHAnsi" w:hAnsiTheme="minorHAnsi"/>
                <w:sz w:val="18"/>
                <w:szCs w:val="18"/>
              </w:rPr>
            </w:pPr>
          </w:p>
        </w:tc>
      </w:tr>
      <w:tr w:rsidR="00EC79A7" w:rsidRPr="00833CE9" w:rsidTr="00F448CF">
        <w:trPr>
          <w:trHeight w:val="170"/>
        </w:trPr>
        <w:tc>
          <w:tcPr>
            <w:tcW w:w="2921" w:type="dxa"/>
            <w:gridSpan w:val="2"/>
            <w:tcBorders>
              <w:top w:val="single" w:sz="4" w:space="0" w:color="auto"/>
              <w:left w:val="nil"/>
              <w:bottom w:val="single" w:sz="4" w:space="0" w:color="auto"/>
              <w:right w:val="nil"/>
            </w:tcBorders>
            <w:shd w:val="clear" w:color="auto" w:fill="auto"/>
          </w:tcPr>
          <w:p w:rsidR="00EC79A7" w:rsidRPr="003F0C5C" w:rsidRDefault="00EC79A7" w:rsidP="003F0C5C">
            <w:pPr>
              <w:pStyle w:val="TableTextLeftBold-BP4"/>
            </w:pPr>
            <w:r w:rsidRPr="003F0C5C">
              <w:t>Total Community Service Obligation</w:t>
            </w:r>
          </w:p>
        </w:tc>
        <w:tc>
          <w:tcPr>
            <w:tcW w:w="939" w:type="dxa"/>
            <w:tcBorders>
              <w:top w:val="single" w:sz="4" w:space="0" w:color="auto"/>
              <w:left w:val="nil"/>
              <w:bottom w:val="single" w:sz="4" w:space="0" w:color="auto"/>
              <w:right w:val="nil"/>
            </w:tcBorders>
            <w:shd w:val="clear" w:color="auto" w:fill="auto"/>
            <w:noWrap/>
          </w:tcPr>
          <w:p w:rsidR="00EC79A7" w:rsidRPr="002849E7" w:rsidRDefault="002849E7" w:rsidP="003F0C5C">
            <w:pPr>
              <w:jc w:val="right"/>
              <w:rPr>
                <w:rFonts w:cs="Arial"/>
                <w:b/>
                <w:bCs/>
                <w:sz w:val="18"/>
                <w:szCs w:val="18"/>
              </w:rPr>
            </w:pPr>
            <w:r>
              <w:rPr>
                <w:rFonts w:cs="Arial"/>
                <w:b/>
                <w:bCs/>
                <w:sz w:val="18"/>
                <w:szCs w:val="18"/>
              </w:rPr>
              <w:t xml:space="preserve">117,965 </w:t>
            </w:r>
          </w:p>
        </w:tc>
        <w:tc>
          <w:tcPr>
            <w:tcW w:w="372" w:type="dxa"/>
            <w:tcBorders>
              <w:top w:val="single" w:sz="4" w:space="0" w:color="auto"/>
              <w:left w:val="nil"/>
              <w:bottom w:val="single" w:sz="4" w:space="0" w:color="auto"/>
              <w:right w:val="nil"/>
            </w:tcBorders>
            <w:shd w:val="clear" w:color="auto" w:fill="auto"/>
            <w:noWrap/>
          </w:tcPr>
          <w:p w:rsidR="00EC79A7" w:rsidRPr="00833CE9" w:rsidRDefault="00EC79A7" w:rsidP="00FE3893">
            <w:pPr>
              <w:jc w:val="center"/>
              <w:rPr>
                <w:rFonts w:asciiTheme="minorHAnsi" w:hAnsiTheme="minorHAnsi"/>
                <w:b/>
                <w:bCs/>
                <w:sz w:val="18"/>
                <w:szCs w:val="18"/>
              </w:rPr>
            </w:pPr>
            <w:r w:rsidRPr="00833CE9">
              <w:rPr>
                <w:rFonts w:asciiTheme="minorHAnsi" w:hAnsiTheme="minorHAnsi"/>
                <w:b/>
                <w:bCs/>
                <w:sz w:val="18"/>
                <w:szCs w:val="18"/>
              </w:rPr>
              <w:t> </w:t>
            </w:r>
          </w:p>
        </w:tc>
        <w:tc>
          <w:tcPr>
            <w:tcW w:w="4978" w:type="dxa"/>
            <w:tcBorders>
              <w:top w:val="single" w:sz="4" w:space="0" w:color="auto"/>
              <w:left w:val="nil"/>
              <w:bottom w:val="single" w:sz="4" w:space="0" w:color="auto"/>
              <w:right w:val="nil"/>
            </w:tcBorders>
            <w:shd w:val="clear" w:color="auto" w:fill="auto"/>
            <w:noWrap/>
          </w:tcPr>
          <w:p w:rsidR="000525F4" w:rsidRPr="00833CE9" w:rsidRDefault="00EC79A7">
            <w:pPr>
              <w:rPr>
                <w:rFonts w:asciiTheme="minorHAnsi" w:hAnsiTheme="minorHAnsi"/>
                <w:b/>
                <w:bCs/>
                <w:sz w:val="18"/>
                <w:szCs w:val="18"/>
              </w:rPr>
            </w:pPr>
            <w:r w:rsidRPr="00833CE9">
              <w:rPr>
                <w:rFonts w:asciiTheme="minorHAnsi" w:hAnsiTheme="minorHAnsi"/>
                <w:b/>
                <w:bCs/>
                <w:sz w:val="18"/>
                <w:szCs w:val="18"/>
              </w:rPr>
              <w:t> </w:t>
            </w:r>
          </w:p>
        </w:tc>
      </w:tr>
    </w:tbl>
    <w:p w:rsidR="00EC79A7" w:rsidRPr="00C43329" w:rsidRDefault="00EC79A7" w:rsidP="00C43329">
      <w:pPr>
        <w:pStyle w:val="Heading3TopofPage"/>
      </w:pPr>
      <w:r w:rsidRPr="00833CE9">
        <w:br w:type="page"/>
      </w:r>
      <w:r w:rsidRPr="00C43329">
        <w:lastRenderedPageBreak/>
        <w:t>Community Sector Funding</w:t>
      </w:r>
    </w:p>
    <w:p w:rsidR="00EC79A7" w:rsidRPr="003F0C5C" w:rsidRDefault="00EC79A7" w:rsidP="003F0C5C">
      <w:pPr>
        <w:pStyle w:val="BodyText"/>
      </w:pPr>
      <w:r w:rsidRPr="003F0C5C">
        <w:t>The Government provides</w:t>
      </w:r>
      <w:r w:rsidR="00441A11" w:rsidRPr="003F0C5C">
        <w:t xml:space="preserve"> funding for not-for-profit non-</w:t>
      </w:r>
      <w:r w:rsidRPr="003F0C5C">
        <w:t>government community organisations that deliver human services through a multi-year Service Funding Agreement to meet increasing wage related and administrative costs.</w:t>
      </w:r>
    </w:p>
    <w:p w:rsidR="00EC79A7" w:rsidRPr="003F0C5C" w:rsidRDefault="00EC79A7" w:rsidP="003F0C5C">
      <w:pPr>
        <w:pStyle w:val="BodyText"/>
      </w:pPr>
      <w:r w:rsidRPr="003F0C5C">
        <w:t>Annual funding increases are calculated using the following formula:</w:t>
      </w:r>
    </w:p>
    <w:p w:rsidR="00EC79A7" w:rsidRPr="006E3742" w:rsidRDefault="00EC79A7">
      <w:pPr>
        <w:pStyle w:val="BodyText"/>
        <w:rPr>
          <w:rFonts w:asciiTheme="minorHAnsi" w:hAnsiTheme="minorHAnsi"/>
          <w:i/>
          <w:sz w:val="22"/>
          <w:szCs w:val="22"/>
        </w:rPr>
      </w:pPr>
      <w:r w:rsidRPr="006E3742">
        <w:rPr>
          <w:rFonts w:asciiTheme="minorHAnsi" w:hAnsiTheme="minorHAnsi"/>
          <w:i/>
          <w:sz w:val="22"/>
          <w:szCs w:val="22"/>
        </w:rPr>
        <w:t xml:space="preserve">Community Sector Funding Rate = (Wage Price Index </w:t>
      </w:r>
      <w:r w:rsidR="00C10C11" w:rsidRPr="006E3742">
        <w:rPr>
          <w:rFonts w:asciiTheme="minorHAnsi" w:hAnsiTheme="minorHAnsi"/>
          <w:i/>
          <w:sz w:val="22"/>
          <w:szCs w:val="22"/>
        </w:rPr>
        <w:t xml:space="preserve">× </w:t>
      </w:r>
      <w:r w:rsidRPr="006E3742">
        <w:rPr>
          <w:rFonts w:asciiTheme="minorHAnsi" w:hAnsiTheme="minorHAnsi"/>
          <w:i/>
          <w:sz w:val="22"/>
          <w:szCs w:val="22"/>
        </w:rPr>
        <w:t xml:space="preserve">0.80) + (Consumer Price Index </w:t>
      </w:r>
      <w:r w:rsidR="00C10C11" w:rsidRPr="006E3742">
        <w:rPr>
          <w:rFonts w:asciiTheme="minorHAnsi" w:hAnsiTheme="minorHAnsi"/>
          <w:i/>
          <w:sz w:val="22"/>
          <w:szCs w:val="22"/>
        </w:rPr>
        <w:t xml:space="preserve">× </w:t>
      </w:r>
      <w:r w:rsidRPr="006E3742">
        <w:rPr>
          <w:rFonts w:asciiTheme="minorHAnsi" w:hAnsiTheme="minorHAnsi"/>
          <w:i/>
          <w:sz w:val="22"/>
          <w:szCs w:val="22"/>
        </w:rPr>
        <w:t>0.20)</w:t>
      </w:r>
    </w:p>
    <w:p w:rsidR="00EC79A7" w:rsidRPr="003F0C5C" w:rsidRDefault="00A06C80" w:rsidP="003F0C5C">
      <w:pPr>
        <w:pStyle w:val="BodyText"/>
      </w:pPr>
      <w:r w:rsidRPr="003F0C5C">
        <w:t>For the 201</w:t>
      </w:r>
      <w:r w:rsidR="00601360" w:rsidRPr="003F0C5C">
        <w:t>3</w:t>
      </w:r>
      <w:r w:rsidRPr="003F0C5C">
        <w:t>-1</w:t>
      </w:r>
      <w:r w:rsidR="00601360" w:rsidRPr="003F0C5C">
        <w:t>4</w:t>
      </w:r>
      <w:r w:rsidR="00EC79A7" w:rsidRPr="003F0C5C">
        <w:t xml:space="preserve"> Budget the following rates have been applied to eligible community sector funding.</w:t>
      </w:r>
    </w:p>
    <w:p w:rsidR="00EC79A7" w:rsidRPr="003F0C5C" w:rsidRDefault="00EC79A7" w:rsidP="003F0C5C">
      <w:pPr>
        <w:pStyle w:val="TableNumber"/>
      </w:pPr>
      <w:r w:rsidRPr="003F0C5C">
        <w:t xml:space="preserve">Table </w:t>
      </w:r>
      <w:r w:rsidR="00F26068" w:rsidRPr="003F0C5C">
        <w:t>5</w:t>
      </w:r>
      <w:r w:rsidRPr="003F0C5C">
        <w:t>.1.3</w:t>
      </w:r>
    </w:p>
    <w:p w:rsidR="00EC79A7" w:rsidRPr="003F0C5C" w:rsidRDefault="00EC79A7" w:rsidP="003F0C5C">
      <w:pPr>
        <w:pStyle w:val="TableName"/>
      </w:pPr>
      <w:r w:rsidRPr="003F0C5C">
        <w:t>Community Sector Funding Rate</w:t>
      </w:r>
    </w:p>
    <w:tbl>
      <w:tblPr>
        <w:tblW w:w="7938" w:type="dxa"/>
        <w:jc w:val="center"/>
        <w:tblLook w:val="0000"/>
      </w:tblPr>
      <w:tblGrid>
        <w:gridCol w:w="6336"/>
        <w:gridCol w:w="1602"/>
      </w:tblGrid>
      <w:tr w:rsidR="003D034F" w:rsidRPr="006E3742" w:rsidTr="003D034F">
        <w:trPr>
          <w:trHeight w:val="170"/>
          <w:jc w:val="center"/>
        </w:trPr>
        <w:tc>
          <w:tcPr>
            <w:tcW w:w="4526" w:type="dxa"/>
            <w:vMerge w:val="restart"/>
            <w:tcBorders>
              <w:top w:val="single" w:sz="4" w:space="0" w:color="auto"/>
              <w:left w:val="nil"/>
              <w:bottom w:val="single" w:sz="8" w:space="0" w:color="000000"/>
              <w:right w:val="nil"/>
            </w:tcBorders>
            <w:shd w:val="clear" w:color="auto" w:fill="auto"/>
          </w:tcPr>
          <w:p w:rsidR="003D034F" w:rsidRPr="006E3742" w:rsidRDefault="003D034F">
            <w:pPr>
              <w:pStyle w:val="TableTextLeftBold"/>
              <w:spacing w:before="10" w:after="10"/>
              <w:rPr>
                <w:rFonts w:asciiTheme="minorHAnsi" w:hAnsiTheme="minorHAnsi"/>
              </w:rPr>
            </w:pPr>
            <w:r w:rsidRPr="006E3742">
              <w:rPr>
                <w:rFonts w:asciiTheme="minorHAnsi" w:hAnsiTheme="minorHAnsi"/>
              </w:rPr>
              <w:t> </w:t>
            </w:r>
          </w:p>
        </w:tc>
        <w:tc>
          <w:tcPr>
            <w:tcW w:w="1144" w:type="dxa"/>
            <w:tcBorders>
              <w:top w:val="single" w:sz="4" w:space="0" w:color="auto"/>
              <w:left w:val="nil"/>
              <w:bottom w:val="nil"/>
              <w:right w:val="nil"/>
            </w:tcBorders>
            <w:shd w:val="clear" w:color="auto" w:fill="auto"/>
          </w:tcPr>
          <w:p w:rsidR="003D034F" w:rsidRPr="003F0C5C" w:rsidRDefault="003D034F" w:rsidP="003F0C5C">
            <w:pPr>
              <w:pStyle w:val="TableTextRight-BP4"/>
              <w:rPr>
                <w:b/>
              </w:rPr>
            </w:pPr>
            <w:r w:rsidRPr="003F0C5C">
              <w:rPr>
                <w:b/>
              </w:rPr>
              <w:t>2013-14</w:t>
            </w:r>
          </w:p>
        </w:tc>
      </w:tr>
      <w:tr w:rsidR="003D034F" w:rsidRPr="006E3742" w:rsidTr="003D034F">
        <w:trPr>
          <w:trHeight w:val="170"/>
          <w:jc w:val="center"/>
        </w:trPr>
        <w:tc>
          <w:tcPr>
            <w:tcW w:w="4526" w:type="dxa"/>
            <w:vMerge/>
            <w:tcBorders>
              <w:top w:val="single" w:sz="8" w:space="0" w:color="auto"/>
              <w:left w:val="nil"/>
              <w:bottom w:val="single" w:sz="8" w:space="0" w:color="000000"/>
              <w:right w:val="nil"/>
            </w:tcBorders>
            <w:vAlign w:val="center"/>
          </w:tcPr>
          <w:p w:rsidR="003D034F" w:rsidRPr="006E3742" w:rsidRDefault="003D034F">
            <w:pPr>
              <w:spacing w:before="10" w:after="10"/>
              <w:rPr>
                <w:rFonts w:asciiTheme="minorHAnsi" w:hAnsiTheme="minorHAnsi"/>
                <w:b/>
                <w:bCs/>
                <w:sz w:val="20"/>
              </w:rPr>
            </w:pPr>
          </w:p>
        </w:tc>
        <w:tc>
          <w:tcPr>
            <w:tcW w:w="1144" w:type="dxa"/>
            <w:tcBorders>
              <w:top w:val="nil"/>
              <w:left w:val="nil"/>
              <w:bottom w:val="nil"/>
              <w:right w:val="nil"/>
            </w:tcBorders>
            <w:shd w:val="clear" w:color="auto" w:fill="auto"/>
          </w:tcPr>
          <w:p w:rsidR="003D034F" w:rsidRPr="003F0C5C" w:rsidRDefault="003D034F" w:rsidP="003F0C5C">
            <w:pPr>
              <w:pStyle w:val="TableTextRight-BP4"/>
              <w:rPr>
                <w:b/>
              </w:rPr>
            </w:pPr>
            <w:r w:rsidRPr="003F0C5C">
              <w:rPr>
                <w:b/>
              </w:rPr>
              <w:t>Budget</w:t>
            </w:r>
          </w:p>
        </w:tc>
      </w:tr>
      <w:tr w:rsidR="003D034F" w:rsidRPr="006E3742" w:rsidTr="003D034F">
        <w:trPr>
          <w:trHeight w:val="170"/>
          <w:jc w:val="center"/>
        </w:trPr>
        <w:tc>
          <w:tcPr>
            <w:tcW w:w="4526" w:type="dxa"/>
            <w:vMerge/>
            <w:tcBorders>
              <w:top w:val="single" w:sz="8" w:space="0" w:color="auto"/>
              <w:left w:val="nil"/>
              <w:bottom w:val="single" w:sz="4" w:space="0" w:color="auto"/>
              <w:right w:val="nil"/>
            </w:tcBorders>
            <w:vAlign w:val="center"/>
          </w:tcPr>
          <w:p w:rsidR="003D034F" w:rsidRPr="006E3742" w:rsidRDefault="003D034F">
            <w:pPr>
              <w:spacing w:before="10" w:after="10"/>
              <w:rPr>
                <w:rFonts w:asciiTheme="minorHAnsi" w:hAnsiTheme="minorHAnsi"/>
                <w:b/>
                <w:bCs/>
                <w:sz w:val="20"/>
              </w:rPr>
            </w:pPr>
          </w:p>
        </w:tc>
        <w:tc>
          <w:tcPr>
            <w:tcW w:w="1144" w:type="dxa"/>
            <w:tcBorders>
              <w:top w:val="nil"/>
              <w:left w:val="nil"/>
              <w:bottom w:val="single" w:sz="4" w:space="0" w:color="auto"/>
              <w:right w:val="nil"/>
            </w:tcBorders>
            <w:shd w:val="clear" w:color="auto" w:fill="auto"/>
          </w:tcPr>
          <w:p w:rsidR="003D034F" w:rsidRPr="003F0C5C" w:rsidRDefault="003D034F" w:rsidP="003F0C5C">
            <w:pPr>
              <w:pStyle w:val="TableTextRight-BP4"/>
              <w:rPr>
                <w:b/>
              </w:rPr>
            </w:pPr>
            <w:r w:rsidRPr="003F0C5C">
              <w:rPr>
                <w:b/>
              </w:rPr>
              <w:t>%</w:t>
            </w:r>
          </w:p>
        </w:tc>
      </w:tr>
      <w:tr w:rsidR="003D034F" w:rsidRPr="006E3742" w:rsidTr="003D034F">
        <w:trPr>
          <w:trHeight w:val="170"/>
          <w:jc w:val="center"/>
        </w:trPr>
        <w:tc>
          <w:tcPr>
            <w:tcW w:w="4526" w:type="dxa"/>
            <w:tcBorders>
              <w:top w:val="single" w:sz="4" w:space="0" w:color="auto"/>
              <w:left w:val="nil"/>
              <w:right w:val="nil"/>
            </w:tcBorders>
            <w:shd w:val="clear" w:color="auto" w:fill="auto"/>
          </w:tcPr>
          <w:p w:rsidR="003D034F" w:rsidRPr="006E3742" w:rsidRDefault="003D034F" w:rsidP="00F448CF">
            <w:pPr>
              <w:pStyle w:val="TableTextLeft-BP4"/>
            </w:pPr>
            <w:r w:rsidRPr="006E3742">
              <w:t>Wage Price Index</w:t>
            </w:r>
          </w:p>
        </w:tc>
        <w:tc>
          <w:tcPr>
            <w:tcW w:w="1144" w:type="dxa"/>
            <w:tcBorders>
              <w:top w:val="single" w:sz="4" w:space="0" w:color="auto"/>
              <w:left w:val="nil"/>
              <w:right w:val="nil"/>
            </w:tcBorders>
            <w:shd w:val="clear" w:color="auto" w:fill="auto"/>
          </w:tcPr>
          <w:p w:rsidR="003D034F" w:rsidRPr="000F0D13" w:rsidRDefault="003D034F" w:rsidP="00F448CF">
            <w:pPr>
              <w:pStyle w:val="TableTextRight"/>
              <w:rPr>
                <w:sz w:val="18"/>
                <w:szCs w:val="18"/>
              </w:rPr>
            </w:pPr>
            <w:r w:rsidRPr="000F0D13">
              <w:rPr>
                <w:sz w:val="18"/>
                <w:szCs w:val="18"/>
              </w:rPr>
              <w:t>3.0</w:t>
            </w:r>
          </w:p>
        </w:tc>
      </w:tr>
      <w:tr w:rsidR="003D034F" w:rsidRPr="006E3742" w:rsidTr="003D034F">
        <w:trPr>
          <w:trHeight w:val="170"/>
          <w:jc w:val="center"/>
        </w:trPr>
        <w:tc>
          <w:tcPr>
            <w:tcW w:w="4526" w:type="dxa"/>
            <w:tcBorders>
              <w:top w:val="nil"/>
              <w:left w:val="nil"/>
              <w:bottom w:val="single" w:sz="4" w:space="0" w:color="auto"/>
              <w:right w:val="nil"/>
            </w:tcBorders>
            <w:shd w:val="clear" w:color="auto" w:fill="auto"/>
          </w:tcPr>
          <w:p w:rsidR="003D034F" w:rsidRPr="006E3742" w:rsidRDefault="003D034F" w:rsidP="00F448CF">
            <w:pPr>
              <w:pStyle w:val="TableTextLeft-BP4"/>
            </w:pPr>
            <w:r w:rsidRPr="006E3742">
              <w:t>Consumer Price Index</w:t>
            </w:r>
          </w:p>
        </w:tc>
        <w:tc>
          <w:tcPr>
            <w:tcW w:w="1144" w:type="dxa"/>
            <w:tcBorders>
              <w:top w:val="nil"/>
              <w:left w:val="nil"/>
              <w:bottom w:val="single" w:sz="4" w:space="0" w:color="auto"/>
              <w:right w:val="nil"/>
            </w:tcBorders>
            <w:shd w:val="clear" w:color="auto" w:fill="auto"/>
          </w:tcPr>
          <w:p w:rsidR="003D034F" w:rsidRPr="000F0D13" w:rsidRDefault="003D034F" w:rsidP="00F448CF">
            <w:pPr>
              <w:pStyle w:val="TableTextRight"/>
              <w:rPr>
                <w:sz w:val="18"/>
                <w:szCs w:val="18"/>
              </w:rPr>
            </w:pPr>
            <w:r w:rsidRPr="000F0D13">
              <w:rPr>
                <w:sz w:val="18"/>
                <w:szCs w:val="18"/>
              </w:rPr>
              <w:t>2.25</w:t>
            </w:r>
          </w:p>
        </w:tc>
      </w:tr>
      <w:tr w:rsidR="003D034F" w:rsidRPr="006E3742" w:rsidTr="003D034F">
        <w:trPr>
          <w:trHeight w:val="170"/>
          <w:jc w:val="center"/>
        </w:trPr>
        <w:tc>
          <w:tcPr>
            <w:tcW w:w="4526" w:type="dxa"/>
            <w:tcBorders>
              <w:top w:val="single" w:sz="4" w:space="0" w:color="auto"/>
              <w:left w:val="nil"/>
              <w:bottom w:val="single" w:sz="4" w:space="0" w:color="auto"/>
              <w:right w:val="nil"/>
            </w:tcBorders>
            <w:shd w:val="clear" w:color="auto" w:fill="auto"/>
          </w:tcPr>
          <w:p w:rsidR="003D034F" w:rsidRPr="006E3742" w:rsidRDefault="003D034F" w:rsidP="00F448CF">
            <w:pPr>
              <w:pStyle w:val="TableTextLeft-BP4"/>
              <w:rPr>
                <w:b/>
                <w:bCs/>
                <w:sz w:val="20"/>
              </w:rPr>
            </w:pPr>
            <w:r w:rsidRPr="006E3742">
              <w:rPr>
                <w:rStyle w:val="TableTextLeftBoldChar"/>
                <w:rFonts w:asciiTheme="minorHAnsi" w:hAnsiTheme="minorHAnsi"/>
              </w:rPr>
              <w:t xml:space="preserve">Community Sector Funding Rate </w:t>
            </w:r>
          </w:p>
        </w:tc>
        <w:tc>
          <w:tcPr>
            <w:tcW w:w="1144" w:type="dxa"/>
            <w:tcBorders>
              <w:top w:val="single" w:sz="4" w:space="0" w:color="auto"/>
              <w:left w:val="nil"/>
              <w:bottom w:val="single" w:sz="4" w:space="0" w:color="auto"/>
              <w:right w:val="nil"/>
            </w:tcBorders>
            <w:shd w:val="clear" w:color="auto" w:fill="auto"/>
          </w:tcPr>
          <w:p w:rsidR="003D034F" w:rsidRPr="006E3742" w:rsidRDefault="003D034F">
            <w:pPr>
              <w:jc w:val="right"/>
              <w:rPr>
                <w:rFonts w:asciiTheme="minorHAnsi" w:eastAsiaTheme="minorHAnsi" w:hAnsiTheme="minorHAnsi"/>
                <w:b/>
                <w:bCs/>
                <w:sz w:val="18"/>
                <w:szCs w:val="18"/>
              </w:rPr>
            </w:pPr>
            <w:r w:rsidRPr="006E3742">
              <w:rPr>
                <w:rFonts w:asciiTheme="minorHAnsi" w:hAnsiTheme="minorHAnsi"/>
                <w:b/>
                <w:bCs/>
                <w:sz w:val="18"/>
                <w:szCs w:val="18"/>
              </w:rPr>
              <w:t>2.85</w:t>
            </w:r>
          </w:p>
        </w:tc>
      </w:tr>
    </w:tbl>
    <w:p w:rsidR="002F1A1E" w:rsidRPr="005E71CD" w:rsidRDefault="002F1A1E" w:rsidP="005E71CD">
      <w:pPr>
        <w:pStyle w:val="NoteText"/>
        <w:spacing w:before="120"/>
      </w:pPr>
      <w:r w:rsidRPr="005E71CD">
        <w:rPr>
          <w:rStyle w:val="NoteHeadingChar"/>
        </w:rPr>
        <w:t>Note:</w:t>
      </w:r>
      <w:r w:rsidR="00441A11" w:rsidRPr="006E3742">
        <w:rPr>
          <w:rFonts w:asciiTheme="minorHAnsi" w:hAnsiTheme="minorHAnsi"/>
        </w:rPr>
        <w:t xml:space="preserve">  </w:t>
      </w:r>
      <w:r w:rsidR="006E3742" w:rsidRPr="005E71CD">
        <w:t>An adjustment of 0.34 per cent will be made to eligible service funding agreements managed by Housing ACT, the Community Services Directorate and the Health Directorate as a contribution to the “ACT Community Sector Reforms” initiative.</w:t>
      </w:r>
    </w:p>
    <w:p w:rsidR="00B32D9B" w:rsidRDefault="00B32D9B">
      <w:pPr>
        <w:rPr>
          <w:rFonts w:asciiTheme="minorHAnsi" w:hAnsiTheme="minorHAnsi"/>
        </w:rPr>
      </w:pPr>
      <w:r>
        <w:rPr>
          <w:rFonts w:asciiTheme="minorHAnsi" w:hAnsiTheme="minorHAnsi"/>
        </w:rPr>
        <w:br w:type="page"/>
      </w:r>
    </w:p>
    <w:p w:rsidR="002F1A1E" w:rsidRPr="006E3742" w:rsidRDefault="002F1A1E">
      <w:pPr>
        <w:rPr>
          <w:rFonts w:asciiTheme="minorHAnsi" w:hAnsiTheme="minorHAnsi"/>
        </w:rPr>
      </w:pPr>
    </w:p>
    <w:p w:rsidR="002F1A1E" w:rsidRPr="006E3742" w:rsidRDefault="002F1A1E">
      <w:pPr>
        <w:rPr>
          <w:rFonts w:asciiTheme="minorHAnsi" w:hAnsiTheme="minorHAnsi"/>
        </w:rPr>
      </w:pPr>
    </w:p>
    <w:sectPr w:rsidR="002F1A1E" w:rsidRPr="006E3742" w:rsidSect="00B32D9B">
      <w:footerReference w:type="default" r:id="rId7"/>
      <w:pgSz w:w="11907" w:h="16840" w:code="9"/>
      <w:pgMar w:top="1135" w:right="1440" w:bottom="993" w:left="1440" w:header="720" w:footer="720" w:gutter="0"/>
      <w:pgNumType w:start="13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C5C" w:rsidRDefault="003F0C5C">
      <w:r>
        <w:separator/>
      </w:r>
    </w:p>
  </w:endnote>
  <w:endnote w:type="continuationSeparator" w:id="0">
    <w:p w:rsidR="003F0C5C" w:rsidRDefault="003F0C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C5C" w:rsidRDefault="005E71CD">
    <w:pPr>
      <w:pStyle w:val="FooterBP"/>
    </w:pPr>
    <w:r>
      <w:t>2013-14</w:t>
    </w:r>
    <w:r w:rsidR="003F0C5C">
      <w:t xml:space="preserve"> Budget Paper No. 3</w:t>
    </w:r>
    <w:r w:rsidR="003F0C5C">
      <w:tab/>
    </w:r>
    <w:fldSimple w:instr=" PAGE   \* MERGEFORMAT ">
      <w:r w:rsidR="007F011F">
        <w:rPr>
          <w:noProof/>
        </w:rPr>
        <w:t>131</w:t>
      </w:r>
    </w:fldSimple>
    <w:r w:rsidR="00713758">
      <w:tab/>
      <w:t>Expenditure</w:t>
    </w:r>
    <w:r w:rsidR="003F0C5C">
      <w:t xml:space="preserve"> and Forward Estimates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C5C" w:rsidRDefault="003F0C5C">
      <w:r>
        <w:separator/>
      </w:r>
    </w:p>
  </w:footnote>
  <w:footnote w:type="continuationSeparator" w:id="0">
    <w:p w:rsidR="003F0C5C" w:rsidRDefault="003F0C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1771026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25C07455"/>
    <w:multiLevelType w:val="hybridMultilevel"/>
    <w:tmpl w:val="A5FE7EB2"/>
    <w:lvl w:ilvl="0" w:tplc="1C7C2F9A">
      <w:start w:val="1"/>
      <w:numFmt w:val="decimal"/>
      <w:lvlText w:val="%1."/>
      <w:lvlJc w:val="left"/>
      <w:pPr>
        <w:tabs>
          <w:tab w:val="num" w:pos="785"/>
        </w:tabs>
        <w:ind w:left="785" w:hanging="360"/>
      </w:pPr>
      <w:rPr>
        <w:rFonts w:ascii="Times New Roman" w:hAnsi="Times New Roman" w:hint="default"/>
        <w:b w:val="0"/>
        <w:i w:val="0"/>
        <w:caps w:val="0"/>
        <w:strike w:val="0"/>
        <w:dstrike w:val="0"/>
        <w:outline w:val="0"/>
        <w:shadow w:val="0"/>
        <w:emboss w:val="0"/>
        <w:imprint w:val="0"/>
        <w:vanish w:val="0"/>
        <w:sz w:val="16"/>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1D908A4"/>
    <w:multiLevelType w:val="hybridMultilevel"/>
    <w:tmpl w:val="813A3380"/>
    <w:lvl w:ilvl="0" w:tplc="29088B32">
      <w:start w:val="1"/>
      <w:numFmt w:val="decimal"/>
      <w:lvlText w:val="%1."/>
      <w:lvlJc w:val="left"/>
      <w:pPr>
        <w:tabs>
          <w:tab w:val="num" w:pos="360"/>
        </w:tabs>
        <w:ind w:left="360" w:hanging="360"/>
      </w:pPr>
      <w:rPr>
        <w:rFonts w:hint="default"/>
        <w:b w:val="0"/>
        <w:i w:val="0"/>
        <w:sz w:val="16"/>
        <w:vertAlign w:val="base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929265A"/>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4CE47D46"/>
    <w:multiLevelType w:val="multilevel"/>
    <w:tmpl w:val="A0926F52"/>
    <w:lvl w:ilvl="0">
      <w:start w:val="1"/>
      <w:numFmt w:val="decimal"/>
      <w:lvlText w:val="%1."/>
      <w:lvlJc w:val="left"/>
      <w:pPr>
        <w:tabs>
          <w:tab w:val="num" w:pos="360"/>
        </w:tabs>
        <w:ind w:left="360" w:hanging="360"/>
      </w:pPr>
      <w:rPr>
        <w:rFonts w:hint="default"/>
        <w:b w:val="0"/>
        <w:i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EF25C2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1D5189C"/>
    <w:multiLevelType w:val="hybridMultilevel"/>
    <w:tmpl w:val="B6C4176C"/>
    <w:lvl w:ilvl="0" w:tplc="63D452CE">
      <w:start w:val="1"/>
      <w:numFmt w:val="decimal"/>
      <w:lvlText w:val="%1."/>
      <w:lvlJc w:val="left"/>
      <w:pPr>
        <w:tabs>
          <w:tab w:val="num" w:pos="360"/>
        </w:tabs>
        <w:ind w:left="360" w:hanging="360"/>
      </w:pPr>
      <w:rPr>
        <w:rFonts w:hint="default"/>
        <w:b w:val="0"/>
        <w:i w:val="0"/>
        <w:vertAlign w:val="base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9287A3D"/>
    <w:multiLevelType w:val="hybridMultilevel"/>
    <w:tmpl w:val="93F0E396"/>
    <w:lvl w:ilvl="0" w:tplc="DC6E0470">
      <w:start w:val="1"/>
      <w:numFmt w:val="decimal"/>
      <w:lvlText w:val="%1."/>
      <w:lvlJc w:val="left"/>
      <w:pPr>
        <w:tabs>
          <w:tab w:val="num" w:pos="360"/>
        </w:tabs>
        <w:ind w:left="360" w:hanging="360"/>
      </w:pPr>
      <w:rPr>
        <w:rFonts w:hint="default"/>
        <w:b w:val="0"/>
        <w:i w:val="0"/>
        <w:vertAlign w:val="baseline"/>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4">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5">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7F1B0FA6"/>
    <w:multiLevelType w:val="hybridMultilevel"/>
    <w:tmpl w:val="85E05738"/>
    <w:lvl w:ilvl="0" w:tplc="EA0C93C6">
      <w:start w:val="1"/>
      <w:numFmt w:val="lowerLetter"/>
      <w:pStyle w:val="Tabletextindenta"/>
      <w:lvlText w:val="%1."/>
      <w:lvlJc w:val="left"/>
      <w:pPr>
        <w:tabs>
          <w:tab w:val="num" w:pos="360"/>
        </w:tabs>
        <w:ind w:left="357" w:hanging="357"/>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3"/>
  </w:num>
  <w:num w:numId="4">
    <w:abstractNumId w:val="11"/>
  </w:num>
  <w:num w:numId="5">
    <w:abstractNumId w:val="28"/>
  </w:num>
  <w:num w:numId="6">
    <w:abstractNumId w:val="15"/>
  </w:num>
  <w:num w:numId="7">
    <w:abstractNumId w:val="23"/>
  </w:num>
  <w:num w:numId="8">
    <w:abstractNumId w:val="21"/>
  </w:num>
  <w:num w:numId="9">
    <w:abstractNumId w:val="16"/>
  </w:num>
  <w:num w:numId="10">
    <w:abstractNumId w:val="28"/>
  </w:num>
  <w:num w:numId="11">
    <w:abstractNumId w:val="14"/>
  </w:num>
  <w:num w:numId="12">
    <w:abstractNumId w:val="16"/>
    <w:lvlOverride w:ilvl="0">
      <w:startOverride w:val="1"/>
    </w:lvlOverride>
  </w:num>
  <w:num w:numId="13">
    <w:abstractNumId w:val="6"/>
  </w:num>
  <w:num w:numId="14">
    <w:abstractNumId w:val="7"/>
  </w:num>
  <w:num w:numId="15">
    <w:abstractNumId w:val="9"/>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19"/>
  </w:num>
  <w:num w:numId="25">
    <w:abstractNumId w:val="27"/>
  </w:num>
  <w:num w:numId="26">
    <w:abstractNumId w:val="12"/>
  </w:num>
  <w:num w:numId="27">
    <w:abstractNumId w:val="22"/>
  </w:num>
  <w:num w:numId="28">
    <w:abstractNumId w:val="25"/>
  </w:num>
  <w:num w:numId="29">
    <w:abstractNumId w:val="17"/>
  </w:num>
  <w:num w:numId="30">
    <w:abstractNumId w:val="26"/>
  </w:num>
  <w:num w:numId="31">
    <w:abstractNumId w:val="14"/>
  </w:num>
  <w:num w:numId="32">
    <w:abstractNumId w:val="10"/>
  </w:num>
  <w:num w:numId="33">
    <w:abstractNumId w:val="13"/>
  </w:num>
  <w:num w:numId="34">
    <w:abstractNumId w:val="11"/>
  </w:num>
  <w:num w:numId="35">
    <w:abstractNumId w:val="24"/>
  </w:num>
  <w:num w:numId="36">
    <w:abstractNumId w:val="24"/>
  </w:num>
  <w:num w:numId="37">
    <w:abstractNumId w:val="24"/>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0"/>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1mIg+VWaAOzy/WGFF1rzNpWb09k=" w:salt="C1Z6+BUm35II0sK60F4yVg=="/>
  <w:zoom w:percent="100"/>
  <w:proofState w:spelling="clean" w:grammar="clean"/>
  <w:stylePaneFormatFilter w:val="30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04391"/>
    <w:rsid w:val="00005CCB"/>
    <w:rsid w:val="0002795A"/>
    <w:rsid w:val="00037309"/>
    <w:rsid w:val="00044AFE"/>
    <w:rsid w:val="00050750"/>
    <w:rsid w:val="00052517"/>
    <w:rsid w:val="000525F4"/>
    <w:rsid w:val="00054498"/>
    <w:rsid w:val="000544AE"/>
    <w:rsid w:val="000562F6"/>
    <w:rsid w:val="00056474"/>
    <w:rsid w:val="0006576D"/>
    <w:rsid w:val="00071595"/>
    <w:rsid w:val="000A2C35"/>
    <w:rsid w:val="000A40ED"/>
    <w:rsid w:val="000A50B2"/>
    <w:rsid w:val="000B463A"/>
    <w:rsid w:val="000C707E"/>
    <w:rsid w:val="000D01E1"/>
    <w:rsid w:val="000D40CC"/>
    <w:rsid w:val="000E180F"/>
    <w:rsid w:val="000E33A6"/>
    <w:rsid w:val="000F0D13"/>
    <w:rsid w:val="00122451"/>
    <w:rsid w:val="00134960"/>
    <w:rsid w:val="00137A33"/>
    <w:rsid w:val="001468FE"/>
    <w:rsid w:val="00186445"/>
    <w:rsid w:val="00192F6B"/>
    <w:rsid w:val="001C2F34"/>
    <w:rsid w:val="001D40BB"/>
    <w:rsid w:val="001D5FC7"/>
    <w:rsid w:val="001E3816"/>
    <w:rsid w:val="001F0DC1"/>
    <w:rsid w:val="00200CB4"/>
    <w:rsid w:val="00200F10"/>
    <w:rsid w:val="00203E32"/>
    <w:rsid w:val="00207A33"/>
    <w:rsid w:val="00215BFA"/>
    <w:rsid w:val="00251510"/>
    <w:rsid w:val="00266C7F"/>
    <w:rsid w:val="00272674"/>
    <w:rsid w:val="002849E7"/>
    <w:rsid w:val="002927CE"/>
    <w:rsid w:val="00292D2A"/>
    <w:rsid w:val="002A05F4"/>
    <w:rsid w:val="002A7B7C"/>
    <w:rsid w:val="002D6060"/>
    <w:rsid w:val="002D6430"/>
    <w:rsid w:val="002E0BA1"/>
    <w:rsid w:val="002F1A1E"/>
    <w:rsid w:val="003463E1"/>
    <w:rsid w:val="00347EBC"/>
    <w:rsid w:val="00355EF2"/>
    <w:rsid w:val="00361369"/>
    <w:rsid w:val="003625FD"/>
    <w:rsid w:val="0036558B"/>
    <w:rsid w:val="00372C0B"/>
    <w:rsid w:val="00375676"/>
    <w:rsid w:val="00382425"/>
    <w:rsid w:val="003915B9"/>
    <w:rsid w:val="0039799F"/>
    <w:rsid w:val="003B0848"/>
    <w:rsid w:val="003B19B3"/>
    <w:rsid w:val="003B6DB4"/>
    <w:rsid w:val="003B7B8D"/>
    <w:rsid w:val="003C743A"/>
    <w:rsid w:val="003D034F"/>
    <w:rsid w:val="003D0D5E"/>
    <w:rsid w:val="003D45E8"/>
    <w:rsid w:val="003F0C5C"/>
    <w:rsid w:val="003F15D8"/>
    <w:rsid w:val="003F6251"/>
    <w:rsid w:val="00407AC4"/>
    <w:rsid w:val="00422DDC"/>
    <w:rsid w:val="004259AB"/>
    <w:rsid w:val="00426B24"/>
    <w:rsid w:val="00435FF5"/>
    <w:rsid w:val="00436DFB"/>
    <w:rsid w:val="00440E99"/>
    <w:rsid w:val="00441A11"/>
    <w:rsid w:val="0044200D"/>
    <w:rsid w:val="004717B7"/>
    <w:rsid w:val="00473DD6"/>
    <w:rsid w:val="004859BF"/>
    <w:rsid w:val="00494F8C"/>
    <w:rsid w:val="004C1625"/>
    <w:rsid w:val="004D0CF7"/>
    <w:rsid w:val="004E46A6"/>
    <w:rsid w:val="004F4E93"/>
    <w:rsid w:val="005029C0"/>
    <w:rsid w:val="00512EAE"/>
    <w:rsid w:val="00513404"/>
    <w:rsid w:val="00521075"/>
    <w:rsid w:val="005241AE"/>
    <w:rsid w:val="00534566"/>
    <w:rsid w:val="00567B28"/>
    <w:rsid w:val="00575927"/>
    <w:rsid w:val="005840BC"/>
    <w:rsid w:val="00586933"/>
    <w:rsid w:val="0059432F"/>
    <w:rsid w:val="00594BFF"/>
    <w:rsid w:val="005956DC"/>
    <w:rsid w:val="005B3779"/>
    <w:rsid w:val="005E71CD"/>
    <w:rsid w:val="005F39E4"/>
    <w:rsid w:val="005F6E00"/>
    <w:rsid w:val="00601360"/>
    <w:rsid w:val="006126E1"/>
    <w:rsid w:val="0061507F"/>
    <w:rsid w:val="006464A4"/>
    <w:rsid w:val="0065784C"/>
    <w:rsid w:val="0067752D"/>
    <w:rsid w:val="00677EE5"/>
    <w:rsid w:val="006A4542"/>
    <w:rsid w:val="006B7D8B"/>
    <w:rsid w:val="006D36B9"/>
    <w:rsid w:val="006D74EB"/>
    <w:rsid w:val="006E3742"/>
    <w:rsid w:val="006E4309"/>
    <w:rsid w:val="006E507C"/>
    <w:rsid w:val="006F29E0"/>
    <w:rsid w:val="00700FCB"/>
    <w:rsid w:val="00704391"/>
    <w:rsid w:val="00711DDE"/>
    <w:rsid w:val="00713758"/>
    <w:rsid w:val="00720803"/>
    <w:rsid w:val="00726410"/>
    <w:rsid w:val="00733560"/>
    <w:rsid w:val="00734384"/>
    <w:rsid w:val="00740B7C"/>
    <w:rsid w:val="007448AC"/>
    <w:rsid w:val="00744F69"/>
    <w:rsid w:val="00750FFC"/>
    <w:rsid w:val="00771CF5"/>
    <w:rsid w:val="00776242"/>
    <w:rsid w:val="00793730"/>
    <w:rsid w:val="007A00A5"/>
    <w:rsid w:val="007A20B5"/>
    <w:rsid w:val="007A70FD"/>
    <w:rsid w:val="007B0D9F"/>
    <w:rsid w:val="007C1E0C"/>
    <w:rsid w:val="007C7303"/>
    <w:rsid w:val="007D2D1F"/>
    <w:rsid w:val="007F011F"/>
    <w:rsid w:val="007F2D41"/>
    <w:rsid w:val="00802B63"/>
    <w:rsid w:val="00814497"/>
    <w:rsid w:val="00824A3A"/>
    <w:rsid w:val="00830D10"/>
    <w:rsid w:val="00832EFE"/>
    <w:rsid w:val="00833CE9"/>
    <w:rsid w:val="008349AD"/>
    <w:rsid w:val="00834F91"/>
    <w:rsid w:val="0083537B"/>
    <w:rsid w:val="00856C04"/>
    <w:rsid w:val="00895F27"/>
    <w:rsid w:val="0089605C"/>
    <w:rsid w:val="008A198C"/>
    <w:rsid w:val="008A7322"/>
    <w:rsid w:val="008B1A05"/>
    <w:rsid w:val="008B4586"/>
    <w:rsid w:val="008D1A78"/>
    <w:rsid w:val="008D213B"/>
    <w:rsid w:val="008D54FC"/>
    <w:rsid w:val="008F3E36"/>
    <w:rsid w:val="00903FF3"/>
    <w:rsid w:val="00926CF5"/>
    <w:rsid w:val="00926F08"/>
    <w:rsid w:val="00941CF1"/>
    <w:rsid w:val="0095143E"/>
    <w:rsid w:val="009544B5"/>
    <w:rsid w:val="0097273F"/>
    <w:rsid w:val="00973516"/>
    <w:rsid w:val="0098541B"/>
    <w:rsid w:val="00987FC4"/>
    <w:rsid w:val="009B2929"/>
    <w:rsid w:val="009B4737"/>
    <w:rsid w:val="009C3AEA"/>
    <w:rsid w:val="009C70A2"/>
    <w:rsid w:val="009D234D"/>
    <w:rsid w:val="009E7E86"/>
    <w:rsid w:val="009F0F6E"/>
    <w:rsid w:val="00A039A1"/>
    <w:rsid w:val="00A06C80"/>
    <w:rsid w:val="00A12F99"/>
    <w:rsid w:val="00A14F3E"/>
    <w:rsid w:val="00A2236C"/>
    <w:rsid w:val="00A2614C"/>
    <w:rsid w:val="00A43697"/>
    <w:rsid w:val="00A52F90"/>
    <w:rsid w:val="00A5308C"/>
    <w:rsid w:val="00A67C0C"/>
    <w:rsid w:val="00A70D05"/>
    <w:rsid w:val="00A75B6B"/>
    <w:rsid w:val="00A77E7E"/>
    <w:rsid w:val="00A9128B"/>
    <w:rsid w:val="00A93326"/>
    <w:rsid w:val="00AA6C02"/>
    <w:rsid w:val="00AB789A"/>
    <w:rsid w:val="00AD328F"/>
    <w:rsid w:val="00AE1EB8"/>
    <w:rsid w:val="00AE4674"/>
    <w:rsid w:val="00AE4781"/>
    <w:rsid w:val="00AF1296"/>
    <w:rsid w:val="00B23569"/>
    <w:rsid w:val="00B3074C"/>
    <w:rsid w:val="00B32D9B"/>
    <w:rsid w:val="00B4086F"/>
    <w:rsid w:val="00B40CF6"/>
    <w:rsid w:val="00B50506"/>
    <w:rsid w:val="00B63A84"/>
    <w:rsid w:val="00B63B12"/>
    <w:rsid w:val="00B91294"/>
    <w:rsid w:val="00B91A34"/>
    <w:rsid w:val="00B951B5"/>
    <w:rsid w:val="00BC6232"/>
    <w:rsid w:val="00BC74F2"/>
    <w:rsid w:val="00BC77BA"/>
    <w:rsid w:val="00BE0BE7"/>
    <w:rsid w:val="00BF28EA"/>
    <w:rsid w:val="00C04D6D"/>
    <w:rsid w:val="00C10C11"/>
    <w:rsid w:val="00C11B12"/>
    <w:rsid w:val="00C141D3"/>
    <w:rsid w:val="00C14A1B"/>
    <w:rsid w:val="00C14ABA"/>
    <w:rsid w:val="00C15207"/>
    <w:rsid w:val="00C21BA7"/>
    <w:rsid w:val="00C24D30"/>
    <w:rsid w:val="00C2515D"/>
    <w:rsid w:val="00C3739D"/>
    <w:rsid w:val="00C43329"/>
    <w:rsid w:val="00C4483C"/>
    <w:rsid w:val="00C52E24"/>
    <w:rsid w:val="00C87C51"/>
    <w:rsid w:val="00CE47AA"/>
    <w:rsid w:val="00D05F80"/>
    <w:rsid w:val="00D179F4"/>
    <w:rsid w:val="00D25F3F"/>
    <w:rsid w:val="00D32235"/>
    <w:rsid w:val="00D36634"/>
    <w:rsid w:val="00D43295"/>
    <w:rsid w:val="00D6760B"/>
    <w:rsid w:val="00D711BC"/>
    <w:rsid w:val="00D717AA"/>
    <w:rsid w:val="00D7612D"/>
    <w:rsid w:val="00D777A1"/>
    <w:rsid w:val="00D8747F"/>
    <w:rsid w:val="00D91686"/>
    <w:rsid w:val="00DA65F2"/>
    <w:rsid w:val="00DB6736"/>
    <w:rsid w:val="00DC6DD5"/>
    <w:rsid w:val="00DD04FB"/>
    <w:rsid w:val="00DF2D0C"/>
    <w:rsid w:val="00DF3263"/>
    <w:rsid w:val="00E11695"/>
    <w:rsid w:val="00E12E11"/>
    <w:rsid w:val="00E17DDA"/>
    <w:rsid w:val="00E27616"/>
    <w:rsid w:val="00E32E0A"/>
    <w:rsid w:val="00E73C2A"/>
    <w:rsid w:val="00E826ED"/>
    <w:rsid w:val="00E94228"/>
    <w:rsid w:val="00E95DFC"/>
    <w:rsid w:val="00E96D60"/>
    <w:rsid w:val="00EA1ED4"/>
    <w:rsid w:val="00EC35DC"/>
    <w:rsid w:val="00EC5EFC"/>
    <w:rsid w:val="00EC79A7"/>
    <w:rsid w:val="00EE509B"/>
    <w:rsid w:val="00F25741"/>
    <w:rsid w:val="00F26068"/>
    <w:rsid w:val="00F34B4E"/>
    <w:rsid w:val="00F448CF"/>
    <w:rsid w:val="00F50F19"/>
    <w:rsid w:val="00F70DDD"/>
    <w:rsid w:val="00F738EB"/>
    <w:rsid w:val="00F8078B"/>
    <w:rsid w:val="00FA56F7"/>
    <w:rsid w:val="00FB3019"/>
    <w:rsid w:val="00FB5BFA"/>
    <w:rsid w:val="00FD044E"/>
    <w:rsid w:val="00FE2315"/>
    <w:rsid w:val="00FE305A"/>
    <w:rsid w:val="00FE3893"/>
    <w:rsid w:val="00FF1BBA"/>
    <w:rsid w:val="00FF4878"/>
    <w:rsid w:val="00FF4EA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C5C"/>
    <w:rPr>
      <w:rFonts w:ascii="Calibri" w:hAnsi="Calibri"/>
      <w:sz w:val="24"/>
      <w:lang w:eastAsia="en-US"/>
    </w:rPr>
  </w:style>
  <w:style w:type="paragraph" w:styleId="Heading1">
    <w:name w:val="heading 1"/>
    <w:basedOn w:val="Normal"/>
    <w:next w:val="BodyText"/>
    <w:qFormat/>
    <w:rsid w:val="003F0C5C"/>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qFormat/>
    <w:rsid w:val="003F0C5C"/>
    <w:pPr>
      <w:keepNext/>
      <w:spacing w:before="60" w:after="60"/>
      <w:jc w:val="center"/>
      <w:outlineLvl w:val="1"/>
    </w:pPr>
    <w:rPr>
      <w:b/>
      <w:snapToGrid w:val="0"/>
      <w:sz w:val="20"/>
    </w:rPr>
  </w:style>
  <w:style w:type="paragraph" w:styleId="Heading3">
    <w:name w:val="heading 3"/>
    <w:basedOn w:val="Normal"/>
    <w:next w:val="BodyText"/>
    <w:link w:val="Heading3Char"/>
    <w:qFormat/>
    <w:rsid w:val="003F0C5C"/>
    <w:pPr>
      <w:keepNext/>
      <w:keepLines/>
      <w:spacing w:before="240" w:after="60"/>
      <w:outlineLvl w:val="2"/>
    </w:pPr>
    <w:rPr>
      <w:rFonts w:ascii="Arial" w:hAnsi="Arial" w:cs="Arial"/>
      <w:b/>
      <w:bCs/>
      <w:szCs w:val="26"/>
    </w:rPr>
  </w:style>
  <w:style w:type="paragraph" w:styleId="Heading4">
    <w:name w:val="heading 4"/>
    <w:basedOn w:val="Normal"/>
    <w:next w:val="BodyText"/>
    <w:qFormat/>
    <w:rsid w:val="003F0C5C"/>
    <w:pPr>
      <w:keepNext/>
      <w:keepLines/>
      <w:spacing w:before="120" w:after="120"/>
      <w:outlineLvl w:val="3"/>
    </w:pPr>
    <w:rPr>
      <w:i/>
    </w:rPr>
  </w:style>
  <w:style w:type="paragraph" w:styleId="Heading5">
    <w:name w:val="heading 5"/>
    <w:basedOn w:val="Normal"/>
    <w:next w:val="Normal"/>
    <w:autoRedefine/>
    <w:qFormat/>
    <w:rsid w:val="003F0C5C"/>
    <w:pPr>
      <w:keepNext/>
      <w:numPr>
        <w:ilvl w:val="4"/>
        <w:numId w:val="37"/>
      </w:numPr>
      <w:outlineLvl w:val="4"/>
    </w:pPr>
    <w:rPr>
      <w:b/>
      <w:i/>
      <w:sz w:val="20"/>
    </w:rPr>
  </w:style>
  <w:style w:type="paragraph" w:styleId="Heading6">
    <w:name w:val="heading 6"/>
    <w:basedOn w:val="Normal"/>
    <w:next w:val="Normal"/>
    <w:qFormat/>
    <w:rsid w:val="003F0C5C"/>
    <w:pPr>
      <w:keepNext/>
      <w:jc w:val="right"/>
      <w:outlineLvl w:val="5"/>
    </w:pPr>
    <w:rPr>
      <w:b/>
      <w:sz w:val="20"/>
    </w:rPr>
  </w:style>
  <w:style w:type="paragraph" w:styleId="Heading7">
    <w:name w:val="heading 7"/>
    <w:basedOn w:val="Normal"/>
    <w:next w:val="Normal"/>
    <w:qFormat/>
    <w:rsid w:val="003F0C5C"/>
    <w:pPr>
      <w:keepNext/>
      <w:ind w:left="159" w:hanging="159"/>
      <w:outlineLvl w:val="6"/>
    </w:pPr>
    <w:rPr>
      <w:b/>
      <w:sz w:val="20"/>
    </w:rPr>
  </w:style>
  <w:style w:type="paragraph" w:styleId="Heading8">
    <w:name w:val="heading 8"/>
    <w:basedOn w:val="Normal"/>
    <w:next w:val="Normal"/>
    <w:qFormat/>
    <w:rsid w:val="003F0C5C"/>
    <w:pPr>
      <w:keepNext/>
      <w:numPr>
        <w:ilvl w:val="7"/>
        <w:numId w:val="37"/>
      </w:numPr>
      <w:outlineLvl w:val="7"/>
    </w:pPr>
    <w:rPr>
      <w:rFonts w:ascii="Arial" w:hAnsi="Arial"/>
      <w:b/>
      <w:snapToGrid w:val="0"/>
      <w:color w:val="000000"/>
      <w:sz w:val="20"/>
    </w:rPr>
  </w:style>
  <w:style w:type="paragraph" w:styleId="Heading9">
    <w:name w:val="heading 9"/>
    <w:basedOn w:val="Normal"/>
    <w:next w:val="Normal"/>
    <w:qFormat/>
    <w:rsid w:val="003F0C5C"/>
    <w:pPr>
      <w:keepNext/>
      <w:numPr>
        <w:ilvl w:val="8"/>
        <w:numId w:val="37"/>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707E"/>
    <w:rPr>
      <w:rFonts w:ascii="Arial" w:hAnsi="Arial" w:cs="Arial"/>
      <w:b/>
      <w:bCs/>
      <w:sz w:val="24"/>
      <w:szCs w:val="26"/>
      <w:lang w:eastAsia="en-US"/>
    </w:rPr>
  </w:style>
  <w:style w:type="paragraph" w:styleId="BodyText">
    <w:name w:val="Body Text"/>
    <w:basedOn w:val="Normal"/>
    <w:link w:val="BodyTextChar"/>
    <w:rsid w:val="003F0C5C"/>
    <w:pPr>
      <w:keepNext/>
      <w:keepLines/>
      <w:spacing w:before="120" w:after="120"/>
      <w:jc w:val="both"/>
    </w:pPr>
  </w:style>
  <w:style w:type="paragraph" w:styleId="BodyTextIndent">
    <w:name w:val="Body Text Indent"/>
    <w:basedOn w:val="Normal"/>
    <w:next w:val="BodyText"/>
    <w:link w:val="BodyTextIndentChar"/>
    <w:rsid w:val="003F0C5C"/>
    <w:pPr>
      <w:keepNext/>
      <w:keepLines/>
      <w:numPr>
        <w:numId w:val="31"/>
      </w:numPr>
      <w:spacing w:after="120"/>
      <w:jc w:val="both"/>
    </w:pPr>
    <w:rPr>
      <w:szCs w:val="24"/>
    </w:rPr>
  </w:style>
  <w:style w:type="character" w:customStyle="1" w:styleId="BodyTextIndentChar">
    <w:name w:val="Body Text Indent Char"/>
    <w:basedOn w:val="DefaultParagraphFont"/>
    <w:link w:val="BodyTextIndent"/>
    <w:rsid w:val="007C7303"/>
    <w:rPr>
      <w:rFonts w:ascii="Calibri" w:hAnsi="Calibri"/>
      <w:sz w:val="24"/>
      <w:szCs w:val="24"/>
      <w:lang w:eastAsia="en-US"/>
    </w:rPr>
  </w:style>
  <w:style w:type="paragraph" w:styleId="BodyTextIndent2">
    <w:name w:val="Body Text Indent 2"/>
    <w:basedOn w:val="Normal"/>
    <w:rsid w:val="003F0C5C"/>
    <w:pPr>
      <w:keepNext/>
      <w:keepLines/>
      <w:numPr>
        <w:numId w:val="32"/>
      </w:numPr>
      <w:spacing w:after="120"/>
      <w:jc w:val="both"/>
    </w:pPr>
  </w:style>
  <w:style w:type="paragraph" w:styleId="BodyTextIndent3">
    <w:name w:val="Body Text Indent 3"/>
    <w:basedOn w:val="Normal"/>
    <w:rsid w:val="003F0C5C"/>
    <w:pPr>
      <w:keepNext/>
      <w:keepLines/>
      <w:numPr>
        <w:numId w:val="33"/>
      </w:numPr>
      <w:tabs>
        <w:tab w:val="left" w:pos="1134"/>
      </w:tabs>
      <w:spacing w:after="120"/>
      <w:jc w:val="both"/>
    </w:pPr>
    <w:rPr>
      <w:szCs w:val="24"/>
    </w:rPr>
  </w:style>
  <w:style w:type="paragraph" w:customStyle="1" w:styleId="BodyTextIndent4">
    <w:name w:val="Body Text Indent 4"/>
    <w:basedOn w:val="BodyText"/>
    <w:next w:val="BodyText"/>
    <w:rsid w:val="003F0C5C"/>
    <w:pPr>
      <w:numPr>
        <w:numId w:val="34"/>
      </w:numPr>
      <w:spacing w:before="0"/>
    </w:pPr>
  </w:style>
  <w:style w:type="paragraph" w:customStyle="1" w:styleId="SIHeading1">
    <w:name w:val="SI Heading 1"/>
    <w:basedOn w:val="Normal"/>
    <w:next w:val="BodyText"/>
    <w:rsid w:val="003F0C5C"/>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3F0C5C"/>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rsid w:val="003F0C5C"/>
    <w:pPr>
      <w:numPr>
        <w:numId w:val="49"/>
      </w:numPr>
      <w:spacing w:before="60"/>
    </w:pPr>
    <w:rPr>
      <w:kern w:val="16"/>
      <w:sz w:val="20"/>
      <w:szCs w:val="24"/>
    </w:rPr>
  </w:style>
  <w:style w:type="paragraph" w:customStyle="1" w:styleId="TableTextRightBold">
    <w:name w:val="Table Text Right Bold"/>
    <w:basedOn w:val="Normal"/>
    <w:rsid w:val="003F0C5C"/>
    <w:pPr>
      <w:ind w:left="357" w:hanging="357"/>
      <w:jc w:val="right"/>
    </w:pPr>
    <w:rPr>
      <w:b/>
      <w:sz w:val="20"/>
    </w:rPr>
  </w:style>
  <w:style w:type="paragraph" w:customStyle="1" w:styleId="NoteText">
    <w:name w:val="Note Text"/>
    <w:basedOn w:val="Normal"/>
    <w:rsid w:val="003F0C5C"/>
    <w:pPr>
      <w:jc w:val="both"/>
    </w:pPr>
    <w:rPr>
      <w:iCs/>
      <w:sz w:val="16"/>
    </w:rPr>
  </w:style>
  <w:style w:type="paragraph" w:styleId="Header">
    <w:name w:val="header"/>
    <w:basedOn w:val="Normal"/>
    <w:rsid w:val="003F0C5C"/>
    <w:pPr>
      <w:tabs>
        <w:tab w:val="center" w:pos="4153"/>
        <w:tab w:val="right" w:pos="8306"/>
      </w:tabs>
    </w:pPr>
  </w:style>
  <w:style w:type="paragraph" w:customStyle="1" w:styleId="Noteheading">
    <w:name w:val="Note heading"/>
    <w:basedOn w:val="Normal"/>
    <w:autoRedefine/>
    <w:rsid w:val="003F0C5C"/>
    <w:pPr>
      <w:spacing w:before="120"/>
      <w:ind w:left="28"/>
    </w:pPr>
    <w:rPr>
      <w:b/>
      <w:bCs/>
      <w:sz w:val="20"/>
    </w:rPr>
  </w:style>
  <w:style w:type="paragraph" w:customStyle="1" w:styleId="TableHeadingLeft">
    <w:name w:val="Table Heading Left"/>
    <w:basedOn w:val="Normal"/>
    <w:link w:val="TableHeadingLeftChar"/>
    <w:rsid w:val="003F0C5C"/>
    <w:pPr>
      <w:keepNext/>
    </w:pPr>
    <w:rPr>
      <w:b/>
      <w:sz w:val="20"/>
      <w:lang w:eastAsia="en-AU"/>
    </w:rPr>
  </w:style>
  <w:style w:type="character" w:customStyle="1" w:styleId="TableHeadingLeftChar">
    <w:name w:val="Table Heading Left Char"/>
    <w:basedOn w:val="DefaultParagraphFont"/>
    <w:link w:val="TableHeadingLeft"/>
    <w:rsid w:val="000C707E"/>
    <w:rPr>
      <w:rFonts w:ascii="Calibri" w:hAnsi="Calibri"/>
      <w:b/>
    </w:rPr>
  </w:style>
  <w:style w:type="paragraph" w:customStyle="1" w:styleId="TableTextRight">
    <w:name w:val="Table Text Right"/>
    <w:basedOn w:val="Normal"/>
    <w:rsid w:val="003F0C5C"/>
    <w:pPr>
      <w:ind w:left="357" w:hanging="357"/>
      <w:jc w:val="right"/>
    </w:pPr>
    <w:rPr>
      <w:sz w:val="20"/>
    </w:rPr>
  </w:style>
  <w:style w:type="paragraph" w:customStyle="1" w:styleId="TableTextLeftBold">
    <w:name w:val="Table Text Left Bold"/>
    <w:basedOn w:val="Normal"/>
    <w:link w:val="TableTextLeftBoldChar"/>
    <w:rsid w:val="003F0C5C"/>
    <w:pPr>
      <w:ind w:left="357" w:hanging="357"/>
    </w:pPr>
    <w:rPr>
      <w:b/>
      <w:sz w:val="20"/>
    </w:rPr>
  </w:style>
  <w:style w:type="character" w:customStyle="1" w:styleId="TableTextLeftBoldChar">
    <w:name w:val="Table Text Left Bold Char"/>
    <w:basedOn w:val="DefaultParagraphFont"/>
    <w:link w:val="TableTextLeftBold"/>
    <w:rsid w:val="000C707E"/>
    <w:rPr>
      <w:rFonts w:ascii="Calibri" w:hAnsi="Calibri"/>
      <w:b/>
      <w:lang w:eastAsia="en-US"/>
    </w:rPr>
  </w:style>
  <w:style w:type="paragraph" w:customStyle="1" w:styleId="TableTextLeft">
    <w:name w:val="Table Text Left"/>
    <w:basedOn w:val="Normal"/>
    <w:rsid w:val="003F0C5C"/>
    <w:pPr>
      <w:ind w:left="357" w:hanging="357"/>
    </w:pPr>
    <w:rPr>
      <w:sz w:val="20"/>
      <w:szCs w:val="18"/>
    </w:rPr>
  </w:style>
  <w:style w:type="paragraph" w:customStyle="1" w:styleId="FooterBP">
    <w:name w:val="Footer BP"/>
    <w:basedOn w:val="Normal"/>
    <w:next w:val="Normal"/>
    <w:rsid w:val="003F0C5C"/>
    <w:pPr>
      <w:pBdr>
        <w:top w:val="single" w:sz="4" w:space="1" w:color="auto"/>
      </w:pBdr>
      <w:tabs>
        <w:tab w:val="center" w:pos="4536"/>
        <w:tab w:val="right" w:pos="9356"/>
      </w:tabs>
      <w:ind w:left="-284" w:right="-329"/>
    </w:pPr>
    <w:rPr>
      <w:i/>
      <w:sz w:val="20"/>
    </w:rPr>
  </w:style>
  <w:style w:type="paragraph" w:customStyle="1" w:styleId="Heading3TopofPage">
    <w:name w:val="Heading 3 Top of Page"/>
    <w:basedOn w:val="Heading3"/>
    <w:next w:val="BodyText"/>
    <w:rsid w:val="003F0C5C"/>
    <w:pPr>
      <w:spacing w:before="0"/>
    </w:pPr>
    <w:rPr>
      <w:rFonts w:cs="Times New Roman"/>
      <w:lang w:eastAsia="en-AU"/>
    </w:rPr>
  </w:style>
  <w:style w:type="paragraph" w:customStyle="1" w:styleId="Heading3Centred">
    <w:name w:val="Heading 3 Centred"/>
    <w:basedOn w:val="Heading3"/>
    <w:next w:val="BodyText"/>
    <w:rsid w:val="003F0C5C"/>
    <w:pPr>
      <w:spacing w:before="0"/>
      <w:jc w:val="center"/>
    </w:pPr>
    <w:rPr>
      <w:rFonts w:cs="Times New Roman"/>
      <w:lang w:eastAsia="en-AU"/>
    </w:rPr>
  </w:style>
  <w:style w:type="paragraph" w:customStyle="1" w:styleId="AITableText">
    <w:name w:val="AI Table Text"/>
    <w:basedOn w:val="Normal"/>
    <w:link w:val="AITableTextChar"/>
    <w:rsid w:val="003F0C5C"/>
    <w:pPr>
      <w:jc w:val="right"/>
    </w:pPr>
    <w:rPr>
      <w:sz w:val="20"/>
      <w:szCs w:val="24"/>
    </w:rPr>
  </w:style>
  <w:style w:type="character" w:customStyle="1" w:styleId="AITableTextChar">
    <w:name w:val="AI Table Text Char"/>
    <w:basedOn w:val="DefaultParagraphFont"/>
    <w:link w:val="AITableText"/>
    <w:rsid w:val="000C707E"/>
    <w:rPr>
      <w:rFonts w:ascii="Calibri" w:hAnsi="Calibri"/>
      <w:szCs w:val="24"/>
      <w:lang w:eastAsia="en-US"/>
    </w:rPr>
  </w:style>
  <w:style w:type="paragraph" w:styleId="BalloonText">
    <w:name w:val="Balloon Text"/>
    <w:basedOn w:val="Normal"/>
    <w:semiHidden/>
    <w:rsid w:val="003F0C5C"/>
    <w:rPr>
      <w:rFonts w:ascii="Tahoma" w:hAnsi="Tahoma" w:cs="Tahoma"/>
      <w:sz w:val="16"/>
      <w:szCs w:val="16"/>
    </w:rPr>
  </w:style>
  <w:style w:type="paragraph" w:customStyle="1" w:styleId="Sub-Heading">
    <w:name w:val="Sub-Heading"/>
    <w:basedOn w:val="Normal"/>
    <w:next w:val="BodyText"/>
    <w:rsid w:val="003F0C5C"/>
    <w:pPr>
      <w:keepNext/>
      <w:spacing w:before="240" w:after="120"/>
      <w:outlineLvl w:val="0"/>
    </w:pPr>
    <w:rPr>
      <w:rFonts w:ascii="Arial" w:hAnsi="Arial"/>
      <w:i/>
    </w:rPr>
  </w:style>
  <w:style w:type="paragraph" w:customStyle="1" w:styleId="TableName">
    <w:name w:val="Table Name"/>
    <w:basedOn w:val="Normal"/>
    <w:rsid w:val="003F0C5C"/>
    <w:pPr>
      <w:keepNext/>
      <w:keepLines/>
      <w:spacing w:after="120"/>
      <w:jc w:val="center"/>
    </w:pPr>
    <w:rPr>
      <w:rFonts w:ascii="Arial" w:hAnsi="Arial"/>
      <w:b/>
      <w:sz w:val="20"/>
    </w:rPr>
  </w:style>
  <w:style w:type="paragraph" w:customStyle="1" w:styleId="TableNumber">
    <w:name w:val="Table Number"/>
    <w:basedOn w:val="TableName"/>
    <w:next w:val="TableName"/>
    <w:rsid w:val="003F0C5C"/>
    <w:pPr>
      <w:spacing w:before="60" w:after="0"/>
    </w:pPr>
  </w:style>
  <w:style w:type="character" w:styleId="CommentReference">
    <w:name w:val="annotation reference"/>
    <w:basedOn w:val="DefaultParagraphFont"/>
    <w:rsid w:val="003F0C5C"/>
    <w:rPr>
      <w:rFonts w:ascii="Calibri" w:hAnsi="Calibri"/>
      <w:sz w:val="16"/>
      <w:szCs w:val="16"/>
    </w:rPr>
  </w:style>
  <w:style w:type="paragraph" w:styleId="CommentText">
    <w:name w:val="annotation text"/>
    <w:basedOn w:val="Normal"/>
    <w:rsid w:val="003F0C5C"/>
    <w:rPr>
      <w:sz w:val="20"/>
    </w:rPr>
  </w:style>
  <w:style w:type="paragraph" w:styleId="CommentSubject">
    <w:name w:val="annotation subject"/>
    <w:basedOn w:val="CommentText"/>
    <w:next w:val="CommentText"/>
    <w:rsid w:val="003F0C5C"/>
    <w:rPr>
      <w:b/>
      <w:bCs/>
    </w:rPr>
  </w:style>
  <w:style w:type="character" w:customStyle="1" w:styleId="BodyTextChar">
    <w:name w:val="Body Text Char"/>
    <w:basedOn w:val="DefaultParagraphFont"/>
    <w:link w:val="BodyText"/>
    <w:locked/>
    <w:rsid w:val="007C7303"/>
    <w:rPr>
      <w:rFonts w:ascii="Calibri" w:hAnsi="Calibri"/>
      <w:sz w:val="24"/>
      <w:lang w:eastAsia="en-US"/>
    </w:rPr>
  </w:style>
  <w:style w:type="paragraph" w:styleId="Footer">
    <w:name w:val="footer"/>
    <w:basedOn w:val="Normal"/>
    <w:link w:val="FooterChar"/>
    <w:rsid w:val="003F0C5C"/>
    <w:pPr>
      <w:tabs>
        <w:tab w:val="center" w:pos="4153"/>
        <w:tab w:val="right" w:pos="8306"/>
      </w:tabs>
    </w:pPr>
  </w:style>
  <w:style w:type="character" w:customStyle="1" w:styleId="FooterChar">
    <w:name w:val="Footer Char"/>
    <w:basedOn w:val="DefaultParagraphFont"/>
    <w:link w:val="Footer"/>
    <w:rsid w:val="00F26068"/>
    <w:rPr>
      <w:rFonts w:ascii="Calibri" w:hAnsi="Calibri"/>
      <w:sz w:val="24"/>
      <w:lang w:eastAsia="en-US"/>
    </w:rPr>
  </w:style>
  <w:style w:type="numbering" w:styleId="111111">
    <w:name w:val="Outline List 2"/>
    <w:basedOn w:val="NoList"/>
    <w:rsid w:val="003F0C5C"/>
    <w:pPr>
      <w:numPr>
        <w:numId w:val="25"/>
      </w:numPr>
    </w:pPr>
  </w:style>
  <w:style w:type="numbering" w:styleId="1ai">
    <w:name w:val="Outline List 1"/>
    <w:basedOn w:val="NoList"/>
    <w:rsid w:val="003F0C5C"/>
    <w:pPr>
      <w:numPr>
        <w:numId w:val="27"/>
      </w:numPr>
    </w:pPr>
  </w:style>
  <w:style w:type="paragraph" w:customStyle="1" w:styleId="n">
    <w:name w:val="n"/>
    <w:basedOn w:val="Normal"/>
    <w:semiHidden/>
    <w:rsid w:val="003F0C5C"/>
    <w:pPr>
      <w:jc w:val="both"/>
    </w:pPr>
    <w:rPr>
      <w:sz w:val="16"/>
      <w:szCs w:val="24"/>
    </w:rPr>
  </w:style>
  <w:style w:type="paragraph" w:customStyle="1" w:styleId="1n">
    <w:name w:val="1. n"/>
    <w:basedOn w:val="n"/>
    <w:rsid w:val="003F0C5C"/>
    <w:rPr>
      <w:iCs/>
      <w:szCs w:val="20"/>
    </w:rPr>
  </w:style>
  <w:style w:type="paragraph" w:customStyle="1" w:styleId="an">
    <w:name w:val="a. n"/>
    <w:basedOn w:val="n"/>
    <w:rsid w:val="003F0C5C"/>
    <w:rPr>
      <w:iCs/>
      <w:szCs w:val="20"/>
    </w:rPr>
  </w:style>
  <w:style w:type="paragraph" w:customStyle="1" w:styleId="AIblurb">
    <w:name w:val="AI blurb"/>
    <w:basedOn w:val="Normal"/>
    <w:rsid w:val="003F0C5C"/>
    <w:pPr>
      <w:spacing w:before="120" w:after="240"/>
      <w:ind w:left="380"/>
      <w:jc w:val="both"/>
    </w:pPr>
    <w:rPr>
      <w:sz w:val="20"/>
    </w:rPr>
  </w:style>
  <w:style w:type="paragraph" w:customStyle="1" w:styleId="AIIndent">
    <w:name w:val="AI Indent"/>
    <w:basedOn w:val="Normal"/>
    <w:rsid w:val="003F0C5C"/>
    <w:pPr>
      <w:tabs>
        <w:tab w:val="num" w:pos="360"/>
      </w:tabs>
      <w:ind w:left="357" w:hanging="357"/>
    </w:pPr>
    <w:rPr>
      <w:sz w:val="20"/>
    </w:rPr>
  </w:style>
  <w:style w:type="paragraph" w:customStyle="1" w:styleId="AINotes">
    <w:name w:val="AI Notes"/>
    <w:basedOn w:val="Normal"/>
    <w:rsid w:val="003F0C5C"/>
    <w:pPr>
      <w:numPr>
        <w:numId w:val="28"/>
      </w:numPr>
      <w:jc w:val="both"/>
    </w:pPr>
    <w:rPr>
      <w:sz w:val="16"/>
    </w:rPr>
  </w:style>
  <w:style w:type="numbering" w:styleId="ArticleSection">
    <w:name w:val="Outline List 3"/>
    <w:basedOn w:val="NoList"/>
    <w:rsid w:val="003F0C5C"/>
    <w:pPr>
      <w:numPr>
        <w:numId w:val="30"/>
      </w:numPr>
    </w:pPr>
  </w:style>
  <w:style w:type="paragraph" w:styleId="BlockText">
    <w:name w:val="Block Text"/>
    <w:basedOn w:val="Normal"/>
    <w:rsid w:val="003F0C5C"/>
    <w:pPr>
      <w:spacing w:after="120"/>
      <w:ind w:left="1440" w:right="1440"/>
    </w:pPr>
  </w:style>
  <w:style w:type="paragraph" w:styleId="BodyText2">
    <w:name w:val="Body Text 2"/>
    <w:basedOn w:val="Normal"/>
    <w:link w:val="BodyText2Char"/>
    <w:rsid w:val="003F0C5C"/>
    <w:pPr>
      <w:spacing w:after="120" w:line="480" w:lineRule="auto"/>
    </w:pPr>
  </w:style>
  <w:style w:type="character" w:customStyle="1" w:styleId="BodyText2Char">
    <w:name w:val="Body Text 2 Char"/>
    <w:basedOn w:val="DefaultParagraphFont"/>
    <w:link w:val="BodyText2"/>
    <w:rsid w:val="003F0C5C"/>
    <w:rPr>
      <w:rFonts w:ascii="Calibri" w:hAnsi="Calibri"/>
      <w:sz w:val="24"/>
      <w:lang w:eastAsia="en-US"/>
    </w:rPr>
  </w:style>
  <w:style w:type="paragraph" w:styleId="BodyText3">
    <w:name w:val="Body Text 3"/>
    <w:basedOn w:val="Normal"/>
    <w:link w:val="BodyText3Char"/>
    <w:rsid w:val="003F0C5C"/>
    <w:pPr>
      <w:spacing w:after="120"/>
    </w:pPr>
    <w:rPr>
      <w:sz w:val="16"/>
      <w:szCs w:val="16"/>
    </w:rPr>
  </w:style>
  <w:style w:type="character" w:customStyle="1" w:styleId="BodyText3Char">
    <w:name w:val="Body Text 3 Char"/>
    <w:basedOn w:val="DefaultParagraphFont"/>
    <w:link w:val="BodyText3"/>
    <w:rsid w:val="003F0C5C"/>
    <w:rPr>
      <w:rFonts w:ascii="Calibri" w:hAnsi="Calibri"/>
      <w:sz w:val="16"/>
      <w:szCs w:val="16"/>
      <w:lang w:eastAsia="en-US"/>
    </w:rPr>
  </w:style>
  <w:style w:type="paragraph" w:styleId="BodyTextFirstIndent">
    <w:name w:val="Body Text First Indent"/>
    <w:basedOn w:val="BodyText"/>
    <w:link w:val="BodyTextFirstIndentChar"/>
    <w:rsid w:val="003F0C5C"/>
    <w:pPr>
      <w:spacing w:before="0"/>
      <w:ind w:firstLine="210"/>
      <w:jc w:val="left"/>
    </w:pPr>
  </w:style>
  <w:style w:type="character" w:customStyle="1" w:styleId="BodyTextFirstIndentChar">
    <w:name w:val="Body Text First Indent Char"/>
    <w:basedOn w:val="BodyTextChar"/>
    <w:link w:val="BodyTextFirstIndent"/>
    <w:rsid w:val="003F0C5C"/>
  </w:style>
  <w:style w:type="paragraph" w:styleId="BodyTextFirstIndent2">
    <w:name w:val="Body Text First Indent 2"/>
    <w:basedOn w:val="BodyTextIndent"/>
    <w:link w:val="BodyTextFirstIndent2Char"/>
    <w:rsid w:val="003F0C5C"/>
    <w:pPr>
      <w:numPr>
        <w:numId w:val="0"/>
      </w:numPr>
      <w:ind w:left="283" w:firstLine="210"/>
      <w:jc w:val="left"/>
    </w:pPr>
  </w:style>
  <w:style w:type="character" w:customStyle="1" w:styleId="BodyTextFirstIndent2Char">
    <w:name w:val="Body Text First Indent 2 Char"/>
    <w:basedOn w:val="BodyTextIndentChar"/>
    <w:link w:val="BodyTextFirstIndent2"/>
    <w:rsid w:val="003F0C5C"/>
  </w:style>
  <w:style w:type="character" w:customStyle="1" w:styleId="CharChar">
    <w:name w:val="Char Char"/>
    <w:basedOn w:val="DefaultParagraphFont"/>
    <w:rsid w:val="003F0C5C"/>
    <w:rPr>
      <w:rFonts w:ascii="Calibri" w:hAnsi="Calibri"/>
      <w:sz w:val="24"/>
      <w:lang w:val="en-AU" w:eastAsia="en-US" w:bidi="ar-SA"/>
    </w:rPr>
  </w:style>
  <w:style w:type="character" w:customStyle="1" w:styleId="CharChar1">
    <w:name w:val="Char Char1"/>
    <w:basedOn w:val="DefaultParagraphFont"/>
    <w:rsid w:val="003F0C5C"/>
    <w:rPr>
      <w:rFonts w:ascii="Arial" w:hAnsi="Arial" w:cs="Arial"/>
      <w:b/>
      <w:bCs/>
      <w:sz w:val="24"/>
      <w:szCs w:val="26"/>
      <w:lang w:val="en-AU" w:eastAsia="en-US" w:bidi="ar-SA"/>
    </w:rPr>
  </w:style>
  <w:style w:type="paragraph" w:styleId="Closing">
    <w:name w:val="Closing"/>
    <w:basedOn w:val="Normal"/>
    <w:link w:val="ClosingChar"/>
    <w:rsid w:val="003F0C5C"/>
    <w:pPr>
      <w:ind w:left="4252"/>
    </w:pPr>
  </w:style>
  <w:style w:type="character" w:customStyle="1" w:styleId="ClosingChar">
    <w:name w:val="Closing Char"/>
    <w:basedOn w:val="DefaultParagraphFont"/>
    <w:link w:val="Closing"/>
    <w:rsid w:val="003F0C5C"/>
    <w:rPr>
      <w:rFonts w:ascii="Calibri" w:hAnsi="Calibri"/>
      <w:sz w:val="24"/>
      <w:lang w:eastAsia="en-US"/>
    </w:rPr>
  </w:style>
  <w:style w:type="table" w:styleId="ColorfulGrid-Accent2">
    <w:name w:val="Colorful Grid Accent 2"/>
    <w:basedOn w:val="TableNormal"/>
    <w:uiPriority w:val="73"/>
    <w:rsid w:val="003F0C5C"/>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F0C5C"/>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F0C5C"/>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F0C5C"/>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F0C5C"/>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Date">
    <w:name w:val="Date"/>
    <w:basedOn w:val="Normal"/>
    <w:next w:val="Normal"/>
    <w:link w:val="DateChar"/>
    <w:rsid w:val="003F0C5C"/>
  </w:style>
  <w:style w:type="character" w:customStyle="1" w:styleId="DateChar">
    <w:name w:val="Date Char"/>
    <w:basedOn w:val="DefaultParagraphFont"/>
    <w:link w:val="Date"/>
    <w:rsid w:val="003F0C5C"/>
    <w:rPr>
      <w:rFonts w:ascii="Calibri" w:hAnsi="Calibri"/>
      <w:sz w:val="24"/>
      <w:lang w:eastAsia="en-US"/>
    </w:rPr>
  </w:style>
  <w:style w:type="paragraph" w:styleId="E-mailSignature">
    <w:name w:val="E-mail Signature"/>
    <w:basedOn w:val="Normal"/>
    <w:link w:val="E-mailSignatureChar"/>
    <w:rsid w:val="003F0C5C"/>
  </w:style>
  <w:style w:type="character" w:customStyle="1" w:styleId="E-mailSignatureChar">
    <w:name w:val="E-mail Signature Char"/>
    <w:basedOn w:val="DefaultParagraphFont"/>
    <w:link w:val="E-mailSignature"/>
    <w:rsid w:val="003F0C5C"/>
    <w:rPr>
      <w:rFonts w:ascii="Calibri" w:hAnsi="Calibri"/>
      <w:sz w:val="24"/>
      <w:lang w:eastAsia="en-US"/>
    </w:rPr>
  </w:style>
  <w:style w:type="character" w:styleId="Emphasis">
    <w:name w:val="Emphasis"/>
    <w:basedOn w:val="DefaultParagraphFont"/>
    <w:qFormat/>
    <w:rsid w:val="003F0C5C"/>
    <w:rPr>
      <w:rFonts w:ascii="Calibri" w:hAnsi="Calibri"/>
      <w:i/>
      <w:iCs/>
    </w:rPr>
  </w:style>
  <w:style w:type="character" w:styleId="EndnoteReference">
    <w:name w:val="endnote reference"/>
    <w:basedOn w:val="DefaultParagraphFont"/>
    <w:rsid w:val="003F0C5C"/>
    <w:rPr>
      <w:rFonts w:ascii="Calibri" w:hAnsi="Calibri"/>
      <w:vertAlign w:val="superscript"/>
    </w:rPr>
  </w:style>
  <w:style w:type="paragraph" w:styleId="EndnoteText">
    <w:name w:val="endnote text"/>
    <w:basedOn w:val="Normal"/>
    <w:link w:val="EndnoteTextChar"/>
    <w:rsid w:val="003F0C5C"/>
    <w:rPr>
      <w:sz w:val="20"/>
    </w:rPr>
  </w:style>
  <w:style w:type="character" w:customStyle="1" w:styleId="EndnoteTextChar">
    <w:name w:val="Endnote Text Char"/>
    <w:basedOn w:val="DefaultParagraphFont"/>
    <w:link w:val="EndnoteText"/>
    <w:rsid w:val="003F0C5C"/>
    <w:rPr>
      <w:rFonts w:ascii="Calibri" w:hAnsi="Calibri"/>
      <w:lang w:eastAsia="en-US"/>
    </w:rPr>
  </w:style>
  <w:style w:type="paragraph" w:styleId="EnvelopeAddress">
    <w:name w:val="envelope address"/>
    <w:basedOn w:val="Normal"/>
    <w:rsid w:val="003F0C5C"/>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3F0C5C"/>
    <w:rPr>
      <w:rFonts w:ascii="Arial" w:hAnsi="Arial" w:cs="Arial"/>
      <w:sz w:val="20"/>
    </w:rPr>
  </w:style>
  <w:style w:type="character" w:styleId="FollowedHyperlink">
    <w:name w:val="FollowedHyperlink"/>
    <w:basedOn w:val="DefaultParagraphFont"/>
    <w:rsid w:val="003F0C5C"/>
    <w:rPr>
      <w:color w:val="800080"/>
      <w:u w:val="single"/>
    </w:rPr>
  </w:style>
  <w:style w:type="character" w:styleId="FootnoteReference">
    <w:name w:val="footnote reference"/>
    <w:basedOn w:val="DefaultParagraphFont"/>
    <w:rsid w:val="003F0C5C"/>
    <w:rPr>
      <w:rFonts w:ascii="Calibri" w:hAnsi="Calibri"/>
      <w:vertAlign w:val="superscript"/>
    </w:rPr>
  </w:style>
  <w:style w:type="paragraph" w:styleId="FootnoteText">
    <w:name w:val="footnote text"/>
    <w:basedOn w:val="Normal"/>
    <w:link w:val="FootnoteTextChar"/>
    <w:rsid w:val="003F0C5C"/>
    <w:rPr>
      <w:sz w:val="20"/>
    </w:rPr>
  </w:style>
  <w:style w:type="character" w:customStyle="1" w:styleId="FootnoteTextChar">
    <w:name w:val="Footnote Text Char"/>
    <w:basedOn w:val="DefaultParagraphFont"/>
    <w:link w:val="FootnoteText"/>
    <w:rsid w:val="003F0C5C"/>
    <w:rPr>
      <w:rFonts w:ascii="Calibri" w:hAnsi="Calibri"/>
      <w:lang w:eastAsia="en-US"/>
    </w:rPr>
  </w:style>
  <w:style w:type="character" w:styleId="HTMLAcronym">
    <w:name w:val="HTML Acronym"/>
    <w:basedOn w:val="DefaultParagraphFont"/>
    <w:rsid w:val="003F0C5C"/>
  </w:style>
  <w:style w:type="paragraph" w:styleId="HTMLAddress">
    <w:name w:val="HTML Address"/>
    <w:basedOn w:val="Normal"/>
    <w:link w:val="HTMLAddressChar"/>
    <w:rsid w:val="003F0C5C"/>
    <w:rPr>
      <w:i/>
      <w:iCs/>
    </w:rPr>
  </w:style>
  <w:style w:type="character" w:customStyle="1" w:styleId="HTMLAddressChar">
    <w:name w:val="HTML Address Char"/>
    <w:basedOn w:val="DefaultParagraphFont"/>
    <w:link w:val="HTMLAddress"/>
    <w:rsid w:val="003F0C5C"/>
    <w:rPr>
      <w:rFonts w:ascii="Calibri" w:hAnsi="Calibri"/>
      <w:i/>
      <w:iCs/>
      <w:sz w:val="24"/>
      <w:lang w:eastAsia="en-US"/>
    </w:rPr>
  </w:style>
  <w:style w:type="character" w:styleId="HTMLCite">
    <w:name w:val="HTML Cite"/>
    <w:basedOn w:val="DefaultParagraphFont"/>
    <w:rsid w:val="003F0C5C"/>
    <w:rPr>
      <w:i/>
      <w:iCs/>
    </w:rPr>
  </w:style>
  <w:style w:type="character" w:styleId="HTMLCode">
    <w:name w:val="HTML Code"/>
    <w:basedOn w:val="DefaultParagraphFont"/>
    <w:rsid w:val="003F0C5C"/>
    <w:rPr>
      <w:rFonts w:ascii="Courier New" w:hAnsi="Courier New" w:cs="Courier New"/>
      <w:sz w:val="20"/>
      <w:szCs w:val="20"/>
    </w:rPr>
  </w:style>
  <w:style w:type="character" w:styleId="HTMLDefinition">
    <w:name w:val="HTML Definition"/>
    <w:basedOn w:val="DefaultParagraphFont"/>
    <w:rsid w:val="003F0C5C"/>
    <w:rPr>
      <w:i/>
      <w:iCs/>
    </w:rPr>
  </w:style>
  <w:style w:type="character" w:styleId="HTMLKeyboard">
    <w:name w:val="HTML Keyboard"/>
    <w:basedOn w:val="DefaultParagraphFont"/>
    <w:rsid w:val="003F0C5C"/>
    <w:rPr>
      <w:rFonts w:ascii="Courier New" w:hAnsi="Courier New" w:cs="Courier New"/>
      <w:sz w:val="20"/>
      <w:szCs w:val="20"/>
    </w:rPr>
  </w:style>
  <w:style w:type="paragraph" w:styleId="HTMLPreformatted">
    <w:name w:val="HTML Preformatted"/>
    <w:basedOn w:val="Normal"/>
    <w:link w:val="HTMLPreformattedChar"/>
    <w:rsid w:val="003F0C5C"/>
    <w:rPr>
      <w:rFonts w:ascii="Courier New" w:hAnsi="Courier New" w:cs="Courier New"/>
      <w:sz w:val="20"/>
    </w:rPr>
  </w:style>
  <w:style w:type="character" w:customStyle="1" w:styleId="HTMLPreformattedChar">
    <w:name w:val="HTML Preformatted Char"/>
    <w:basedOn w:val="DefaultParagraphFont"/>
    <w:link w:val="HTMLPreformatted"/>
    <w:rsid w:val="003F0C5C"/>
    <w:rPr>
      <w:rFonts w:ascii="Courier New" w:hAnsi="Courier New" w:cs="Courier New"/>
      <w:lang w:eastAsia="en-US"/>
    </w:rPr>
  </w:style>
  <w:style w:type="character" w:styleId="HTMLSample">
    <w:name w:val="HTML Sample"/>
    <w:basedOn w:val="DefaultParagraphFont"/>
    <w:rsid w:val="003F0C5C"/>
    <w:rPr>
      <w:rFonts w:ascii="Courier New" w:hAnsi="Courier New" w:cs="Courier New"/>
    </w:rPr>
  </w:style>
  <w:style w:type="character" w:styleId="HTMLTypewriter">
    <w:name w:val="HTML Typewriter"/>
    <w:basedOn w:val="DefaultParagraphFont"/>
    <w:rsid w:val="003F0C5C"/>
    <w:rPr>
      <w:rFonts w:ascii="Courier New" w:hAnsi="Courier New" w:cs="Courier New"/>
      <w:sz w:val="20"/>
      <w:szCs w:val="20"/>
    </w:rPr>
  </w:style>
  <w:style w:type="character" w:styleId="HTMLVariable">
    <w:name w:val="HTML Variable"/>
    <w:basedOn w:val="DefaultParagraphFont"/>
    <w:rsid w:val="003F0C5C"/>
    <w:rPr>
      <w:i/>
      <w:iCs/>
    </w:rPr>
  </w:style>
  <w:style w:type="character" w:styleId="Hyperlink">
    <w:name w:val="Hyperlink"/>
    <w:basedOn w:val="DefaultParagraphFont"/>
    <w:rsid w:val="003F0C5C"/>
    <w:rPr>
      <w:color w:val="0000FF"/>
      <w:u w:val="single"/>
    </w:rPr>
  </w:style>
  <w:style w:type="paragraph" w:styleId="Index1">
    <w:name w:val="index 1"/>
    <w:basedOn w:val="Normal"/>
    <w:next w:val="Normal"/>
    <w:autoRedefine/>
    <w:rsid w:val="003F0C5C"/>
    <w:pPr>
      <w:ind w:left="240" w:hanging="240"/>
    </w:pPr>
  </w:style>
  <w:style w:type="paragraph" w:styleId="Index2">
    <w:name w:val="index 2"/>
    <w:basedOn w:val="Normal"/>
    <w:next w:val="Normal"/>
    <w:autoRedefine/>
    <w:rsid w:val="003F0C5C"/>
    <w:pPr>
      <w:ind w:left="480" w:hanging="240"/>
    </w:pPr>
  </w:style>
  <w:style w:type="paragraph" w:styleId="Index3">
    <w:name w:val="index 3"/>
    <w:basedOn w:val="Normal"/>
    <w:next w:val="Normal"/>
    <w:autoRedefine/>
    <w:rsid w:val="003F0C5C"/>
    <w:pPr>
      <w:ind w:left="720" w:hanging="240"/>
    </w:pPr>
  </w:style>
  <w:style w:type="paragraph" w:styleId="Index4">
    <w:name w:val="index 4"/>
    <w:basedOn w:val="Normal"/>
    <w:next w:val="Normal"/>
    <w:autoRedefine/>
    <w:rsid w:val="003F0C5C"/>
    <w:pPr>
      <w:ind w:left="960" w:hanging="240"/>
    </w:pPr>
  </w:style>
  <w:style w:type="paragraph" w:styleId="Index5">
    <w:name w:val="index 5"/>
    <w:basedOn w:val="Normal"/>
    <w:next w:val="Normal"/>
    <w:autoRedefine/>
    <w:rsid w:val="003F0C5C"/>
    <w:pPr>
      <w:ind w:left="1200" w:hanging="240"/>
    </w:pPr>
  </w:style>
  <w:style w:type="paragraph" w:styleId="Index6">
    <w:name w:val="index 6"/>
    <w:basedOn w:val="Normal"/>
    <w:next w:val="Normal"/>
    <w:autoRedefine/>
    <w:rsid w:val="003F0C5C"/>
    <w:pPr>
      <w:ind w:left="1440" w:hanging="240"/>
    </w:pPr>
  </w:style>
  <w:style w:type="paragraph" w:styleId="Index7">
    <w:name w:val="index 7"/>
    <w:basedOn w:val="Normal"/>
    <w:next w:val="Normal"/>
    <w:autoRedefine/>
    <w:rsid w:val="003F0C5C"/>
    <w:pPr>
      <w:ind w:left="1680" w:hanging="240"/>
    </w:pPr>
  </w:style>
  <w:style w:type="paragraph" w:styleId="Index8">
    <w:name w:val="index 8"/>
    <w:basedOn w:val="Normal"/>
    <w:next w:val="Normal"/>
    <w:autoRedefine/>
    <w:rsid w:val="003F0C5C"/>
    <w:pPr>
      <w:ind w:left="1920" w:hanging="240"/>
    </w:pPr>
  </w:style>
  <w:style w:type="paragraph" w:styleId="Index9">
    <w:name w:val="index 9"/>
    <w:basedOn w:val="Normal"/>
    <w:next w:val="Normal"/>
    <w:autoRedefine/>
    <w:rsid w:val="003F0C5C"/>
    <w:pPr>
      <w:ind w:left="2160" w:hanging="240"/>
    </w:pPr>
  </w:style>
  <w:style w:type="paragraph" w:styleId="IndexHeading">
    <w:name w:val="index heading"/>
    <w:basedOn w:val="Normal"/>
    <w:next w:val="Index1"/>
    <w:rsid w:val="003F0C5C"/>
    <w:rPr>
      <w:b/>
      <w:bCs/>
    </w:rPr>
  </w:style>
  <w:style w:type="character" w:styleId="LineNumber">
    <w:name w:val="line number"/>
    <w:basedOn w:val="DefaultParagraphFont"/>
    <w:rsid w:val="003F0C5C"/>
  </w:style>
  <w:style w:type="paragraph" w:styleId="List">
    <w:name w:val="List"/>
    <w:basedOn w:val="Normal"/>
    <w:rsid w:val="003F0C5C"/>
    <w:pPr>
      <w:ind w:left="283" w:hanging="283"/>
    </w:pPr>
  </w:style>
  <w:style w:type="paragraph" w:styleId="List2">
    <w:name w:val="List 2"/>
    <w:basedOn w:val="Normal"/>
    <w:rsid w:val="003F0C5C"/>
    <w:pPr>
      <w:ind w:left="566" w:hanging="283"/>
    </w:pPr>
  </w:style>
  <w:style w:type="paragraph" w:styleId="List3">
    <w:name w:val="List 3"/>
    <w:basedOn w:val="Normal"/>
    <w:rsid w:val="003F0C5C"/>
    <w:pPr>
      <w:ind w:left="849" w:hanging="283"/>
    </w:pPr>
  </w:style>
  <w:style w:type="paragraph" w:styleId="List4">
    <w:name w:val="List 4"/>
    <w:basedOn w:val="Normal"/>
    <w:rsid w:val="003F0C5C"/>
    <w:pPr>
      <w:ind w:left="1132" w:hanging="283"/>
    </w:pPr>
  </w:style>
  <w:style w:type="paragraph" w:styleId="List5">
    <w:name w:val="List 5"/>
    <w:basedOn w:val="Normal"/>
    <w:rsid w:val="003F0C5C"/>
    <w:pPr>
      <w:ind w:left="1415" w:hanging="283"/>
    </w:pPr>
  </w:style>
  <w:style w:type="paragraph" w:styleId="ListBullet">
    <w:name w:val="List Bullet"/>
    <w:basedOn w:val="Normal"/>
    <w:rsid w:val="003F0C5C"/>
    <w:pPr>
      <w:numPr>
        <w:numId w:val="38"/>
      </w:numPr>
    </w:pPr>
  </w:style>
  <w:style w:type="paragraph" w:styleId="ListBullet2">
    <w:name w:val="List Bullet 2"/>
    <w:basedOn w:val="Normal"/>
    <w:rsid w:val="003F0C5C"/>
    <w:pPr>
      <w:numPr>
        <w:numId w:val="39"/>
      </w:numPr>
    </w:pPr>
  </w:style>
  <w:style w:type="paragraph" w:styleId="ListBullet3">
    <w:name w:val="List Bullet 3"/>
    <w:basedOn w:val="Normal"/>
    <w:rsid w:val="003F0C5C"/>
    <w:pPr>
      <w:numPr>
        <w:numId w:val="40"/>
      </w:numPr>
    </w:pPr>
  </w:style>
  <w:style w:type="paragraph" w:styleId="ListBullet4">
    <w:name w:val="List Bullet 4"/>
    <w:basedOn w:val="Normal"/>
    <w:rsid w:val="003F0C5C"/>
    <w:pPr>
      <w:numPr>
        <w:numId w:val="41"/>
      </w:numPr>
    </w:pPr>
  </w:style>
  <w:style w:type="paragraph" w:styleId="ListBullet5">
    <w:name w:val="List Bullet 5"/>
    <w:basedOn w:val="Normal"/>
    <w:rsid w:val="003F0C5C"/>
    <w:pPr>
      <w:numPr>
        <w:numId w:val="42"/>
      </w:numPr>
    </w:pPr>
  </w:style>
  <w:style w:type="paragraph" w:styleId="ListContinue">
    <w:name w:val="List Continue"/>
    <w:basedOn w:val="Normal"/>
    <w:rsid w:val="003F0C5C"/>
    <w:pPr>
      <w:spacing w:after="120"/>
      <w:ind w:left="283"/>
    </w:pPr>
  </w:style>
  <w:style w:type="paragraph" w:styleId="ListContinue2">
    <w:name w:val="List Continue 2"/>
    <w:basedOn w:val="Normal"/>
    <w:rsid w:val="003F0C5C"/>
    <w:pPr>
      <w:spacing w:after="120"/>
      <w:ind w:left="566"/>
    </w:pPr>
  </w:style>
  <w:style w:type="paragraph" w:styleId="ListContinue3">
    <w:name w:val="List Continue 3"/>
    <w:basedOn w:val="Normal"/>
    <w:rsid w:val="003F0C5C"/>
    <w:pPr>
      <w:spacing w:after="120"/>
      <w:ind w:left="849"/>
    </w:pPr>
  </w:style>
  <w:style w:type="paragraph" w:styleId="ListContinue4">
    <w:name w:val="List Continue 4"/>
    <w:basedOn w:val="Normal"/>
    <w:rsid w:val="003F0C5C"/>
    <w:pPr>
      <w:spacing w:after="120"/>
      <w:ind w:left="1132"/>
    </w:pPr>
  </w:style>
  <w:style w:type="paragraph" w:styleId="ListContinue5">
    <w:name w:val="List Continue 5"/>
    <w:basedOn w:val="Normal"/>
    <w:rsid w:val="003F0C5C"/>
    <w:pPr>
      <w:spacing w:after="120"/>
      <w:ind w:left="1415"/>
    </w:pPr>
  </w:style>
  <w:style w:type="paragraph" w:styleId="ListNumber">
    <w:name w:val="List Number"/>
    <w:basedOn w:val="Normal"/>
    <w:rsid w:val="003F0C5C"/>
    <w:pPr>
      <w:numPr>
        <w:numId w:val="43"/>
      </w:numPr>
    </w:pPr>
  </w:style>
  <w:style w:type="paragraph" w:styleId="ListNumber2">
    <w:name w:val="List Number 2"/>
    <w:basedOn w:val="Normal"/>
    <w:rsid w:val="003F0C5C"/>
    <w:pPr>
      <w:numPr>
        <w:numId w:val="44"/>
      </w:numPr>
    </w:pPr>
  </w:style>
  <w:style w:type="paragraph" w:styleId="ListNumber3">
    <w:name w:val="List Number 3"/>
    <w:basedOn w:val="Normal"/>
    <w:rsid w:val="003F0C5C"/>
    <w:pPr>
      <w:numPr>
        <w:numId w:val="45"/>
      </w:numPr>
    </w:pPr>
  </w:style>
  <w:style w:type="paragraph" w:styleId="ListNumber4">
    <w:name w:val="List Number 4"/>
    <w:basedOn w:val="Normal"/>
    <w:rsid w:val="003F0C5C"/>
    <w:pPr>
      <w:numPr>
        <w:numId w:val="46"/>
      </w:numPr>
    </w:pPr>
  </w:style>
  <w:style w:type="paragraph" w:styleId="ListNumber5">
    <w:name w:val="List Number 5"/>
    <w:basedOn w:val="Normal"/>
    <w:rsid w:val="003F0C5C"/>
    <w:pPr>
      <w:numPr>
        <w:numId w:val="47"/>
      </w:numPr>
    </w:pPr>
  </w:style>
  <w:style w:type="paragraph" w:styleId="ListParagraph">
    <w:name w:val="List Paragraph"/>
    <w:basedOn w:val="Normal"/>
    <w:qFormat/>
    <w:rsid w:val="003F0C5C"/>
    <w:pPr>
      <w:ind w:left="720"/>
    </w:pPr>
    <w:rPr>
      <w:szCs w:val="24"/>
    </w:rPr>
  </w:style>
  <w:style w:type="paragraph" w:customStyle="1" w:styleId="MajorHeading">
    <w:name w:val="Major Heading"/>
    <w:basedOn w:val="Normal"/>
    <w:rsid w:val="003F0C5C"/>
    <w:pPr>
      <w:spacing w:after="120"/>
    </w:pPr>
    <w:rPr>
      <w:rFonts w:ascii="Arial" w:hAnsi="Arial"/>
      <w:b/>
      <w:sz w:val="28"/>
    </w:rPr>
  </w:style>
  <w:style w:type="paragraph" w:styleId="MessageHeader">
    <w:name w:val="Message Header"/>
    <w:basedOn w:val="Normal"/>
    <w:link w:val="MessageHeaderChar"/>
    <w:rsid w:val="003F0C5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3F0C5C"/>
    <w:rPr>
      <w:rFonts w:ascii="Arial" w:hAnsi="Arial" w:cs="Arial"/>
      <w:sz w:val="24"/>
      <w:szCs w:val="24"/>
      <w:shd w:val="pct20" w:color="auto" w:fill="auto"/>
      <w:lang w:eastAsia="en-US"/>
    </w:rPr>
  </w:style>
  <w:style w:type="paragraph" w:styleId="NormalWeb">
    <w:name w:val="Normal (Web)"/>
    <w:basedOn w:val="Normal"/>
    <w:rsid w:val="003F0C5C"/>
    <w:rPr>
      <w:szCs w:val="24"/>
    </w:rPr>
  </w:style>
  <w:style w:type="paragraph" w:styleId="NormalIndent">
    <w:name w:val="Normal Indent"/>
    <w:basedOn w:val="Normal"/>
    <w:rsid w:val="003F0C5C"/>
    <w:pPr>
      <w:ind w:left="720"/>
    </w:pPr>
  </w:style>
  <w:style w:type="paragraph" w:styleId="NoteHeading0">
    <w:name w:val="Note Heading"/>
    <w:basedOn w:val="Normal"/>
    <w:next w:val="Normal"/>
    <w:link w:val="NoteHeadingChar"/>
    <w:rsid w:val="003F0C5C"/>
    <w:pPr>
      <w:spacing w:before="120"/>
    </w:pPr>
    <w:rPr>
      <w:b/>
      <w:sz w:val="16"/>
    </w:rPr>
  </w:style>
  <w:style w:type="character" w:customStyle="1" w:styleId="NoteHeadingChar">
    <w:name w:val="Note Heading Char"/>
    <w:basedOn w:val="DefaultParagraphFont"/>
    <w:link w:val="NoteHeading0"/>
    <w:rsid w:val="003F0C5C"/>
    <w:rPr>
      <w:rFonts w:ascii="Calibri" w:hAnsi="Calibri"/>
      <w:b/>
      <w:sz w:val="16"/>
      <w:lang w:eastAsia="en-US"/>
    </w:rPr>
  </w:style>
  <w:style w:type="paragraph" w:customStyle="1" w:styleId="Notes">
    <w:name w:val="Notes"/>
    <w:basedOn w:val="Normal"/>
    <w:semiHidden/>
    <w:rsid w:val="003F0C5C"/>
    <w:pPr>
      <w:spacing w:before="120"/>
      <w:ind w:left="28"/>
    </w:pPr>
    <w:rPr>
      <w:b/>
      <w:sz w:val="20"/>
      <w:szCs w:val="24"/>
    </w:rPr>
  </w:style>
  <w:style w:type="character" w:styleId="PageNumber">
    <w:name w:val="page number"/>
    <w:basedOn w:val="DefaultParagraphFont"/>
    <w:rsid w:val="003F0C5C"/>
  </w:style>
  <w:style w:type="paragraph" w:styleId="PlainText">
    <w:name w:val="Plain Text"/>
    <w:basedOn w:val="Normal"/>
    <w:link w:val="PlainTextChar"/>
    <w:rsid w:val="003F0C5C"/>
    <w:rPr>
      <w:sz w:val="20"/>
      <w:lang w:val="en-US"/>
    </w:rPr>
  </w:style>
  <w:style w:type="character" w:customStyle="1" w:styleId="PlainTextChar">
    <w:name w:val="Plain Text Char"/>
    <w:basedOn w:val="DefaultParagraphFont"/>
    <w:link w:val="PlainText"/>
    <w:rsid w:val="003F0C5C"/>
    <w:rPr>
      <w:rFonts w:ascii="Calibri" w:hAnsi="Calibri"/>
      <w:lang w:val="en-US" w:eastAsia="en-US"/>
    </w:rPr>
  </w:style>
  <w:style w:type="paragraph" w:styleId="Salutation">
    <w:name w:val="Salutation"/>
    <w:basedOn w:val="Normal"/>
    <w:next w:val="Normal"/>
    <w:link w:val="SalutationChar"/>
    <w:rsid w:val="003F0C5C"/>
  </w:style>
  <w:style w:type="character" w:customStyle="1" w:styleId="SalutationChar">
    <w:name w:val="Salutation Char"/>
    <w:basedOn w:val="DefaultParagraphFont"/>
    <w:link w:val="Salutation"/>
    <w:rsid w:val="003F0C5C"/>
    <w:rPr>
      <w:rFonts w:ascii="Calibri" w:hAnsi="Calibri"/>
      <w:sz w:val="24"/>
      <w:lang w:eastAsia="en-US"/>
    </w:rPr>
  </w:style>
  <w:style w:type="paragraph" w:styleId="Signature">
    <w:name w:val="Signature"/>
    <w:basedOn w:val="Normal"/>
    <w:link w:val="SignatureChar"/>
    <w:rsid w:val="003F0C5C"/>
    <w:pPr>
      <w:ind w:left="4252"/>
    </w:pPr>
  </w:style>
  <w:style w:type="character" w:customStyle="1" w:styleId="SignatureChar">
    <w:name w:val="Signature Char"/>
    <w:basedOn w:val="DefaultParagraphFont"/>
    <w:link w:val="Signature"/>
    <w:rsid w:val="003F0C5C"/>
    <w:rPr>
      <w:rFonts w:ascii="Calibri" w:hAnsi="Calibri"/>
      <w:sz w:val="24"/>
      <w:lang w:eastAsia="en-US"/>
    </w:rPr>
  </w:style>
  <w:style w:type="paragraph" w:customStyle="1" w:styleId="SinglePara">
    <w:name w:val="Single Para"/>
    <w:basedOn w:val="Normal"/>
    <w:semiHidden/>
    <w:rsid w:val="003F0C5C"/>
  </w:style>
  <w:style w:type="character" w:styleId="Strong">
    <w:name w:val="Strong"/>
    <w:basedOn w:val="DefaultParagraphFont"/>
    <w:qFormat/>
    <w:rsid w:val="003F0C5C"/>
    <w:rPr>
      <w:b/>
      <w:bCs/>
    </w:rPr>
  </w:style>
  <w:style w:type="paragraph" w:customStyle="1" w:styleId="Sub-Heading2">
    <w:name w:val="Sub-Heading 2"/>
    <w:basedOn w:val="BodyText"/>
    <w:semiHidden/>
    <w:rsid w:val="003F0C5C"/>
    <w:rPr>
      <w:i/>
    </w:rPr>
  </w:style>
  <w:style w:type="paragraph" w:styleId="Subtitle">
    <w:name w:val="Subtitle"/>
    <w:basedOn w:val="Normal"/>
    <w:link w:val="SubtitleChar"/>
    <w:qFormat/>
    <w:rsid w:val="003F0C5C"/>
    <w:pPr>
      <w:spacing w:after="60"/>
      <w:jc w:val="center"/>
      <w:outlineLvl w:val="1"/>
    </w:pPr>
    <w:rPr>
      <w:rFonts w:ascii="Arial" w:hAnsi="Arial" w:cs="Arial"/>
      <w:szCs w:val="24"/>
    </w:rPr>
  </w:style>
  <w:style w:type="character" w:customStyle="1" w:styleId="SubtitleChar">
    <w:name w:val="Subtitle Char"/>
    <w:basedOn w:val="DefaultParagraphFont"/>
    <w:link w:val="Subtitle"/>
    <w:rsid w:val="003F0C5C"/>
    <w:rPr>
      <w:rFonts w:ascii="Arial" w:hAnsi="Arial" w:cs="Arial"/>
      <w:sz w:val="24"/>
      <w:szCs w:val="24"/>
      <w:lang w:eastAsia="en-US"/>
    </w:rPr>
  </w:style>
  <w:style w:type="table" w:styleId="Table3Deffects1">
    <w:name w:val="Table 3D effects 1"/>
    <w:basedOn w:val="TableNormal"/>
    <w:rsid w:val="003F0C5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F0C5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F0C5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F0C5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0C5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F0C5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F0C5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F0C5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F0C5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F0C5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F0C5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F0C5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F0C5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0C5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0C5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F0C5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0C5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F0C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F0C5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F0C5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F0C5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0C5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0C5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0C5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0C5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0C5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3F0C5C"/>
    <w:pPr>
      <w:keepNext/>
      <w:jc w:val="center"/>
    </w:pPr>
    <w:rPr>
      <w:b/>
      <w:sz w:val="20"/>
    </w:rPr>
  </w:style>
  <w:style w:type="paragraph" w:customStyle="1" w:styleId="TableHeadingCentre-BP4">
    <w:name w:val="Table Heading Centre - BP4"/>
    <w:basedOn w:val="Normal"/>
    <w:rsid w:val="003F0C5C"/>
    <w:pPr>
      <w:keepNext/>
      <w:jc w:val="center"/>
    </w:pPr>
    <w:rPr>
      <w:b/>
      <w:sz w:val="18"/>
    </w:rPr>
  </w:style>
  <w:style w:type="paragraph" w:customStyle="1" w:styleId="TableHeadingCentre-BP3">
    <w:name w:val="Table Heading Centre - BP3"/>
    <w:basedOn w:val="TableHeadingCentre-BP4"/>
    <w:rsid w:val="003F0C5C"/>
    <w:rPr>
      <w:sz w:val="20"/>
    </w:rPr>
  </w:style>
  <w:style w:type="paragraph" w:customStyle="1" w:styleId="TableHeadingCentre-BP410pt">
    <w:name w:val="Table Heading Centre - BP4 10pt"/>
    <w:basedOn w:val="TableHeadingCentre-BP4"/>
    <w:rsid w:val="003F0C5C"/>
    <w:rPr>
      <w:sz w:val="20"/>
    </w:rPr>
  </w:style>
  <w:style w:type="paragraph" w:customStyle="1" w:styleId="TableHeadingLeft-BP4">
    <w:name w:val="Table Heading Left - BP4"/>
    <w:basedOn w:val="Normal"/>
    <w:rsid w:val="003F0C5C"/>
    <w:pPr>
      <w:keepNext/>
    </w:pPr>
    <w:rPr>
      <w:b/>
      <w:sz w:val="18"/>
      <w:lang w:eastAsia="en-AU"/>
    </w:rPr>
  </w:style>
  <w:style w:type="paragraph" w:customStyle="1" w:styleId="TableHeadingLeft-BP3">
    <w:name w:val="Table Heading Left - BP3"/>
    <w:basedOn w:val="TableHeadingLeft-BP4"/>
    <w:rsid w:val="003F0C5C"/>
    <w:rPr>
      <w:sz w:val="20"/>
    </w:rPr>
  </w:style>
  <w:style w:type="paragraph" w:customStyle="1" w:styleId="TableHeadingLeft-BP410pt">
    <w:name w:val="Table Heading Left - BP4 10pt"/>
    <w:basedOn w:val="TableHeadingLeft-BP4"/>
    <w:rsid w:val="003F0C5C"/>
    <w:rPr>
      <w:sz w:val="20"/>
    </w:rPr>
  </w:style>
  <w:style w:type="paragraph" w:customStyle="1" w:styleId="TableHeadingRight">
    <w:name w:val="Table Heading Right"/>
    <w:basedOn w:val="Normal"/>
    <w:rsid w:val="003F0C5C"/>
    <w:pPr>
      <w:keepNext/>
      <w:jc w:val="right"/>
    </w:pPr>
    <w:rPr>
      <w:b/>
      <w:sz w:val="20"/>
      <w:szCs w:val="24"/>
    </w:rPr>
  </w:style>
  <w:style w:type="paragraph" w:customStyle="1" w:styleId="TableHeadingRight-BP4">
    <w:name w:val="Table Heading Right - BP4"/>
    <w:basedOn w:val="Normal"/>
    <w:rsid w:val="003F0C5C"/>
    <w:pPr>
      <w:keepNext/>
      <w:jc w:val="right"/>
    </w:pPr>
    <w:rPr>
      <w:b/>
      <w:sz w:val="18"/>
      <w:szCs w:val="24"/>
    </w:rPr>
  </w:style>
  <w:style w:type="paragraph" w:customStyle="1" w:styleId="TableHeadingRight-BP3">
    <w:name w:val="Table Heading Right - BP3"/>
    <w:basedOn w:val="TableHeadingRight-BP4"/>
    <w:rsid w:val="003F0C5C"/>
    <w:rPr>
      <w:sz w:val="20"/>
    </w:rPr>
  </w:style>
  <w:style w:type="paragraph" w:customStyle="1" w:styleId="TableHeadingRight-BP410pt">
    <w:name w:val="Table Heading Right - BP4 10pt"/>
    <w:basedOn w:val="TableHeadingRight-BP4"/>
    <w:rsid w:val="003F0C5C"/>
    <w:rPr>
      <w:sz w:val="20"/>
    </w:rPr>
  </w:style>
  <w:style w:type="table" w:styleId="TableList1">
    <w:name w:val="Table List 1"/>
    <w:basedOn w:val="TableNormal"/>
    <w:rsid w:val="003F0C5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0C5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0C5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0C5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0C5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0C5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0C5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0C5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3F0C5C"/>
    <w:rPr>
      <w:b w:val="0"/>
    </w:rPr>
  </w:style>
  <w:style w:type="paragraph" w:customStyle="1" w:styleId="TableNumbersRight-BP4">
    <w:name w:val="Table Numbers Right - BP4"/>
    <w:basedOn w:val="Normal"/>
    <w:rsid w:val="003F0C5C"/>
    <w:pPr>
      <w:jc w:val="right"/>
    </w:pPr>
    <w:rPr>
      <w:sz w:val="18"/>
    </w:rPr>
  </w:style>
  <w:style w:type="paragraph" w:customStyle="1" w:styleId="TableNumbersRight-BP3">
    <w:name w:val="Table Numbers Right - BP3"/>
    <w:basedOn w:val="TableNumbersRight-BP4"/>
    <w:rsid w:val="003F0C5C"/>
    <w:rPr>
      <w:sz w:val="20"/>
    </w:rPr>
  </w:style>
  <w:style w:type="paragraph" w:styleId="TableofAuthorities">
    <w:name w:val="table of authorities"/>
    <w:basedOn w:val="Normal"/>
    <w:next w:val="Normal"/>
    <w:rsid w:val="003F0C5C"/>
    <w:pPr>
      <w:ind w:left="240" w:hanging="240"/>
    </w:pPr>
  </w:style>
  <w:style w:type="paragraph" w:styleId="TableofFigures">
    <w:name w:val="table of figures"/>
    <w:basedOn w:val="Normal"/>
    <w:next w:val="Normal"/>
    <w:rsid w:val="003F0C5C"/>
  </w:style>
  <w:style w:type="table" w:styleId="TableProfessional">
    <w:name w:val="Table Professional"/>
    <w:basedOn w:val="TableNormal"/>
    <w:rsid w:val="003F0C5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F0C5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F0C5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F0C5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F0C5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F0C5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3F0C5C"/>
    <w:pPr>
      <w:numPr>
        <w:numId w:val="48"/>
      </w:numPr>
      <w:spacing w:before="60"/>
    </w:pPr>
    <w:rPr>
      <w:rFonts w:ascii="Calibri" w:hAnsi="Calibri"/>
      <w:szCs w:val="24"/>
      <w:lang w:eastAsia="en-US"/>
    </w:rPr>
  </w:style>
  <w:style w:type="paragraph" w:customStyle="1" w:styleId="TableTextLeft-BP4">
    <w:name w:val="Table Text Left - BP4"/>
    <w:basedOn w:val="Normal"/>
    <w:rsid w:val="003F0C5C"/>
    <w:pPr>
      <w:ind w:left="142" w:hanging="142"/>
    </w:pPr>
    <w:rPr>
      <w:sz w:val="18"/>
      <w:szCs w:val="18"/>
    </w:rPr>
  </w:style>
  <w:style w:type="paragraph" w:customStyle="1" w:styleId="TableTextLeft-BP3">
    <w:name w:val="Table Text Left - BP3"/>
    <w:basedOn w:val="TableTextLeft-BP4"/>
    <w:rsid w:val="003F0C5C"/>
    <w:rPr>
      <w:sz w:val="20"/>
    </w:rPr>
  </w:style>
  <w:style w:type="paragraph" w:customStyle="1" w:styleId="TableTextLeft-BP410pt">
    <w:name w:val="Table Text Left - BP4 10pt"/>
    <w:basedOn w:val="TableTextLeft-BP4"/>
    <w:rsid w:val="003F0C5C"/>
    <w:rPr>
      <w:sz w:val="20"/>
    </w:rPr>
  </w:style>
  <w:style w:type="paragraph" w:customStyle="1" w:styleId="TableTextLeft-BP4FS">
    <w:name w:val="Table Text Left - BP4 FS"/>
    <w:basedOn w:val="TableTextLeft-BP4"/>
    <w:rsid w:val="003F0C5C"/>
    <w:pPr>
      <w:ind w:left="227"/>
    </w:pPr>
  </w:style>
  <w:style w:type="paragraph" w:customStyle="1" w:styleId="TableTextLeftBold-BP4">
    <w:name w:val="Table Text Left Bold - BP4"/>
    <w:basedOn w:val="Normal"/>
    <w:rsid w:val="003F0C5C"/>
    <w:pPr>
      <w:ind w:left="142" w:hanging="142"/>
    </w:pPr>
    <w:rPr>
      <w:b/>
      <w:sz w:val="18"/>
    </w:rPr>
  </w:style>
  <w:style w:type="paragraph" w:customStyle="1" w:styleId="TableTextLeftBold-BP3">
    <w:name w:val="Table Text Left Bold - BP3"/>
    <w:basedOn w:val="TableTextLeftBold-BP4"/>
    <w:rsid w:val="003F0C5C"/>
    <w:rPr>
      <w:sz w:val="20"/>
    </w:rPr>
  </w:style>
  <w:style w:type="paragraph" w:customStyle="1" w:styleId="TableTextLeftBold-BP410pt">
    <w:name w:val="Table Text Left Bold - BP4 10pt"/>
    <w:basedOn w:val="TableTextLeftBold-BP4"/>
    <w:rsid w:val="003F0C5C"/>
    <w:rPr>
      <w:sz w:val="20"/>
    </w:rPr>
  </w:style>
  <w:style w:type="paragraph" w:customStyle="1" w:styleId="TableTextRight-BP4">
    <w:name w:val="Table Text Right - BP4"/>
    <w:basedOn w:val="Normal"/>
    <w:rsid w:val="003F0C5C"/>
    <w:pPr>
      <w:jc w:val="right"/>
    </w:pPr>
    <w:rPr>
      <w:sz w:val="18"/>
    </w:rPr>
  </w:style>
  <w:style w:type="paragraph" w:customStyle="1" w:styleId="TableTextRight-BP3">
    <w:name w:val="Table Text Right - BP3"/>
    <w:basedOn w:val="TableTextRight-BP4"/>
    <w:rsid w:val="003F0C5C"/>
    <w:rPr>
      <w:sz w:val="20"/>
    </w:rPr>
  </w:style>
  <w:style w:type="paragraph" w:customStyle="1" w:styleId="TableTextRight-BP410pt">
    <w:name w:val="Table Text Right - BP4 10pt"/>
    <w:basedOn w:val="TableTextRight-BP4"/>
    <w:rsid w:val="003F0C5C"/>
    <w:rPr>
      <w:sz w:val="20"/>
    </w:rPr>
  </w:style>
  <w:style w:type="paragraph" w:customStyle="1" w:styleId="TableTextRightBold-BP4">
    <w:name w:val="Table Text Right Bold - BP4"/>
    <w:basedOn w:val="Normal"/>
    <w:rsid w:val="003F0C5C"/>
    <w:pPr>
      <w:jc w:val="right"/>
    </w:pPr>
    <w:rPr>
      <w:b/>
      <w:sz w:val="18"/>
    </w:rPr>
  </w:style>
  <w:style w:type="paragraph" w:customStyle="1" w:styleId="TableTextRightBold-BP3">
    <w:name w:val="Table Text Right Bold - BP3"/>
    <w:basedOn w:val="TableTextRightBold-BP4"/>
    <w:rsid w:val="003F0C5C"/>
  </w:style>
  <w:style w:type="paragraph" w:customStyle="1" w:styleId="TableTextRightBold-BP410pt">
    <w:name w:val="Table Text Right Bold - BP4 10pt"/>
    <w:basedOn w:val="TableTextRightBold-BP4"/>
    <w:rsid w:val="003F0C5C"/>
    <w:rPr>
      <w:sz w:val="20"/>
    </w:rPr>
  </w:style>
  <w:style w:type="table" w:styleId="TableTheme">
    <w:name w:val="Table Theme"/>
    <w:basedOn w:val="TableNormal"/>
    <w:rsid w:val="003F0C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F0C5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F0C5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F0C5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F0C5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F0C5C"/>
    <w:rPr>
      <w:rFonts w:ascii="Arial" w:hAnsi="Arial" w:cs="Arial"/>
      <w:b/>
      <w:bCs/>
      <w:kern w:val="28"/>
      <w:sz w:val="32"/>
      <w:szCs w:val="32"/>
      <w:lang w:eastAsia="en-US"/>
    </w:rPr>
  </w:style>
  <w:style w:type="paragraph" w:styleId="TOAHeading">
    <w:name w:val="toa heading"/>
    <w:basedOn w:val="Normal"/>
    <w:next w:val="Normal"/>
    <w:rsid w:val="003F0C5C"/>
    <w:pPr>
      <w:spacing w:before="120"/>
    </w:pPr>
    <w:rPr>
      <w:b/>
      <w:bCs/>
      <w:szCs w:val="24"/>
    </w:rPr>
  </w:style>
  <w:style w:type="paragraph" w:styleId="TOC1">
    <w:name w:val="toc 1"/>
    <w:basedOn w:val="Normal"/>
    <w:next w:val="Normal"/>
    <w:autoRedefine/>
    <w:rsid w:val="003F0C5C"/>
  </w:style>
  <w:style w:type="paragraph" w:styleId="TOC2">
    <w:name w:val="toc 2"/>
    <w:basedOn w:val="Normal"/>
    <w:next w:val="Normal"/>
    <w:autoRedefine/>
    <w:rsid w:val="003F0C5C"/>
    <w:pPr>
      <w:ind w:left="240"/>
    </w:pPr>
  </w:style>
  <w:style w:type="paragraph" w:styleId="TOC3">
    <w:name w:val="toc 3"/>
    <w:basedOn w:val="Normal"/>
    <w:next w:val="Normal"/>
    <w:autoRedefine/>
    <w:rsid w:val="003F0C5C"/>
    <w:pPr>
      <w:ind w:left="480"/>
    </w:pPr>
  </w:style>
  <w:style w:type="paragraph" w:styleId="TOC4">
    <w:name w:val="toc 4"/>
    <w:basedOn w:val="Normal"/>
    <w:next w:val="Normal"/>
    <w:autoRedefine/>
    <w:rsid w:val="003F0C5C"/>
    <w:pPr>
      <w:ind w:left="720"/>
    </w:pPr>
  </w:style>
  <w:style w:type="paragraph" w:styleId="TOC5">
    <w:name w:val="toc 5"/>
    <w:basedOn w:val="Normal"/>
    <w:next w:val="Normal"/>
    <w:autoRedefine/>
    <w:rsid w:val="003F0C5C"/>
    <w:pPr>
      <w:ind w:left="960"/>
    </w:pPr>
  </w:style>
  <w:style w:type="paragraph" w:styleId="TOC6">
    <w:name w:val="toc 6"/>
    <w:basedOn w:val="Normal"/>
    <w:next w:val="Normal"/>
    <w:autoRedefine/>
    <w:rsid w:val="003F0C5C"/>
    <w:pPr>
      <w:ind w:left="1200"/>
    </w:pPr>
  </w:style>
  <w:style w:type="paragraph" w:styleId="TOC7">
    <w:name w:val="toc 7"/>
    <w:basedOn w:val="Normal"/>
    <w:next w:val="Normal"/>
    <w:autoRedefine/>
    <w:rsid w:val="003F0C5C"/>
    <w:pPr>
      <w:ind w:left="1440"/>
    </w:pPr>
  </w:style>
  <w:style w:type="paragraph" w:styleId="TOC8">
    <w:name w:val="toc 8"/>
    <w:basedOn w:val="Normal"/>
    <w:next w:val="Normal"/>
    <w:autoRedefine/>
    <w:rsid w:val="003F0C5C"/>
    <w:pPr>
      <w:ind w:left="1680"/>
    </w:pPr>
  </w:style>
  <w:style w:type="paragraph" w:styleId="TOC9">
    <w:name w:val="toc 9"/>
    <w:basedOn w:val="Normal"/>
    <w:next w:val="Normal"/>
    <w:autoRedefine/>
    <w:rsid w:val="003F0C5C"/>
    <w:pPr>
      <w:ind w:left="1920"/>
    </w:pPr>
  </w:style>
  <w:style w:type="paragraph" w:customStyle="1" w:styleId="xl25">
    <w:name w:val="xl25"/>
    <w:basedOn w:val="Normal"/>
    <w:semiHidden/>
    <w:rsid w:val="003F0C5C"/>
    <w:pPr>
      <w:spacing w:before="100" w:beforeAutospacing="1" w:after="100" w:afterAutospacing="1"/>
    </w:pPr>
    <w:rPr>
      <w:rFonts w:eastAsia="Arial Unicode MS"/>
      <w:sz w:val="18"/>
      <w:szCs w:val="18"/>
    </w:rPr>
  </w:style>
</w:styles>
</file>

<file path=word/webSettings.xml><?xml version="1.0" encoding="utf-8"?>
<w:webSettings xmlns:r="http://schemas.openxmlformats.org/officeDocument/2006/relationships" xmlns:w="http://schemas.openxmlformats.org/wordprocessingml/2006/main">
  <w:divs>
    <w:div w:id="3018211">
      <w:bodyDiv w:val="1"/>
      <w:marLeft w:val="0"/>
      <w:marRight w:val="0"/>
      <w:marTop w:val="0"/>
      <w:marBottom w:val="0"/>
      <w:divBdr>
        <w:top w:val="none" w:sz="0" w:space="0" w:color="auto"/>
        <w:left w:val="none" w:sz="0" w:space="0" w:color="auto"/>
        <w:bottom w:val="none" w:sz="0" w:space="0" w:color="auto"/>
        <w:right w:val="none" w:sz="0" w:space="0" w:color="auto"/>
      </w:divBdr>
    </w:div>
    <w:div w:id="31806976">
      <w:bodyDiv w:val="1"/>
      <w:marLeft w:val="0"/>
      <w:marRight w:val="0"/>
      <w:marTop w:val="0"/>
      <w:marBottom w:val="0"/>
      <w:divBdr>
        <w:top w:val="none" w:sz="0" w:space="0" w:color="auto"/>
        <w:left w:val="none" w:sz="0" w:space="0" w:color="auto"/>
        <w:bottom w:val="none" w:sz="0" w:space="0" w:color="auto"/>
        <w:right w:val="none" w:sz="0" w:space="0" w:color="auto"/>
      </w:divBdr>
    </w:div>
    <w:div w:id="33193444">
      <w:bodyDiv w:val="1"/>
      <w:marLeft w:val="0"/>
      <w:marRight w:val="0"/>
      <w:marTop w:val="0"/>
      <w:marBottom w:val="0"/>
      <w:divBdr>
        <w:top w:val="none" w:sz="0" w:space="0" w:color="auto"/>
        <w:left w:val="none" w:sz="0" w:space="0" w:color="auto"/>
        <w:bottom w:val="none" w:sz="0" w:space="0" w:color="auto"/>
        <w:right w:val="none" w:sz="0" w:space="0" w:color="auto"/>
      </w:divBdr>
    </w:div>
    <w:div w:id="38819776">
      <w:bodyDiv w:val="1"/>
      <w:marLeft w:val="0"/>
      <w:marRight w:val="0"/>
      <w:marTop w:val="0"/>
      <w:marBottom w:val="0"/>
      <w:divBdr>
        <w:top w:val="none" w:sz="0" w:space="0" w:color="auto"/>
        <w:left w:val="none" w:sz="0" w:space="0" w:color="auto"/>
        <w:bottom w:val="none" w:sz="0" w:space="0" w:color="auto"/>
        <w:right w:val="none" w:sz="0" w:space="0" w:color="auto"/>
      </w:divBdr>
    </w:div>
    <w:div w:id="64576558">
      <w:bodyDiv w:val="1"/>
      <w:marLeft w:val="0"/>
      <w:marRight w:val="0"/>
      <w:marTop w:val="0"/>
      <w:marBottom w:val="0"/>
      <w:divBdr>
        <w:top w:val="none" w:sz="0" w:space="0" w:color="auto"/>
        <w:left w:val="none" w:sz="0" w:space="0" w:color="auto"/>
        <w:bottom w:val="none" w:sz="0" w:space="0" w:color="auto"/>
        <w:right w:val="none" w:sz="0" w:space="0" w:color="auto"/>
      </w:divBdr>
    </w:div>
    <w:div w:id="72045376">
      <w:bodyDiv w:val="1"/>
      <w:marLeft w:val="0"/>
      <w:marRight w:val="0"/>
      <w:marTop w:val="0"/>
      <w:marBottom w:val="0"/>
      <w:divBdr>
        <w:top w:val="none" w:sz="0" w:space="0" w:color="auto"/>
        <w:left w:val="none" w:sz="0" w:space="0" w:color="auto"/>
        <w:bottom w:val="none" w:sz="0" w:space="0" w:color="auto"/>
        <w:right w:val="none" w:sz="0" w:space="0" w:color="auto"/>
      </w:divBdr>
    </w:div>
    <w:div w:id="94641514">
      <w:bodyDiv w:val="1"/>
      <w:marLeft w:val="0"/>
      <w:marRight w:val="0"/>
      <w:marTop w:val="0"/>
      <w:marBottom w:val="0"/>
      <w:divBdr>
        <w:top w:val="none" w:sz="0" w:space="0" w:color="auto"/>
        <w:left w:val="none" w:sz="0" w:space="0" w:color="auto"/>
        <w:bottom w:val="none" w:sz="0" w:space="0" w:color="auto"/>
        <w:right w:val="none" w:sz="0" w:space="0" w:color="auto"/>
      </w:divBdr>
    </w:div>
    <w:div w:id="173692745">
      <w:bodyDiv w:val="1"/>
      <w:marLeft w:val="0"/>
      <w:marRight w:val="0"/>
      <w:marTop w:val="0"/>
      <w:marBottom w:val="0"/>
      <w:divBdr>
        <w:top w:val="none" w:sz="0" w:space="0" w:color="auto"/>
        <w:left w:val="none" w:sz="0" w:space="0" w:color="auto"/>
        <w:bottom w:val="none" w:sz="0" w:space="0" w:color="auto"/>
        <w:right w:val="none" w:sz="0" w:space="0" w:color="auto"/>
      </w:divBdr>
    </w:div>
    <w:div w:id="205916178">
      <w:bodyDiv w:val="1"/>
      <w:marLeft w:val="0"/>
      <w:marRight w:val="0"/>
      <w:marTop w:val="0"/>
      <w:marBottom w:val="0"/>
      <w:divBdr>
        <w:top w:val="none" w:sz="0" w:space="0" w:color="auto"/>
        <w:left w:val="none" w:sz="0" w:space="0" w:color="auto"/>
        <w:bottom w:val="none" w:sz="0" w:space="0" w:color="auto"/>
        <w:right w:val="none" w:sz="0" w:space="0" w:color="auto"/>
      </w:divBdr>
    </w:div>
    <w:div w:id="206843732">
      <w:bodyDiv w:val="1"/>
      <w:marLeft w:val="0"/>
      <w:marRight w:val="0"/>
      <w:marTop w:val="0"/>
      <w:marBottom w:val="0"/>
      <w:divBdr>
        <w:top w:val="none" w:sz="0" w:space="0" w:color="auto"/>
        <w:left w:val="none" w:sz="0" w:space="0" w:color="auto"/>
        <w:bottom w:val="none" w:sz="0" w:space="0" w:color="auto"/>
        <w:right w:val="none" w:sz="0" w:space="0" w:color="auto"/>
      </w:divBdr>
      <w:divsChild>
        <w:div w:id="387874505">
          <w:marLeft w:val="0"/>
          <w:marRight w:val="0"/>
          <w:marTop w:val="0"/>
          <w:marBottom w:val="0"/>
          <w:divBdr>
            <w:top w:val="none" w:sz="0" w:space="0" w:color="auto"/>
            <w:left w:val="none" w:sz="0" w:space="0" w:color="auto"/>
            <w:bottom w:val="none" w:sz="0" w:space="0" w:color="auto"/>
            <w:right w:val="none" w:sz="0" w:space="0" w:color="auto"/>
          </w:divBdr>
          <w:divsChild>
            <w:div w:id="1914197359">
              <w:marLeft w:val="0"/>
              <w:marRight w:val="0"/>
              <w:marTop w:val="0"/>
              <w:marBottom w:val="0"/>
              <w:divBdr>
                <w:top w:val="none" w:sz="0" w:space="0" w:color="auto"/>
                <w:left w:val="none" w:sz="0" w:space="0" w:color="auto"/>
                <w:bottom w:val="none" w:sz="0" w:space="0" w:color="auto"/>
                <w:right w:val="none" w:sz="0" w:space="0" w:color="auto"/>
              </w:divBdr>
              <w:divsChild>
                <w:div w:id="1101682720">
                  <w:marLeft w:val="0"/>
                  <w:marRight w:val="0"/>
                  <w:marTop w:val="0"/>
                  <w:marBottom w:val="0"/>
                  <w:divBdr>
                    <w:top w:val="none" w:sz="0" w:space="0" w:color="auto"/>
                    <w:left w:val="none" w:sz="0" w:space="0" w:color="auto"/>
                    <w:bottom w:val="none" w:sz="0" w:space="0" w:color="auto"/>
                    <w:right w:val="none" w:sz="0" w:space="0" w:color="auto"/>
                  </w:divBdr>
                  <w:divsChild>
                    <w:div w:id="777682357">
                      <w:marLeft w:val="0"/>
                      <w:marRight w:val="0"/>
                      <w:marTop w:val="0"/>
                      <w:marBottom w:val="0"/>
                      <w:divBdr>
                        <w:top w:val="none" w:sz="0" w:space="0" w:color="auto"/>
                        <w:left w:val="none" w:sz="0" w:space="0" w:color="auto"/>
                        <w:bottom w:val="none" w:sz="0" w:space="0" w:color="auto"/>
                        <w:right w:val="none" w:sz="0" w:space="0" w:color="auto"/>
                      </w:divBdr>
                      <w:divsChild>
                        <w:div w:id="1606763739">
                          <w:marLeft w:val="0"/>
                          <w:marRight w:val="0"/>
                          <w:marTop w:val="0"/>
                          <w:marBottom w:val="0"/>
                          <w:divBdr>
                            <w:top w:val="none" w:sz="0" w:space="0" w:color="auto"/>
                            <w:left w:val="none" w:sz="0" w:space="0" w:color="auto"/>
                            <w:bottom w:val="none" w:sz="0" w:space="0" w:color="auto"/>
                            <w:right w:val="none" w:sz="0" w:space="0" w:color="auto"/>
                          </w:divBdr>
                          <w:divsChild>
                            <w:div w:id="1878884146">
                              <w:marLeft w:val="0"/>
                              <w:marRight w:val="0"/>
                              <w:marTop w:val="0"/>
                              <w:marBottom w:val="0"/>
                              <w:divBdr>
                                <w:top w:val="none" w:sz="0" w:space="0" w:color="auto"/>
                                <w:left w:val="none" w:sz="0" w:space="0" w:color="auto"/>
                                <w:bottom w:val="none" w:sz="0" w:space="0" w:color="auto"/>
                                <w:right w:val="none" w:sz="0" w:space="0" w:color="auto"/>
                              </w:divBdr>
                              <w:divsChild>
                                <w:div w:id="1294210883">
                                  <w:marLeft w:val="0"/>
                                  <w:marRight w:val="0"/>
                                  <w:marTop w:val="0"/>
                                  <w:marBottom w:val="0"/>
                                  <w:divBdr>
                                    <w:top w:val="none" w:sz="0" w:space="0" w:color="auto"/>
                                    <w:left w:val="none" w:sz="0" w:space="0" w:color="auto"/>
                                    <w:bottom w:val="none" w:sz="0" w:space="0" w:color="auto"/>
                                    <w:right w:val="none" w:sz="0" w:space="0" w:color="auto"/>
                                  </w:divBdr>
                                  <w:divsChild>
                                    <w:div w:id="570239428">
                                      <w:marLeft w:val="0"/>
                                      <w:marRight w:val="0"/>
                                      <w:marTop w:val="0"/>
                                      <w:marBottom w:val="0"/>
                                      <w:divBdr>
                                        <w:top w:val="single" w:sz="6" w:space="0" w:color="F5F5F5"/>
                                        <w:left w:val="single" w:sz="6" w:space="0" w:color="F5F5F5"/>
                                        <w:bottom w:val="single" w:sz="6" w:space="0" w:color="F5F5F5"/>
                                        <w:right w:val="single" w:sz="6" w:space="0" w:color="F5F5F5"/>
                                      </w:divBdr>
                                      <w:divsChild>
                                        <w:div w:id="161624518">
                                          <w:marLeft w:val="0"/>
                                          <w:marRight w:val="0"/>
                                          <w:marTop w:val="0"/>
                                          <w:marBottom w:val="0"/>
                                          <w:divBdr>
                                            <w:top w:val="none" w:sz="0" w:space="0" w:color="auto"/>
                                            <w:left w:val="none" w:sz="0" w:space="0" w:color="auto"/>
                                            <w:bottom w:val="none" w:sz="0" w:space="0" w:color="auto"/>
                                            <w:right w:val="none" w:sz="0" w:space="0" w:color="auto"/>
                                          </w:divBdr>
                                          <w:divsChild>
                                            <w:div w:id="11311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026099">
      <w:bodyDiv w:val="1"/>
      <w:marLeft w:val="0"/>
      <w:marRight w:val="0"/>
      <w:marTop w:val="0"/>
      <w:marBottom w:val="0"/>
      <w:divBdr>
        <w:top w:val="none" w:sz="0" w:space="0" w:color="auto"/>
        <w:left w:val="none" w:sz="0" w:space="0" w:color="auto"/>
        <w:bottom w:val="none" w:sz="0" w:space="0" w:color="auto"/>
        <w:right w:val="none" w:sz="0" w:space="0" w:color="auto"/>
      </w:divBdr>
    </w:div>
    <w:div w:id="309136367">
      <w:bodyDiv w:val="1"/>
      <w:marLeft w:val="0"/>
      <w:marRight w:val="0"/>
      <w:marTop w:val="0"/>
      <w:marBottom w:val="0"/>
      <w:divBdr>
        <w:top w:val="none" w:sz="0" w:space="0" w:color="auto"/>
        <w:left w:val="none" w:sz="0" w:space="0" w:color="auto"/>
        <w:bottom w:val="none" w:sz="0" w:space="0" w:color="auto"/>
        <w:right w:val="none" w:sz="0" w:space="0" w:color="auto"/>
      </w:divBdr>
    </w:div>
    <w:div w:id="461923681">
      <w:bodyDiv w:val="1"/>
      <w:marLeft w:val="0"/>
      <w:marRight w:val="0"/>
      <w:marTop w:val="0"/>
      <w:marBottom w:val="0"/>
      <w:divBdr>
        <w:top w:val="none" w:sz="0" w:space="0" w:color="auto"/>
        <w:left w:val="none" w:sz="0" w:space="0" w:color="auto"/>
        <w:bottom w:val="none" w:sz="0" w:space="0" w:color="auto"/>
        <w:right w:val="none" w:sz="0" w:space="0" w:color="auto"/>
      </w:divBdr>
    </w:div>
    <w:div w:id="563948701">
      <w:bodyDiv w:val="1"/>
      <w:marLeft w:val="0"/>
      <w:marRight w:val="0"/>
      <w:marTop w:val="0"/>
      <w:marBottom w:val="0"/>
      <w:divBdr>
        <w:top w:val="none" w:sz="0" w:space="0" w:color="auto"/>
        <w:left w:val="none" w:sz="0" w:space="0" w:color="auto"/>
        <w:bottom w:val="none" w:sz="0" w:space="0" w:color="auto"/>
        <w:right w:val="none" w:sz="0" w:space="0" w:color="auto"/>
      </w:divBdr>
    </w:div>
    <w:div w:id="569852067">
      <w:bodyDiv w:val="1"/>
      <w:marLeft w:val="0"/>
      <w:marRight w:val="0"/>
      <w:marTop w:val="0"/>
      <w:marBottom w:val="0"/>
      <w:divBdr>
        <w:top w:val="none" w:sz="0" w:space="0" w:color="auto"/>
        <w:left w:val="none" w:sz="0" w:space="0" w:color="auto"/>
        <w:bottom w:val="none" w:sz="0" w:space="0" w:color="auto"/>
        <w:right w:val="none" w:sz="0" w:space="0" w:color="auto"/>
      </w:divBdr>
    </w:div>
    <w:div w:id="609624786">
      <w:bodyDiv w:val="1"/>
      <w:marLeft w:val="0"/>
      <w:marRight w:val="0"/>
      <w:marTop w:val="0"/>
      <w:marBottom w:val="0"/>
      <w:divBdr>
        <w:top w:val="none" w:sz="0" w:space="0" w:color="auto"/>
        <w:left w:val="none" w:sz="0" w:space="0" w:color="auto"/>
        <w:bottom w:val="none" w:sz="0" w:space="0" w:color="auto"/>
        <w:right w:val="none" w:sz="0" w:space="0" w:color="auto"/>
      </w:divBdr>
      <w:divsChild>
        <w:div w:id="1170219285">
          <w:marLeft w:val="0"/>
          <w:marRight w:val="0"/>
          <w:marTop w:val="0"/>
          <w:marBottom w:val="0"/>
          <w:divBdr>
            <w:top w:val="none" w:sz="0" w:space="0" w:color="auto"/>
            <w:left w:val="none" w:sz="0" w:space="0" w:color="auto"/>
            <w:bottom w:val="none" w:sz="0" w:space="0" w:color="auto"/>
            <w:right w:val="none" w:sz="0" w:space="0" w:color="auto"/>
          </w:divBdr>
          <w:divsChild>
            <w:div w:id="939341413">
              <w:marLeft w:val="0"/>
              <w:marRight w:val="0"/>
              <w:marTop w:val="0"/>
              <w:marBottom w:val="0"/>
              <w:divBdr>
                <w:top w:val="none" w:sz="0" w:space="0" w:color="auto"/>
                <w:left w:val="none" w:sz="0" w:space="0" w:color="auto"/>
                <w:bottom w:val="none" w:sz="0" w:space="0" w:color="auto"/>
                <w:right w:val="none" w:sz="0" w:space="0" w:color="auto"/>
              </w:divBdr>
              <w:divsChild>
                <w:div w:id="1954825712">
                  <w:marLeft w:val="0"/>
                  <w:marRight w:val="0"/>
                  <w:marTop w:val="0"/>
                  <w:marBottom w:val="0"/>
                  <w:divBdr>
                    <w:top w:val="none" w:sz="0" w:space="0" w:color="auto"/>
                    <w:left w:val="none" w:sz="0" w:space="0" w:color="auto"/>
                    <w:bottom w:val="none" w:sz="0" w:space="0" w:color="auto"/>
                    <w:right w:val="none" w:sz="0" w:space="0" w:color="auto"/>
                  </w:divBdr>
                  <w:divsChild>
                    <w:div w:id="884021746">
                      <w:marLeft w:val="0"/>
                      <w:marRight w:val="0"/>
                      <w:marTop w:val="0"/>
                      <w:marBottom w:val="0"/>
                      <w:divBdr>
                        <w:top w:val="none" w:sz="0" w:space="0" w:color="auto"/>
                        <w:left w:val="none" w:sz="0" w:space="0" w:color="auto"/>
                        <w:bottom w:val="none" w:sz="0" w:space="0" w:color="auto"/>
                        <w:right w:val="none" w:sz="0" w:space="0" w:color="auto"/>
                      </w:divBdr>
                      <w:divsChild>
                        <w:div w:id="70396238">
                          <w:marLeft w:val="0"/>
                          <w:marRight w:val="0"/>
                          <w:marTop w:val="0"/>
                          <w:marBottom w:val="0"/>
                          <w:divBdr>
                            <w:top w:val="none" w:sz="0" w:space="0" w:color="auto"/>
                            <w:left w:val="none" w:sz="0" w:space="0" w:color="auto"/>
                            <w:bottom w:val="none" w:sz="0" w:space="0" w:color="auto"/>
                            <w:right w:val="none" w:sz="0" w:space="0" w:color="auto"/>
                          </w:divBdr>
                          <w:divsChild>
                            <w:div w:id="786392765">
                              <w:marLeft w:val="0"/>
                              <w:marRight w:val="0"/>
                              <w:marTop w:val="0"/>
                              <w:marBottom w:val="0"/>
                              <w:divBdr>
                                <w:top w:val="none" w:sz="0" w:space="0" w:color="auto"/>
                                <w:left w:val="none" w:sz="0" w:space="0" w:color="auto"/>
                                <w:bottom w:val="none" w:sz="0" w:space="0" w:color="auto"/>
                                <w:right w:val="none" w:sz="0" w:space="0" w:color="auto"/>
                              </w:divBdr>
                              <w:divsChild>
                                <w:div w:id="1723556552">
                                  <w:marLeft w:val="0"/>
                                  <w:marRight w:val="0"/>
                                  <w:marTop w:val="0"/>
                                  <w:marBottom w:val="0"/>
                                  <w:divBdr>
                                    <w:top w:val="none" w:sz="0" w:space="0" w:color="auto"/>
                                    <w:left w:val="none" w:sz="0" w:space="0" w:color="auto"/>
                                    <w:bottom w:val="none" w:sz="0" w:space="0" w:color="auto"/>
                                    <w:right w:val="none" w:sz="0" w:space="0" w:color="auto"/>
                                  </w:divBdr>
                                  <w:divsChild>
                                    <w:div w:id="1385981191">
                                      <w:marLeft w:val="0"/>
                                      <w:marRight w:val="0"/>
                                      <w:marTop w:val="0"/>
                                      <w:marBottom w:val="0"/>
                                      <w:divBdr>
                                        <w:top w:val="single" w:sz="6" w:space="0" w:color="F5F5F5"/>
                                        <w:left w:val="single" w:sz="6" w:space="0" w:color="F5F5F5"/>
                                        <w:bottom w:val="single" w:sz="6" w:space="0" w:color="F5F5F5"/>
                                        <w:right w:val="single" w:sz="6" w:space="0" w:color="F5F5F5"/>
                                      </w:divBdr>
                                      <w:divsChild>
                                        <w:div w:id="1491405920">
                                          <w:marLeft w:val="0"/>
                                          <w:marRight w:val="0"/>
                                          <w:marTop w:val="0"/>
                                          <w:marBottom w:val="0"/>
                                          <w:divBdr>
                                            <w:top w:val="none" w:sz="0" w:space="0" w:color="auto"/>
                                            <w:left w:val="none" w:sz="0" w:space="0" w:color="auto"/>
                                            <w:bottom w:val="none" w:sz="0" w:space="0" w:color="auto"/>
                                            <w:right w:val="none" w:sz="0" w:space="0" w:color="auto"/>
                                          </w:divBdr>
                                          <w:divsChild>
                                            <w:div w:id="6851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424643">
      <w:bodyDiv w:val="1"/>
      <w:marLeft w:val="0"/>
      <w:marRight w:val="0"/>
      <w:marTop w:val="0"/>
      <w:marBottom w:val="0"/>
      <w:divBdr>
        <w:top w:val="none" w:sz="0" w:space="0" w:color="auto"/>
        <w:left w:val="none" w:sz="0" w:space="0" w:color="auto"/>
        <w:bottom w:val="none" w:sz="0" w:space="0" w:color="auto"/>
        <w:right w:val="none" w:sz="0" w:space="0" w:color="auto"/>
      </w:divBdr>
    </w:div>
    <w:div w:id="696545801">
      <w:bodyDiv w:val="1"/>
      <w:marLeft w:val="0"/>
      <w:marRight w:val="0"/>
      <w:marTop w:val="0"/>
      <w:marBottom w:val="0"/>
      <w:divBdr>
        <w:top w:val="none" w:sz="0" w:space="0" w:color="auto"/>
        <w:left w:val="none" w:sz="0" w:space="0" w:color="auto"/>
        <w:bottom w:val="none" w:sz="0" w:space="0" w:color="auto"/>
        <w:right w:val="none" w:sz="0" w:space="0" w:color="auto"/>
      </w:divBdr>
    </w:div>
    <w:div w:id="708116551">
      <w:bodyDiv w:val="1"/>
      <w:marLeft w:val="0"/>
      <w:marRight w:val="0"/>
      <w:marTop w:val="0"/>
      <w:marBottom w:val="0"/>
      <w:divBdr>
        <w:top w:val="none" w:sz="0" w:space="0" w:color="auto"/>
        <w:left w:val="none" w:sz="0" w:space="0" w:color="auto"/>
        <w:bottom w:val="none" w:sz="0" w:space="0" w:color="auto"/>
        <w:right w:val="none" w:sz="0" w:space="0" w:color="auto"/>
      </w:divBdr>
    </w:div>
    <w:div w:id="819925637">
      <w:bodyDiv w:val="1"/>
      <w:marLeft w:val="0"/>
      <w:marRight w:val="0"/>
      <w:marTop w:val="0"/>
      <w:marBottom w:val="0"/>
      <w:divBdr>
        <w:top w:val="none" w:sz="0" w:space="0" w:color="auto"/>
        <w:left w:val="none" w:sz="0" w:space="0" w:color="auto"/>
        <w:bottom w:val="none" w:sz="0" w:space="0" w:color="auto"/>
        <w:right w:val="none" w:sz="0" w:space="0" w:color="auto"/>
      </w:divBdr>
    </w:div>
    <w:div w:id="839347432">
      <w:bodyDiv w:val="1"/>
      <w:marLeft w:val="0"/>
      <w:marRight w:val="0"/>
      <w:marTop w:val="0"/>
      <w:marBottom w:val="0"/>
      <w:divBdr>
        <w:top w:val="none" w:sz="0" w:space="0" w:color="auto"/>
        <w:left w:val="none" w:sz="0" w:space="0" w:color="auto"/>
        <w:bottom w:val="none" w:sz="0" w:space="0" w:color="auto"/>
        <w:right w:val="none" w:sz="0" w:space="0" w:color="auto"/>
      </w:divBdr>
    </w:div>
    <w:div w:id="880164693">
      <w:bodyDiv w:val="1"/>
      <w:marLeft w:val="0"/>
      <w:marRight w:val="0"/>
      <w:marTop w:val="0"/>
      <w:marBottom w:val="0"/>
      <w:divBdr>
        <w:top w:val="none" w:sz="0" w:space="0" w:color="auto"/>
        <w:left w:val="none" w:sz="0" w:space="0" w:color="auto"/>
        <w:bottom w:val="none" w:sz="0" w:space="0" w:color="auto"/>
        <w:right w:val="none" w:sz="0" w:space="0" w:color="auto"/>
      </w:divBdr>
    </w:div>
    <w:div w:id="888301414">
      <w:bodyDiv w:val="1"/>
      <w:marLeft w:val="0"/>
      <w:marRight w:val="0"/>
      <w:marTop w:val="0"/>
      <w:marBottom w:val="0"/>
      <w:divBdr>
        <w:top w:val="none" w:sz="0" w:space="0" w:color="auto"/>
        <w:left w:val="none" w:sz="0" w:space="0" w:color="auto"/>
        <w:bottom w:val="none" w:sz="0" w:space="0" w:color="auto"/>
        <w:right w:val="none" w:sz="0" w:space="0" w:color="auto"/>
      </w:divBdr>
    </w:div>
    <w:div w:id="889993918">
      <w:bodyDiv w:val="1"/>
      <w:marLeft w:val="0"/>
      <w:marRight w:val="0"/>
      <w:marTop w:val="0"/>
      <w:marBottom w:val="0"/>
      <w:divBdr>
        <w:top w:val="none" w:sz="0" w:space="0" w:color="auto"/>
        <w:left w:val="none" w:sz="0" w:space="0" w:color="auto"/>
        <w:bottom w:val="none" w:sz="0" w:space="0" w:color="auto"/>
        <w:right w:val="none" w:sz="0" w:space="0" w:color="auto"/>
      </w:divBdr>
    </w:div>
    <w:div w:id="892887850">
      <w:bodyDiv w:val="1"/>
      <w:marLeft w:val="0"/>
      <w:marRight w:val="0"/>
      <w:marTop w:val="0"/>
      <w:marBottom w:val="0"/>
      <w:divBdr>
        <w:top w:val="none" w:sz="0" w:space="0" w:color="auto"/>
        <w:left w:val="none" w:sz="0" w:space="0" w:color="auto"/>
        <w:bottom w:val="none" w:sz="0" w:space="0" w:color="auto"/>
        <w:right w:val="none" w:sz="0" w:space="0" w:color="auto"/>
      </w:divBdr>
    </w:div>
    <w:div w:id="1005864590">
      <w:bodyDiv w:val="1"/>
      <w:marLeft w:val="0"/>
      <w:marRight w:val="0"/>
      <w:marTop w:val="0"/>
      <w:marBottom w:val="0"/>
      <w:divBdr>
        <w:top w:val="none" w:sz="0" w:space="0" w:color="auto"/>
        <w:left w:val="none" w:sz="0" w:space="0" w:color="auto"/>
        <w:bottom w:val="none" w:sz="0" w:space="0" w:color="auto"/>
        <w:right w:val="none" w:sz="0" w:space="0" w:color="auto"/>
      </w:divBdr>
    </w:div>
    <w:div w:id="1120956827">
      <w:bodyDiv w:val="1"/>
      <w:marLeft w:val="0"/>
      <w:marRight w:val="0"/>
      <w:marTop w:val="0"/>
      <w:marBottom w:val="0"/>
      <w:divBdr>
        <w:top w:val="none" w:sz="0" w:space="0" w:color="auto"/>
        <w:left w:val="none" w:sz="0" w:space="0" w:color="auto"/>
        <w:bottom w:val="none" w:sz="0" w:space="0" w:color="auto"/>
        <w:right w:val="none" w:sz="0" w:space="0" w:color="auto"/>
      </w:divBdr>
    </w:div>
    <w:div w:id="1199666764">
      <w:bodyDiv w:val="1"/>
      <w:marLeft w:val="0"/>
      <w:marRight w:val="0"/>
      <w:marTop w:val="0"/>
      <w:marBottom w:val="0"/>
      <w:divBdr>
        <w:top w:val="none" w:sz="0" w:space="0" w:color="auto"/>
        <w:left w:val="none" w:sz="0" w:space="0" w:color="auto"/>
        <w:bottom w:val="none" w:sz="0" w:space="0" w:color="auto"/>
        <w:right w:val="none" w:sz="0" w:space="0" w:color="auto"/>
      </w:divBdr>
    </w:div>
    <w:div w:id="1203900714">
      <w:bodyDiv w:val="1"/>
      <w:marLeft w:val="0"/>
      <w:marRight w:val="0"/>
      <w:marTop w:val="0"/>
      <w:marBottom w:val="0"/>
      <w:divBdr>
        <w:top w:val="none" w:sz="0" w:space="0" w:color="auto"/>
        <w:left w:val="none" w:sz="0" w:space="0" w:color="auto"/>
        <w:bottom w:val="none" w:sz="0" w:space="0" w:color="auto"/>
        <w:right w:val="none" w:sz="0" w:space="0" w:color="auto"/>
      </w:divBdr>
    </w:div>
    <w:div w:id="1211649587">
      <w:bodyDiv w:val="1"/>
      <w:marLeft w:val="0"/>
      <w:marRight w:val="0"/>
      <w:marTop w:val="0"/>
      <w:marBottom w:val="0"/>
      <w:divBdr>
        <w:top w:val="none" w:sz="0" w:space="0" w:color="auto"/>
        <w:left w:val="none" w:sz="0" w:space="0" w:color="auto"/>
        <w:bottom w:val="none" w:sz="0" w:space="0" w:color="auto"/>
        <w:right w:val="none" w:sz="0" w:space="0" w:color="auto"/>
      </w:divBdr>
    </w:div>
    <w:div w:id="1245795509">
      <w:bodyDiv w:val="1"/>
      <w:marLeft w:val="0"/>
      <w:marRight w:val="0"/>
      <w:marTop w:val="0"/>
      <w:marBottom w:val="0"/>
      <w:divBdr>
        <w:top w:val="none" w:sz="0" w:space="0" w:color="auto"/>
        <w:left w:val="none" w:sz="0" w:space="0" w:color="auto"/>
        <w:bottom w:val="none" w:sz="0" w:space="0" w:color="auto"/>
        <w:right w:val="none" w:sz="0" w:space="0" w:color="auto"/>
      </w:divBdr>
    </w:div>
    <w:div w:id="1467316258">
      <w:bodyDiv w:val="1"/>
      <w:marLeft w:val="0"/>
      <w:marRight w:val="0"/>
      <w:marTop w:val="0"/>
      <w:marBottom w:val="0"/>
      <w:divBdr>
        <w:top w:val="none" w:sz="0" w:space="0" w:color="auto"/>
        <w:left w:val="none" w:sz="0" w:space="0" w:color="auto"/>
        <w:bottom w:val="none" w:sz="0" w:space="0" w:color="auto"/>
        <w:right w:val="none" w:sz="0" w:space="0" w:color="auto"/>
      </w:divBdr>
    </w:div>
    <w:div w:id="1488210211">
      <w:bodyDiv w:val="1"/>
      <w:marLeft w:val="0"/>
      <w:marRight w:val="0"/>
      <w:marTop w:val="0"/>
      <w:marBottom w:val="0"/>
      <w:divBdr>
        <w:top w:val="none" w:sz="0" w:space="0" w:color="auto"/>
        <w:left w:val="none" w:sz="0" w:space="0" w:color="auto"/>
        <w:bottom w:val="none" w:sz="0" w:space="0" w:color="auto"/>
        <w:right w:val="none" w:sz="0" w:space="0" w:color="auto"/>
      </w:divBdr>
    </w:div>
    <w:div w:id="1493793377">
      <w:bodyDiv w:val="1"/>
      <w:marLeft w:val="0"/>
      <w:marRight w:val="0"/>
      <w:marTop w:val="0"/>
      <w:marBottom w:val="0"/>
      <w:divBdr>
        <w:top w:val="none" w:sz="0" w:space="0" w:color="auto"/>
        <w:left w:val="none" w:sz="0" w:space="0" w:color="auto"/>
        <w:bottom w:val="none" w:sz="0" w:space="0" w:color="auto"/>
        <w:right w:val="none" w:sz="0" w:space="0" w:color="auto"/>
      </w:divBdr>
    </w:div>
    <w:div w:id="1528332017">
      <w:bodyDiv w:val="1"/>
      <w:marLeft w:val="0"/>
      <w:marRight w:val="0"/>
      <w:marTop w:val="0"/>
      <w:marBottom w:val="0"/>
      <w:divBdr>
        <w:top w:val="none" w:sz="0" w:space="0" w:color="auto"/>
        <w:left w:val="none" w:sz="0" w:space="0" w:color="auto"/>
        <w:bottom w:val="none" w:sz="0" w:space="0" w:color="auto"/>
        <w:right w:val="none" w:sz="0" w:space="0" w:color="auto"/>
      </w:divBdr>
    </w:div>
    <w:div w:id="1562667138">
      <w:bodyDiv w:val="1"/>
      <w:marLeft w:val="0"/>
      <w:marRight w:val="0"/>
      <w:marTop w:val="0"/>
      <w:marBottom w:val="0"/>
      <w:divBdr>
        <w:top w:val="none" w:sz="0" w:space="0" w:color="auto"/>
        <w:left w:val="none" w:sz="0" w:space="0" w:color="auto"/>
        <w:bottom w:val="none" w:sz="0" w:space="0" w:color="auto"/>
        <w:right w:val="none" w:sz="0" w:space="0" w:color="auto"/>
      </w:divBdr>
    </w:div>
    <w:div w:id="1709646668">
      <w:bodyDiv w:val="1"/>
      <w:marLeft w:val="0"/>
      <w:marRight w:val="0"/>
      <w:marTop w:val="0"/>
      <w:marBottom w:val="0"/>
      <w:divBdr>
        <w:top w:val="none" w:sz="0" w:space="0" w:color="auto"/>
        <w:left w:val="none" w:sz="0" w:space="0" w:color="auto"/>
        <w:bottom w:val="none" w:sz="0" w:space="0" w:color="auto"/>
        <w:right w:val="none" w:sz="0" w:space="0" w:color="auto"/>
      </w:divBdr>
    </w:div>
    <w:div w:id="1763989730">
      <w:bodyDiv w:val="1"/>
      <w:marLeft w:val="0"/>
      <w:marRight w:val="0"/>
      <w:marTop w:val="0"/>
      <w:marBottom w:val="0"/>
      <w:divBdr>
        <w:top w:val="none" w:sz="0" w:space="0" w:color="auto"/>
        <w:left w:val="none" w:sz="0" w:space="0" w:color="auto"/>
        <w:bottom w:val="none" w:sz="0" w:space="0" w:color="auto"/>
        <w:right w:val="none" w:sz="0" w:space="0" w:color="auto"/>
      </w:divBdr>
    </w:div>
    <w:div w:id="1834103764">
      <w:bodyDiv w:val="1"/>
      <w:marLeft w:val="0"/>
      <w:marRight w:val="0"/>
      <w:marTop w:val="0"/>
      <w:marBottom w:val="0"/>
      <w:divBdr>
        <w:top w:val="none" w:sz="0" w:space="0" w:color="auto"/>
        <w:left w:val="none" w:sz="0" w:space="0" w:color="auto"/>
        <w:bottom w:val="none" w:sz="0" w:space="0" w:color="auto"/>
        <w:right w:val="none" w:sz="0" w:space="0" w:color="auto"/>
      </w:divBdr>
    </w:div>
    <w:div w:id="1845625662">
      <w:bodyDiv w:val="1"/>
      <w:marLeft w:val="0"/>
      <w:marRight w:val="0"/>
      <w:marTop w:val="0"/>
      <w:marBottom w:val="0"/>
      <w:divBdr>
        <w:top w:val="none" w:sz="0" w:space="0" w:color="auto"/>
        <w:left w:val="none" w:sz="0" w:space="0" w:color="auto"/>
        <w:bottom w:val="none" w:sz="0" w:space="0" w:color="auto"/>
        <w:right w:val="none" w:sz="0" w:space="0" w:color="auto"/>
      </w:divBdr>
    </w:div>
    <w:div w:id="1846169958">
      <w:bodyDiv w:val="1"/>
      <w:marLeft w:val="0"/>
      <w:marRight w:val="0"/>
      <w:marTop w:val="0"/>
      <w:marBottom w:val="0"/>
      <w:divBdr>
        <w:top w:val="none" w:sz="0" w:space="0" w:color="auto"/>
        <w:left w:val="none" w:sz="0" w:space="0" w:color="auto"/>
        <w:bottom w:val="none" w:sz="0" w:space="0" w:color="auto"/>
        <w:right w:val="none" w:sz="0" w:space="0" w:color="auto"/>
      </w:divBdr>
    </w:div>
    <w:div w:id="1881933445">
      <w:bodyDiv w:val="1"/>
      <w:marLeft w:val="0"/>
      <w:marRight w:val="0"/>
      <w:marTop w:val="0"/>
      <w:marBottom w:val="0"/>
      <w:divBdr>
        <w:top w:val="none" w:sz="0" w:space="0" w:color="auto"/>
        <w:left w:val="none" w:sz="0" w:space="0" w:color="auto"/>
        <w:bottom w:val="none" w:sz="0" w:space="0" w:color="auto"/>
        <w:right w:val="none" w:sz="0" w:space="0" w:color="auto"/>
      </w:divBdr>
    </w:div>
    <w:div w:id="1958677391">
      <w:bodyDiv w:val="1"/>
      <w:marLeft w:val="0"/>
      <w:marRight w:val="0"/>
      <w:marTop w:val="0"/>
      <w:marBottom w:val="0"/>
      <w:divBdr>
        <w:top w:val="none" w:sz="0" w:space="0" w:color="auto"/>
        <w:left w:val="none" w:sz="0" w:space="0" w:color="auto"/>
        <w:bottom w:val="none" w:sz="0" w:space="0" w:color="auto"/>
        <w:right w:val="none" w:sz="0" w:space="0" w:color="auto"/>
      </w:divBdr>
    </w:div>
    <w:div w:id="2109887878">
      <w:bodyDiv w:val="1"/>
      <w:marLeft w:val="0"/>
      <w:marRight w:val="0"/>
      <w:marTop w:val="0"/>
      <w:marBottom w:val="0"/>
      <w:divBdr>
        <w:top w:val="none" w:sz="0" w:space="0" w:color="auto"/>
        <w:left w:val="none" w:sz="0" w:space="0" w:color="auto"/>
        <w:bottom w:val="none" w:sz="0" w:space="0" w:color="auto"/>
        <w:right w:val="none" w:sz="0" w:space="0" w:color="auto"/>
      </w:divBdr>
    </w:div>
    <w:div w:id="21381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1728</Words>
  <Characters>10236</Characters>
  <Application>Microsoft Office Word</Application>
  <DocSecurity>6</DocSecurity>
  <Lines>85</Lines>
  <Paragraphs>23</Paragraphs>
  <ScaleCrop>false</ScaleCrop>
  <HeadingPairs>
    <vt:vector size="2" baseType="variant">
      <vt:variant>
        <vt:lpstr>Title</vt:lpstr>
      </vt:variant>
      <vt:variant>
        <vt:i4>1</vt:i4>
      </vt:variant>
    </vt:vector>
  </HeadingPairs>
  <TitlesOfParts>
    <vt:vector size="1" baseType="lpstr">
      <vt:lpstr>4</vt:lpstr>
    </vt:vector>
  </TitlesOfParts>
  <Company>ACT Government</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3: 5.1 Expenditure and Forward Estimates</dc:title>
  <dc:subject>5.1 Expenditure and Forward Estimates</dc:subject>
  <dc:creator>Chief Minister and Treasury Directorate</dc:creator>
  <cp:lastModifiedBy>Keaton Paterson</cp:lastModifiedBy>
  <cp:revision>15</cp:revision>
  <cp:lastPrinted>2013-05-26T08:27:00Z</cp:lastPrinted>
  <dcterms:created xsi:type="dcterms:W3CDTF">2013-05-26T02:26:00Z</dcterms:created>
  <dcterms:modified xsi:type="dcterms:W3CDTF">2013-06-02T07:35:00Z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