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80" w:rsidRPr="009B7085" w:rsidRDefault="00451B47" w:rsidP="009B7085">
      <w:pPr>
        <w:pStyle w:val="Heading1"/>
      </w:pPr>
      <w:r w:rsidRPr="009B7085">
        <w:t>3</w:t>
      </w:r>
      <w:r w:rsidR="004A4F80" w:rsidRPr="009B7085">
        <w:t xml:space="preserve">.1 </w:t>
      </w:r>
      <w:r w:rsidR="004A4F80" w:rsidRPr="009B7085">
        <w:tab/>
        <w:t>REVENUE AND FORWARD ESTIMATES</w:t>
      </w:r>
    </w:p>
    <w:p w:rsidR="00DF1201" w:rsidRPr="009B7085" w:rsidRDefault="00DF1201" w:rsidP="009B7085">
      <w:pPr>
        <w:pStyle w:val="BodyText"/>
      </w:pPr>
      <w:r w:rsidRPr="009B7085">
        <w:t>Total ACT General Government Sector (GGS) revenue is estimated to be $4</w:t>
      </w:r>
      <w:r w:rsidR="00EB0E8E">
        <w:t>.0</w:t>
      </w:r>
      <w:r w:rsidRPr="009B7085">
        <w:t xml:space="preserve"> billion in 2012</w:t>
      </w:r>
      <w:r w:rsidRPr="009B7085">
        <w:noBreakHyphen/>
        <w:t>13 compared with an original 2012-13 Budget estimate of $3.952 billion and a 2012</w:t>
      </w:r>
      <w:r w:rsidR="00DB1487">
        <w:noBreakHyphen/>
      </w:r>
      <w:r w:rsidRPr="009B7085">
        <w:t>13</w:t>
      </w:r>
      <w:r w:rsidR="00DB1487">
        <w:t> </w:t>
      </w:r>
      <w:r w:rsidRPr="009B7085">
        <w:t xml:space="preserve">Budget Review estimate of $4.060 billion.  </w:t>
      </w:r>
    </w:p>
    <w:p w:rsidR="00524C2B" w:rsidRDefault="00DF1201" w:rsidP="009B7085">
      <w:pPr>
        <w:pStyle w:val="BodyText"/>
      </w:pPr>
      <w:r>
        <w:t>The decrease of $59.7 million in expected revenue for 2012-13 compared to the 2012</w:t>
      </w:r>
      <w:r w:rsidR="00DB1487">
        <w:noBreakHyphen/>
      </w:r>
      <w:r>
        <w:t>13</w:t>
      </w:r>
      <w:r w:rsidR="00DB1487">
        <w:t> </w:t>
      </w:r>
      <w:r>
        <w:t xml:space="preserve">Budget Review, is driven by lower than expected conveyance revenue due to a continued softening of the </w:t>
      </w:r>
      <w:r w:rsidR="00EA224B">
        <w:t>property</w:t>
      </w:r>
      <w:r>
        <w:t xml:space="preserve"> market, </w:t>
      </w:r>
      <w:r w:rsidRPr="00524C2B">
        <w:t xml:space="preserve">lower than expected </w:t>
      </w:r>
      <w:r w:rsidR="00EA224B">
        <w:t xml:space="preserve">sales of </w:t>
      </w:r>
      <w:r w:rsidRPr="00524C2B">
        <w:t xml:space="preserve">goods and services </w:t>
      </w:r>
      <w:r w:rsidR="00785490">
        <w:t>as a result of</w:t>
      </w:r>
      <w:r w:rsidR="00524C2B" w:rsidRPr="00524C2B">
        <w:t xml:space="preserve"> a</w:t>
      </w:r>
      <w:r w:rsidR="00524C2B" w:rsidRPr="00B80205">
        <w:t xml:space="preserve"> change in the flow of funding from NSW for cross border health costs</w:t>
      </w:r>
      <w:r w:rsidR="00524C2B">
        <w:t>,</w:t>
      </w:r>
      <w:r w:rsidR="00EA224B">
        <w:t xml:space="preserve"> and</w:t>
      </w:r>
      <w:r w:rsidR="00524C2B" w:rsidRPr="00B80205">
        <w:t> </w:t>
      </w:r>
      <w:r>
        <w:t>lower dividends and i</w:t>
      </w:r>
      <w:r w:rsidR="00C73F2C">
        <w:t>ncome tax equivalents from the P</w:t>
      </w:r>
      <w:r>
        <w:t xml:space="preserve">ublic </w:t>
      </w:r>
      <w:r w:rsidR="00C73F2C">
        <w:t>T</w:t>
      </w:r>
      <w:r>
        <w:t xml:space="preserve">rading </w:t>
      </w:r>
      <w:r w:rsidR="00C73F2C">
        <w:t>E</w:t>
      </w:r>
      <w:r>
        <w:t>nterprises</w:t>
      </w:r>
      <w:r w:rsidR="00785490">
        <w:t>.  This is</w:t>
      </w:r>
      <w:r>
        <w:t xml:space="preserve"> partially offset by higher than expected grants from the Commonwealth.</w:t>
      </w:r>
      <w:r w:rsidR="00524C2B">
        <w:t xml:space="preserve"> </w:t>
      </w:r>
    </w:p>
    <w:p w:rsidR="00524C2B" w:rsidRPr="00887B02" w:rsidRDefault="00524C2B" w:rsidP="00887B02">
      <w:pPr>
        <w:pStyle w:val="BodyText"/>
      </w:pPr>
      <w:r w:rsidRPr="00887B02">
        <w:t>Total revenue is expected to increase</w:t>
      </w:r>
      <w:r w:rsidR="00C73F2C" w:rsidRPr="00887B02">
        <w:t xml:space="preserve"> in 2013-14 by $</w:t>
      </w:r>
      <w:r w:rsidRPr="00887B02">
        <w:t xml:space="preserve">237 </w:t>
      </w:r>
      <w:r w:rsidR="00C73F2C" w:rsidRPr="00887B02">
        <w:t>m</w:t>
      </w:r>
      <w:r w:rsidRPr="00887B02">
        <w:t>illion or 5.9 per cent to $4.237 billion.  This largely reflects growth in Commonwealth grants of 8 per cent and growth in own-source taxation revenue of 5 per cent.</w:t>
      </w:r>
    </w:p>
    <w:p w:rsidR="00DF1201" w:rsidRPr="00887B02" w:rsidRDefault="00003D60" w:rsidP="00887B02">
      <w:pPr>
        <w:pStyle w:val="BodyText"/>
      </w:pPr>
      <w:r w:rsidRPr="00887B02">
        <w:t xml:space="preserve">The majority of General Government Sector (GGS) revenue in </w:t>
      </w:r>
      <w:r w:rsidR="00F565DC" w:rsidRPr="00887B02">
        <w:t>2013-14</w:t>
      </w:r>
      <w:r w:rsidRPr="00887B02">
        <w:t xml:space="preserve"> is from grants from the Commonwealth Government (</w:t>
      </w:r>
      <w:r w:rsidR="001D0DC7" w:rsidRPr="00887B02">
        <w:t>43</w:t>
      </w:r>
      <w:r w:rsidRPr="00887B02">
        <w:t> per cent) and own source taxation (3</w:t>
      </w:r>
      <w:r w:rsidR="00813690" w:rsidRPr="00887B02">
        <w:t>1</w:t>
      </w:r>
      <w:r w:rsidRPr="00887B02">
        <w:t> per cent).</w:t>
      </w:r>
    </w:p>
    <w:p w:rsidR="00524C2B" w:rsidRDefault="001D0DC7" w:rsidP="00887B02">
      <w:pPr>
        <w:pStyle w:val="BodyText"/>
      </w:pPr>
      <w:r w:rsidRPr="00887B02">
        <w:t>T</w:t>
      </w:r>
      <w:r w:rsidR="008270AD" w:rsidRPr="00887B02">
        <w:t>he 2013-14 Budget</w:t>
      </w:r>
      <w:r w:rsidRPr="00887B02">
        <w:t xml:space="preserve"> </w:t>
      </w:r>
      <w:r w:rsidR="00EA224B">
        <w:t>includes</w:t>
      </w:r>
      <w:r w:rsidR="008270AD" w:rsidRPr="00887B02">
        <w:t xml:space="preserve"> the </w:t>
      </w:r>
      <w:r w:rsidR="00EA224B">
        <w:t>Government’s decision to accelerate</w:t>
      </w:r>
      <w:r w:rsidR="000F3DF8" w:rsidRPr="00887B02">
        <w:t xml:space="preserve"> </w:t>
      </w:r>
      <w:r w:rsidR="008270AD" w:rsidRPr="00887B02">
        <w:t>abolition of conve</w:t>
      </w:r>
      <w:r w:rsidR="006E0A9B" w:rsidRPr="00887B02">
        <w:t>yance duty</w:t>
      </w:r>
      <w:r w:rsidR="000F3DF8" w:rsidRPr="00887B02">
        <w:t xml:space="preserve"> fees</w:t>
      </w:r>
      <w:r w:rsidR="00EA224B">
        <w:t xml:space="preserve"> under the Government’s Tax Reform program</w:t>
      </w:r>
      <w:r w:rsidR="006E0A9B" w:rsidRPr="00887B02">
        <w:t xml:space="preserve">.  A new threshold </w:t>
      </w:r>
      <w:r w:rsidR="008270AD" w:rsidRPr="00887B02">
        <w:t>will be introduced</w:t>
      </w:r>
      <w:r w:rsidR="006E0A9B" w:rsidRPr="00887B02">
        <w:t xml:space="preserve"> </w:t>
      </w:r>
      <w:r w:rsidR="000F3DF8" w:rsidRPr="00887B02">
        <w:t>and</w:t>
      </w:r>
      <w:r w:rsidR="006E0A9B" w:rsidRPr="00887B02">
        <w:t xml:space="preserve"> take effect</w:t>
      </w:r>
      <w:r w:rsidR="000F3DF8" w:rsidRPr="00887B02">
        <w:t xml:space="preserve"> from</w:t>
      </w:r>
      <w:r w:rsidR="006E0A9B" w:rsidRPr="00887B02">
        <w:t xml:space="preserve"> </w:t>
      </w:r>
      <w:r w:rsidR="00EA224B">
        <w:t>5 June 2013</w:t>
      </w:r>
      <w:r w:rsidRPr="00887B02">
        <w:t>, which</w:t>
      </w:r>
      <w:r w:rsidR="008270AD" w:rsidRPr="00887B02">
        <w:t xml:space="preserve"> will </w:t>
      </w:r>
      <w:r w:rsidR="006E0A9B" w:rsidRPr="00887B02">
        <w:t>accelerate</w:t>
      </w:r>
      <w:r w:rsidR="008270AD" w:rsidRPr="00887B02">
        <w:t xml:space="preserve"> the abolition of this inefficient tax.  Revenue lost through this reform will be replaced through the General Rates system.  </w:t>
      </w:r>
    </w:p>
    <w:p w:rsidR="00BE7AEB" w:rsidRDefault="00BE7AEB" w:rsidP="00BE7AEB">
      <w:pPr>
        <w:pStyle w:val="BodyText"/>
      </w:pPr>
      <w:r>
        <w:t xml:space="preserve">While conveyance revenue has fallen significantly compared with the estimates contained in the 2012-13 Budget, the Government will not seek to recover this loss in revenue which has arisen because of lower </w:t>
      </w:r>
      <w:r w:rsidR="003C17CC">
        <w:t xml:space="preserve">activity </w:t>
      </w:r>
      <w:r>
        <w:t xml:space="preserve">in the property market.  Increases in general rates will </w:t>
      </w:r>
      <w:r w:rsidR="003C17CC">
        <w:t xml:space="preserve">only seek to recover impacts from the </w:t>
      </w:r>
      <w:r w:rsidR="003C17CC" w:rsidRPr="000D5F0C">
        <w:t>Tax Reform program</w:t>
      </w:r>
      <w:r w:rsidR="000D5F0C" w:rsidRPr="000D5F0C">
        <w:t>.</w:t>
      </w:r>
    </w:p>
    <w:p w:rsidR="00FC00C1" w:rsidRPr="00887B02" w:rsidRDefault="00FC00C1" w:rsidP="00887B02">
      <w:pPr>
        <w:pStyle w:val="BodyText"/>
      </w:pPr>
      <w:r w:rsidRPr="00887B02">
        <w:t xml:space="preserve">Aggregate underlying revenue across the budget and forward estimates grows at a compound average annual rate of 5.8 per cent, which is above the original planning parameters of 5.25 per cent.  </w:t>
      </w:r>
    </w:p>
    <w:p w:rsidR="00DF1201" w:rsidRPr="00D91BEC" w:rsidRDefault="00DF1201" w:rsidP="00FC00C1">
      <w:pPr>
        <w:pStyle w:val="BodyText"/>
        <w:rPr>
          <w:rFonts w:cs="Calibri"/>
        </w:rPr>
      </w:pPr>
    </w:p>
    <w:p w:rsidR="004A4F80" w:rsidRPr="00887B02" w:rsidRDefault="004A4F80" w:rsidP="00887B02">
      <w:pPr>
        <w:pStyle w:val="Heading3TopofPage"/>
      </w:pPr>
      <w:r w:rsidRPr="00810C89">
        <w:rPr>
          <w:rStyle w:val="BodyTextChar1"/>
          <w:highlight w:val="yellow"/>
        </w:rPr>
        <w:br w:type="page"/>
      </w:r>
      <w:r w:rsidR="0069431B" w:rsidRPr="00887B02">
        <w:lastRenderedPageBreak/>
        <w:t>2013-14</w:t>
      </w:r>
      <w:r w:rsidR="00810C89" w:rsidRPr="00887B02">
        <w:t xml:space="preserve"> Budget</w:t>
      </w:r>
      <w:r w:rsidRPr="00887B02">
        <w:t xml:space="preserve"> and Forward Estimates Revenues</w:t>
      </w:r>
      <w:r w:rsidR="006B53F8" w:rsidRPr="00887B02">
        <w:t xml:space="preserve"> </w:t>
      </w:r>
    </w:p>
    <w:p w:rsidR="004A4F80" w:rsidRPr="00887B02" w:rsidRDefault="001521A9" w:rsidP="00887B02">
      <w:pPr>
        <w:pStyle w:val="BodyText"/>
      </w:pPr>
      <w:r w:rsidRPr="00887B02">
        <w:t>Figure </w:t>
      </w:r>
      <w:r w:rsidR="00451B47" w:rsidRPr="00887B02">
        <w:t>3</w:t>
      </w:r>
      <w:r w:rsidR="004A4F80" w:rsidRPr="00887B02">
        <w:t xml:space="preserve">.1.1 </w:t>
      </w:r>
      <w:r w:rsidR="00524C2B" w:rsidRPr="00887B02">
        <w:t>provides an overview of the sources of ACT Government revenue</w:t>
      </w:r>
      <w:r w:rsidR="004A4F80" w:rsidRPr="00887B02">
        <w:t xml:space="preserve">.  </w:t>
      </w:r>
    </w:p>
    <w:p w:rsidR="004A4F80" w:rsidRPr="00887B02" w:rsidRDefault="00244FB1" w:rsidP="00887B02">
      <w:pPr>
        <w:pStyle w:val="TableNumber"/>
      </w:pPr>
      <w:r w:rsidRPr="00887B02">
        <w:t xml:space="preserve">Figure </w:t>
      </w:r>
      <w:r w:rsidR="00451B47" w:rsidRPr="00887B02">
        <w:t>3</w:t>
      </w:r>
      <w:r w:rsidR="004A4F80" w:rsidRPr="00887B02">
        <w:t>.1.1</w:t>
      </w:r>
    </w:p>
    <w:p w:rsidR="004A4F80" w:rsidRPr="00887B02" w:rsidRDefault="00810C89" w:rsidP="00887B02">
      <w:pPr>
        <w:pStyle w:val="TableName"/>
      </w:pPr>
      <w:r w:rsidRPr="00887B02">
        <w:t>Components of 201</w:t>
      </w:r>
      <w:r w:rsidR="00F5151C" w:rsidRPr="00887B02">
        <w:t>3</w:t>
      </w:r>
      <w:r w:rsidRPr="00887B02">
        <w:t>-1</w:t>
      </w:r>
      <w:r w:rsidR="00F5151C" w:rsidRPr="00887B02">
        <w:t>4</w:t>
      </w:r>
      <w:r w:rsidR="004A4F80" w:rsidRPr="00887B02">
        <w:t xml:space="preserve"> General Government Revenue</w:t>
      </w:r>
    </w:p>
    <w:p w:rsidR="004A4F80" w:rsidRPr="00F5151C" w:rsidRDefault="00B6432F">
      <w:pPr>
        <w:pStyle w:val="BodyText"/>
        <w:jc w:val="center"/>
        <w:rPr>
          <w:color w:val="FF0000"/>
        </w:rPr>
      </w:pPr>
      <w:r w:rsidRPr="00B6432F">
        <w:rPr>
          <w:noProof/>
          <w:color w:val="FF0000"/>
          <w:lang w:eastAsia="en-AU"/>
        </w:rPr>
        <w:drawing>
          <wp:inline distT="0" distB="0" distL="0" distR="0">
            <wp:extent cx="5732145" cy="3011213"/>
            <wp:effectExtent l="19050" t="0" r="2095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4F80" w:rsidRPr="00077859" w:rsidRDefault="004A4F80" w:rsidP="00077859">
      <w:pPr>
        <w:pStyle w:val="BodyText"/>
      </w:pPr>
      <w:r w:rsidRPr="00077859">
        <w:t>Table </w:t>
      </w:r>
      <w:r w:rsidR="00451B47" w:rsidRPr="00077859">
        <w:t>3</w:t>
      </w:r>
      <w:r w:rsidRPr="00077859">
        <w:t>.1.</w:t>
      </w:r>
      <w:r w:rsidR="003F10B6" w:rsidRPr="00077859">
        <w:t>2</w:t>
      </w:r>
      <w:r w:rsidRPr="00077859">
        <w:t xml:space="preserve"> pro</w:t>
      </w:r>
      <w:r w:rsidR="00810C89" w:rsidRPr="00077859">
        <w:t xml:space="preserve">vides a summary of </w:t>
      </w:r>
      <w:r w:rsidR="0069431B" w:rsidRPr="00077859">
        <w:t>2012-13</w:t>
      </w:r>
      <w:r w:rsidRPr="00077859">
        <w:t xml:space="preserve"> estimated genera</w:t>
      </w:r>
      <w:r w:rsidR="00810C89" w:rsidRPr="00077859">
        <w:t>l government revenue, the 2013</w:t>
      </w:r>
      <w:r w:rsidR="0069431B" w:rsidRPr="00077859">
        <w:t>-14</w:t>
      </w:r>
      <w:r w:rsidRPr="00077859">
        <w:t xml:space="preserve"> Budget forecast and forward estimates by revenue source. </w:t>
      </w:r>
    </w:p>
    <w:p w:rsidR="004A4F80" w:rsidRPr="000E3233" w:rsidRDefault="00244FB1" w:rsidP="00800E5E">
      <w:pPr>
        <w:pStyle w:val="TableNumber"/>
      </w:pPr>
      <w:r>
        <w:t xml:space="preserve">Table </w:t>
      </w:r>
      <w:r w:rsidR="00451B47">
        <w:t>3</w:t>
      </w:r>
      <w:r w:rsidR="003F10B6">
        <w:t>.1.2</w:t>
      </w:r>
    </w:p>
    <w:p w:rsidR="004A4F80" w:rsidRPr="00C74C96" w:rsidRDefault="004A4F80" w:rsidP="00C74C96">
      <w:pPr>
        <w:pStyle w:val="TableName"/>
      </w:pPr>
      <w:r w:rsidRPr="00C74C96">
        <w:t>General Government Revenue</w:t>
      </w:r>
    </w:p>
    <w:tbl>
      <w:tblPr>
        <w:tblW w:w="9100" w:type="dxa"/>
        <w:tblLook w:val="0000"/>
      </w:tblPr>
      <w:tblGrid>
        <w:gridCol w:w="1023"/>
        <w:gridCol w:w="2225"/>
        <w:gridCol w:w="1313"/>
        <w:gridCol w:w="1022"/>
        <w:gridCol w:w="572"/>
        <w:gridCol w:w="1022"/>
        <w:gridCol w:w="1022"/>
        <w:gridCol w:w="1022"/>
      </w:tblGrid>
      <w:tr w:rsidR="0069431B" w:rsidRPr="000E3233" w:rsidTr="00887B02">
        <w:trPr>
          <w:trHeight w:val="172"/>
        </w:trPr>
        <w:tc>
          <w:tcPr>
            <w:tcW w:w="1023" w:type="dxa"/>
            <w:tcBorders>
              <w:top w:val="single" w:sz="4" w:space="0" w:color="auto"/>
              <w:left w:val="nil"/>
              <w:bottom w:val="nil"/>
              <w:right w:val="nil"/>
            </w:tcBorders>
            <w:shd w:val="clear" w:color="auto" w:fill="auto"/>
            <w:noWrap/>
          </w:tcPr>
          <w:p w:rsidR="0069431B" w:rsidRPr="000E3233" w:rsidRDefault="0069431B" w:rsidP="00D90F82">
            <w:pPr>
              <w:pStyle w:val="StyleTableTextRightBold-BP3Before05ptAfter05pt"/>
            </w:pPr>
            <w:r w:rsidRPr="000E3233">
              <w:t>201</w:t>
            </w:r>
            <w:r>
              <w:t>2-13</w:t>
            </w:r>
          </w:p>
        </w:tc>
        <w:tc>
          <w:tcPr>
            <w:tcW w:w="2225" w:type="dxa"/>
            <w:tcBorders>
              <w:top w:val="single" w:sz="4" w:space="0" w:color="auto"/>
              <w:left w:val="nil"/>
              <w:bottom w:val="nil"/>
              <w:right w:val="nil"/>
            </w:tcBorders>
            <w:shd w:val="clear" w:color="auto" w:fill="auto"/>
            <w:noWrap/>
          </w:tcPr>
          <w:p w:rsidR="0069431B" w:rsidRPr="000E3233" w:rsidRDefault="0069431B" w:rsidP="00D90F82">
            <w:pPr>
              <w:pStyle w:val="StyleTableTextRightBold-BP3Before05ptAfter05pt"/>
            </w:pPr>
            <w:r w:rsidRPr="000E3233">
              <w:t> </w:t>
            </w:r>
          </w:p>
        </w:tc>
        <w:tc>
          <w:tcPr>
            <w:tcW w:w="1313" w:type="dxa"/>
            <w:tcBorders>
              <w:top w:val="single" w:sz="4" w:space="0" w:color="auto"/>
              <w:left w:val="nil"/>
              <w:bottom w:val="nil"/>
              <w:right w:val="nil"/>
            </w:tcBorders>
            <w:shd w:val="clear" w:color="auto" w:fill="auto"/>
            <w:noWrap/>
          </w:tcPr>
          <w:p w:rsidR="0069431B" w:rsidRPr="000E3233" w:rsidRDefault="0069431B" w:rsidP="000E3233">
            <w:pPr>
              <w:pStyle w:val="StyleTableTextRightBold-BP3Before05ptAfter05pt"/>
            </w:pPr>
            <w:r w:rsidRPr="000E3233">
              <w:t>201</w:t>
            </w:r>
            <w:r>
              <w:t>2-13</w:t>
            </w:r>
          </w:p>
        </w:tc>
        <w:tc>
          <w:tcPr>
            <w:tcW w:w="1022" w:type="dxa"/>
            <w:tcBorders>
              <w:top w:val="single" w:sz="4" w:space="0" w:color="auto"/>
              <w:left w:val="nil"/>
              <w:bottom w:val="nil"/>
              <w:right w:val="nil"/>
            </w:tcBorders>
            <w:shd w:val="clear" w:color="auto" w:fill="auto"/>
            <w:noWrap/>
          </w:tcPr>
          <w:p w:rsidR="0069431B" w:rsidRPr="000E3233" w:rsidRDefault="0069431B" w:rsidP="00D90F82">
            <w:pPr>
              <w:pStyle w:val="StyleTableTextRightBold-BP3Before05ptAfter05pt"/>
            </w:pPr>
            <w:r w:rsidRPr="000E3233">
              <w:t>201</w:t>
            </w:r>
            <w:r>
              <w:t>3-14</w:t>
            </w:r>
          </w:p>
        </w:tc>
        <w:tc>
          <w:tcPr>
            <w:tcW w:w="572" w:type="dxa"/>
            <w:tcBorders>
              <w:top w:val="single" w:sz="4" w:space="0" w:color="auto"/>
              <w:left w:val="nil"/>
              <w:bottom w:val="nil"/>
              <w:right w:val="nil"/>
            </w:tcBorders>
            <w:shd w:val="clear" w:color="auto" w:fill="auto"/>
            <w:noWrap/>
          </w:tcPr>
          <w:p w:rsidR="0069431B" w:rsidRPr="000E3233" w:rsidRDefault="0069431B" w:rsidP="00D90F82">
            <w:pPr>
              <w:pStyle w:val="StyleTableTextRightBold-BP3Before05ptAfter05pt"/>
            </w:pPr>
            <w:r w:rsidRPr="000E3233">
              <w:t> </w:t>
            </w:r>
          </w:p>
        </w:tc>
        <w:tc>
          <w:tcPr>
            <w:tcW w:w="1022"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t>2014-15</w:t>
            </w:r>
          </w:p>
        </w:tc>
        <w:tc>
          <w:tcPr>
            <w:tcW w:w="1022"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t>2015-16</w:t>
            </w:r>
          </w:p>
        </w:tc>
        <w:tc>
          <w:tcPr>
            <w:tcW w:w="1022" w:type="dxa"/>
            <w:tcBorders>
              <w:top w:val="single" w:sz="4" w:space="0" w:color="auto"/>
              <w:left w:val="nil"/>
              <w:bottom w:val="nil"/>
              <w:right w:val="nil"/>
            </w:tcBorders>
            <w:shd w:val="clear" w:color="auto" w:fill="auto"/>
            <w:noWrap/>
          </w:tcPr>
          <w:p w:rsidR="0069431B" w:rsidRPr="000E3233" w:rsidRDefault="0069431B" w:rsidP="00D90F82">
            <w:pPr>
              <w:pStyle w:val="StyleTableTextRightBold-BP3Before05ptAfter05pt"/>
            </w:pPr>
            <w:r>
              <w:t>2016-17</w:t>
            </w:r>
          </w:p>
        </w:tc>
      </w:tr>
      <w:tr w:rsidR="004A4F80" w:rsidRPr="000E3233" w:rsidTr="00887B02">
        <w:trPr>
          <w:trHeight w:val="172"/>
        </w:trPr>
        <w:tc>
          <w:tcPr>
            <w:tcW w:w="1023"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Budget</w:t>
            </w:r>
          </w:p>
        </w:tc>
        <w:tc>
          <w:tcPr>
            <w:tcW w:w="2225" w:type="dxa"/>
            <w:tcBorders>
              <w:top w:val="nil"/>
              <w:left w:val="nil"/>
              <w:bottom w:val="nil"/>
              <w:right w:val="nil"/>
            </w:tcBorders>
            <w:shd w:val="clear" w:color="auto" w:fill="auto"/>
            <w:noWrap/>
          </w:tcPr>
          <w:p w:rsidR="004A4F80" w:rsidRPr="000E3233" w:rsidRDefault="004A4F80">
            <w:pPr>
              <w:pStyle w:val="TableTextRightBold-BP3"/>
              <w:spacing w:before="10" w:after="10"/>
            </w:pPr>
          </w:p>
        </w:tc>
        <w:tc>
          <w:tcPr>
            <w:tcW w:w="1313" w:type="dxa"/>
            <w:tcBorders>
              <w:top w:val="nil"/>
              <w:left w:val="nil"/>
              <w:bottom w:val="nil"/>
              <w:right w:val="nil"/>
            </w:tcBorders>
            <w:shd w:val="clear" w:color="auto" w:fill="auto"/>
          </w:tcPr>
          <w:p w:rsidR="004A4F80" w:rsidRPr="000E3233" w:rsidRDefault="004A4F80" w:rsidP="00D90F82">
            <w:pPr>
              <w:pStyle w:val="StyleTableTextRightBold-BP3Before05ptAfter05pt"/>
            </w:pPr>
            <w:r w:rsidRPr="000E3233">
              <w:t>Est. Outcome</w:t>
            </w:r>
          </w:p>
        </w:tc>
        <w:tc>
          <w:tcPr>
            <w:tcW w:w="1022"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Budget</w:t>
            </w:r>
          </w:p>
        </w:tc>
        <w:tc>
          <w:tcPr>
            <w:tcW w:w="572"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Var</w:t>
            </w:r>
          </w:p>
        </w:tc>
        <w:tc>
          <w:tcPr>
            <w:tcW w:w="1022"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Estimate</w:t>
            </w:r>
          </w:p>
        </w:tc>
        <w:tc>
          <w:tcPr>
            <w:tcW w:w="1022"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Estimate</w:t>
            </w:r>
          </w:p>
        </w:tc>
        <w:tc>
          <w:tcPr>
            <w:tcW w:w="1022" w:type="dxa"/>
            <w:tcBorders>
              <w:top w:val="nil"/>
              <w:left w:val="nil"/>
              <w:bottom w:val="nil"/>
              <w:right w:val="nil"/>
            </w:tcBorders>
            <w:shd w:val="clear" w:color="auto" w:fill="auto"/>
            <w:noWrap/>
          </w:tcPr>
          <w:p w:rsidR="004A4F80" w:rsidRPr="000E3233" w:rsidRDefault="004A4F80" w:rsidP="00D90F82">
            <w:pPr>
              <w:pStyle w:val="StyleTableTextRightBold-BP3Before05ptAfter05pt"/>
            </w:pPr>
            <w:r w:rsidRPr="000E3233">
              <w:t>Estimate</w:t>
            </w:r>
          </w:p>
        </w:tc>
      </w:tr>
      <w:tr w:rsidR="004A4F80" w:rsidRPr="000E3233" w:rsidTr="00887B02">
        <w:trPr>
          <w:trHeight w:val="172"/>
        </w:trPr>
        <w:tc>
          <w:tcPr>
            <w:tcW w:w="1023"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c>
          <w:tcPr>
            <w:tcW w:w="2225"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 </w:t>
            </w:r>
          </w:p>
        </w:tc>
        <w:tc>
          <w:tcPr>
            <w:tcW w:w="1313"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c>
          <w:tcPr>
            <w:tcW w:w="1022"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c>
          <w:tcPr>
            <w:tcW w:w="572"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w:t>
            </w:r>
          </w:p>
        </w:tc>
        <w:tc>
          <w:tcPr>
            <w:tcW w:w="1022"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c>
          <w:tcPr>
            <w:tcW w:w="1022"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c>
          <w:tcPr>
            <w:tcW w:w="1022" w:type="dxa"/>
            <w:tcBorders>
              <w:top w:val="nil"/>
              <w:left w:val="nil"/>
              <w:bottom w:val="single" w:sz="4" w:space="0" w:color="auto"/>
              <w:right w:val="nil"/>
            </w:tcBorders>
            <w:shd w:val="clear" w:color="auto" w:fill="auto"/>
            <w:noWrap/>
          </w:tcPr>
          <w:p w:rsidR="004A4F80" w:rsidRPr="000E3233" w:rsidRDefault="004A4F80" w:rsidP="00D90F82">
            <w:pPr>
              <w:pStyle w:val="StyleTableTextRightBold-BP3Before05ptAfter05pt"/>
            </w:pPr>
            <w:r w:rsidRPr="000E3233">
              <w:t>$'000</w:t>
            </w:r>
          </w:p>
        </w:tc>
      </w:tr>
      <w:tr w:rsidR="004A4F80" w:rsidRPr="000E3233" w:rsidTr="00887B02">
        <w:trPr>
          <w:trHeight w:val="172"/>
        </w:trPr>
        <w:tc>
          <w:tcPr>
            <w:tcW w:w="1023" w:type="dxa"/>
            <w:tcBorders>
              <w:top w:val="nil"/>
              <w:left w:val="nil"/>
              <w:bottom w:val="nil"/>
              <w:right w:val="nil"/>
            </w:tcBorders>
            <w:shd w:val="clear" w:color="auto" w:fill="auto"/>
            <w:noWrap/>
          </w:tcPr>
          <w:p w:rsidR="004A4F80" w:rsidRPr="00077859" w:rsidRDefault="004A4F80">
            <w:pPr>
              <w:spacing w:before="16" w:after="16"/>
              <w:jc w:val="right"/>
              <w:rPr>
                <w:sz w:val="18"/>
                <w:szCs w:val="18"/>
              </w:rPr>
            </w:pPr>
          </w:p>
        </w:tc>
        <w:tc>
          <w:tcPr>
            <w:tcW w:w="2225" w:type="dxa"/>
            <w:tcBorders>
              <w:top w:val="nil"/>
              <w:left w:val="nil"/>
              <w:bottom w:val="nil"/>
              <w:right w:val="nil"/>
            </w:tcBorders>
            <w:shd w:val="clear" w:color="auto" w:fill="auto"/>
          </w:tcPr>
          <w:p w:rsidR="004A4F80" w:rsidRPr="00077859" w:rsidRDefault="004A4F80">
            <w:pPr>
              <w:pStyle w:val="TableTextLeftBold-BP3"/>
              <w:spacing w:before="16" w:after="16"/>
              <w:rPr>
                <w:sz w:val="18"/>
                <w:szCs w:val="18"/>
              </w:rPr>
            </w:pPr>
            <w:r w:rsidRPr="00077859">
              <w:rPr>
                <w:sz w:val="18"/>
                <w:szCs w:val="18"/>
              </w:rPr>
              <w:t>Revenue</w:t>
            </w:r>
          </w:p>
        </w:tc>
        <w:tc>
          <w:tcPr>
            <w:tcW w:w="1313"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c>
          <w:tcPr>
            <w:tcW w:w="1022"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c>
          <w:tcPr>
            <w:tcW w:w="572"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c>
          <w:tcPr>
            <w:tcW w:w="1022"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c>
          <w:tcPr>
            <w:tcW w:w="1022"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c>
          <w:tcPr>
            <w:tcW w:w="1022" w:type="dxa"/>
            <w:tcBorders>
              <w:top w:val="nil"/>
              <w:left w:val="nil"/>
              <w:bottom w:val="nil"/>
              <w:right w:val="nil"/>
            </w:tcBorders>
            <w:shd w:val="clear" w:color="auto" w:fill="auto"/>
            <w:noWrap/>
          </w:tcPr>
          <w:p w:rsidR="004A4F80" w:rsidRPr="000E3233" w:rsidRDefault="004A4F80">
            <w:pPr>
              <w:spacing w:before="16" w:after="16"/>
              <w:jc w:val="right"/>
              <w:rPr>
                <w:sz w:val="18"/>
                <w:szCs w:val="18"/>
              </w:rPr>
            </w:pPr>
          </w:p>
        </w:tc>
      </w:tr>
      <w:tr w:rsidR="009A5C3B" w:rsidRPr="000E3233" w:rsidTr="00887B02">
        <w:trPr>
          <w:trHeight w:val="172"/>
        </w:trPr>
        <w:tc>
          <w:tcPr>
            <w:tcW w:w="1023" w:type="dxa"/>
            <w:tcBorders>
              <w:top w:val="nil"/>
              <w:left w:val="nil"/>
              <w:bottom w:val="nil"/>
              <w:right w:val="nil"/>
            </w:tcBorders>
            <w:shd w:val="clear" w:color="auto" w:fill="auto"/>
            <w:noWrap/>
          </w:tcPr>
          <w:p w:rsidR="009A5C3B" w:rsidRPr="00451B47" w:rsidRDefault="009A5C3B" w:rsidP="0054105B">
            <w:pPr>
              <w:jc w:val="right"/>
              <w:rPr>
                <w:rFonts w:cs="Calibri"/>
                <w:sz w:val="18"/>
                <w:szCs w:val="18"/>
              </w:rPr>
            </w:pPr>
            <w:r w:rsidRPr="00451B47">
              <w:rPr>
                <w:rFonts w:cs="Calibri"/>
                <w:sz w:val="18"/>
                <w:szCs w:val="18"/>
              </w:rPr>
              <w:t>1,277,992</w:t>
            </w:r>
          </w:p>
        </w:tc>
        <w:tc>
          <w:tcPr>
            <w:tcW w:w="2225" w:type="dxa"/>
            <w:tcBorders>
              <w:top w:val="nil"/>
              <w:left w:val="nil"/>
              <w:bottom w:val="nil"/>
              <w:right w:val="nil"/>
            </w:tcBorders>
            <w:shd w:val="clear" w:color="auto" w:fill="auto"/>
            <w:noWrap/>
          </w:tcPr>
          <w:p w:rsidR="009A5C3B" w:rsidRPr="00153F95" w:rsidRDefault="009A5C3B" w:rsidP="00077859">
            <w:pPr>
              <w:pStyle w:val="TableTextLeft-BP3"/>
              <w:rPr>
                <w:szCs w:val="20"/>
              </w:rPr>
            </w:pPr>
            <w:r w:rsidRPr="00153F95">
              <w:rPr>
                <w:szCs w:val="20"/>
              </w:rPr>
              <w:t>Taxation</w:t>
            </w:r>
          </w:p>
        </w:tc>
        <w:tc>
          <w:tcPr>
            <w:tcW w:w="1313"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1,236,406</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1,298,688</w:t>
            </w:r>
          </w:p>
        </w:tc>
        <w:tc>
          <w:tcPr>
            <w:tcW w:w="57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 xml:space="preserve">5 </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1,383,845</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1,470,567</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1,564,331</w:t>
            </w:r>
          </w:p>
        </w:tc>
      </w:tr>
      <w:tr w:rsidR="00D2253E" w:rsidRPr="000E3233" w:rsidTr="00887B02">
        <w:trPr>
          <w:trHeight w:val="172"/>
        </w:trPr>
        <w:tc>
          <w:tcPr>
            <w:tcW w:w="1023" w:type="dxa"/>
            <w:tcBorders>
              <w:top w:val="nil"/>
              <w:left w:val="nil"/>
              <w:bottom w:val="nil"/>
              <w:right w:val="nil"/>
            </w:tcBorders>
            <w:shd w:val="clear" w:color="auto" w:fill="auto"/>
            <w:noWrap/>
          </w:tcPr>
          <w:p w:rsidR="00D2253E" w:rsidRPr="00451B47" w:rsidRDefault="00D2253E" w:rsidP="0054105B">
            <w:pPr>
              <w:jc w:val="right"/>
              <w:rPr>
                <w:rFonts w:cs="Calibri"/>
                <w:sz w:val="18"/>
                <w:szCs w:val="18"/>
              </w:rPr>
            </w:pPr>
            <w:r w:rsidRPr="00451B47">
              <w:rPr>
                <w:rFonts w:cs="Calibri"/>
                <w:sz w:val="18"/>
                <w:szCs w:val="18"/>
              </w:rPr>
              <w:t>1,568,718</w:t>
            </w:r>
          </w:p>
        </w:tc>
        <w:tc>
          <w:tcPr>
            <w:tcW w:w="2225" w:type="dxa"/>
            <w:tcBorders>
              <w:top w:val="nil"/>
              <w:left w:val="nil"/>
              <w:bottom w:val="nil"/>
              <w:right w:val="nil"/>
            </w:tcBorders>
            <w:shd w:val="clear" w:color="auto" w:fill="auto"/>
          </w:tcPr>
          <w:p w:rsidR="00D2253E" w:rsidRPr="00153F95" w:rsidRDefault="00D2253E" w:rsidP="00077859">
            <w:pPr>
              <w:pStyle w:val="TableTextLeft-BP3"/>
              <w:rPr>
                <w:szCs w:val="20"/>
              </w:rPr>
            </w:pPr>
            <w:r w:rsidRPr="00153F95">
              <w:rPr>
                <w:szCs w:val="20"/>
              </w:rPr>
              <w:t>Commonwealth Grants</w:t>
            </w:r>
          </w:p>
        </w:tc>
        <w:tc>
          <w:tcPr>
            <w:tcW w:w="1313"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1,653,501</w:t>
            </w:r>
          </w:p>
        </w:tc>
        <w:tc>
          <w:tcPr>
            <w:tcW w:w="1022"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1,793,539</w:t>
            </w:r>
          </w:p>
        </w:tc>
        <w:tc>
          <w:tcPr>
            <w:tcW w:w="572"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 xml:space="preserve">8 </w:t>
            </w:r>
          </w:p>
        </w:tc>
        <w:tc>
          <w:tcPr>
            <w:tcW w:w="1022"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1,931,427</w:t>
            </w:r>
          </w:p>
        </w:tc>
        <w:tc>
          <w:tcPr>
            <w:tcW w:w="1022"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1,990,390</w:t>
            </w:r>
          </w:p>
        </w:tc>
        <w:tc>
          <w:tcPr>
            <w:tcW w:w="1022" w:type="dxa"/>
            <w:tcBorders>
              <w:top w:val="nil"/>
              <w:left w:val="nil"/>
              <w:bottom w:val="nil"/>
              <w:right w:val="nil"/>
            </w:tcBorders>
            <w:shd w:val="clear" w:color="auto" w:fill="auto"/>
            <w:noWrap/>
          </w:tcPr>
          <w:p w:rsidR="00D2253E" w:rsidRDefault="00D2253E">
            <w:pPr>
              <w:jc w:val="right"/>
              <w:rPr>
                <w:rFonts w:cs="Arial"/>
                <w:sz w:val="18"/>
                <w:szCs w:val="18"/>
              </w:rPr>
            </w:pPr>
            <w:r>
              <w:rPr>
                <w:rFonts w:cs="Arial"/>
                <w:sz w:val="18"/>
                <w:szCs w:val="18"/>
              </w:rPr>
              <w:t>2,110,687</w:t>
            </w:r>
          </w:p>
        </w:tc>
      </w:tr>
      <w:tr w:rsidR="009A5C3B" w:rsidRPr="000E3233" w:rsidTr="00887B02">
        <w:trPr>
          <w:trHeight w:val="172"/>
        </w:trPr>
        <w:tc>
          <w:tcPr>
            <w:tcW w:w="1023" w:type="dxa"/>
            <w:tcBorders>
              <w:top w:val="nil"/>
              <w:left w:val="nil"/>
              <w:bottom w:val="nil"/>
              <w:right w:val="nil"/>
            </w:tcBorders>
            <w:shd w:val="clear" w:color="auto" w:fill="auto"/>
            <w:noWrap/>
          </w:tcPr>
          <w:p w:rsidR="009A5C3B" w:rsidRPr="00451B47" w:rsidRDefault="009A5C3B" w:rsidP="0054105B">
            <w:pPr>
              <w:jc w:val="right"/>
              <w:rPr>
                <w:rFonts w:cs="Calibri"/>
                <w:sz w:val="18"/>
                <w:szCs w:val="18"/>
              </w:rPr>
            </w:pPr>
            <w:r w:rsidRPr="00451B47">
              <w:rPr>
                <w:rFonts w:cs="Calibri"/>
                <w:sz w:val="18"/>
                <w:szCs w:val="18"/>
              </w:rPr>
              <w:t>91,681</w:t>
            </w:r>
          </w:p>
        </w:tc>
        <w:tc>
          <w:tcPr>
            <w:tcW w:w="2225" w:type="dxa"/>
            <w:tcBorders>
              <w:top w:val="nil"/>
              <w:left w:val="nil"/>
              <w:bottom w:val="nil"/>
              <w:right w:val="nil"/>
            </w:tcBorders>
            <w:shd w:val="clear" w:color="auto" w:fill="auto"/>
            <w:noWrap/>
          </w:tcPr>
          <w:p w:rsidR="009A5C3B" w:rsidRPr="00153F95" w:rsidRDefault="009A5C3B" w:rsidP="00077859">
            <w:pPr>
              <w:pStyle w:val="TableTextLeft-BP3"/>
              <w:rPr>
                <w:szCs w:val="20"/>
              </w:rPr>
            </w:pPr>
            <w:r w:rsidRPr="00153F95">
              <w:rPr>
                <w:szCs w:val="20"/>
              </w:rPr>
              <w:t>Gains from Contributed Assets</w:t>
            </w:r>
          </w:p>
        </w:tc>
        <w:tc>
          <w:tcPr>
            <w:tcW w:w="1313"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108,243</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135,538</w:t>
            </w:r>
          </w:p>
        </w:tc>
        <w:tc>
          <w:tcPr>
            <w:tcW w:w="57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 xml:space="preserve">25 </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126,681</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115,652</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115,663</w:t>
            </w:r>
          </w:p>
        </w:tc>
      </w:tr>
      <w:tr w:rsidR="009A5C3B" w:rsidRPr="000E3233" w:rsidTr="00887B02">
        <w:trPr>
          <w:trHeight w:val="172"/>
        </w:trPr>
        <w:tc>
          <w:tcPr>
            <w:tcW w:w="1023" w:type="dxa"/>
            <w:tcBorders>
              <w:top w:val="nil"/>
              <w:left w:val="nil"/>
              <w:bottom w:val="nil"/>
              <w:right w:val="nil"/>
            </w:tcBorders>
            <w:shd w:val="clear" w:color="auto" w:fill="auto"/>
            <w:noWrap/>
          </w:tcPr>
          <w:p w:rsidR="009A5C3B" w:rsidRPr="00451B47" w:rsidRDefault="009A5C3B" w:rsidP="0054105B">
            <w:pPr>
              <w:jc w:val="right"/>
              <w:rPr>
                <w:rFonts w:cs="Calibri"/>
                <w:sz w:val="18"/>
                <w:szCs w:val="18"/>
              </w:rPr>
            </w:pPr>
            <w:r w:rsidRPr="00451B47">
              <w:rPr>
                <w:rFonts w:cs="Calibri"/>
                <w:sz w:val="18"/>
                <w:szCs w:val="18"/>
              </w:rPr>
              <w:t>472,932</w:t>
            </w:r>
          </w:p>
        </w:tc>
        <w:tc>
          <w:tcPr>
            <w:tcW w:w="2225" w:type="dxa"/>
            <w:tcBorders>
              <w:top w:val="nil"/>
              <w:left w:val="nil"/>
              <w:bottom w:val="nil"/>
              <w:right w:val="nil"/>
            </w:tcBorders>
            <w:shd w:val="clear" w:color="auto" w:fill="auto"/>
            <w:noWrap/>
          </w:tcPr>
          <w:p w:rsidR="009A5C3B" w:rsidRPr="00153F95" w:rsidRDefault="009A5C3B" w:rsidP="00077859">
            <w:pPr>
              <w:pStyle w:val="TableTextLeft-BP3"/>
              <w:rPr>
                <w:szCs w:val="20"/>
              </w:rPr>
            </w:pPr>
            <w:r w:rsidRPr="00153F95">
              <w:rPr>
                <w:szCs w:val="20"/>
              </w:rPr>
              <w:t>Sales of Goods and Services</w:t>
            </w:r>
          </w:p>
        </w:tc>
        <w:tc>
          <w:tcPr>
            <w:tcW w:w="1313"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419,138</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437,792</w:t>
            </w:r>
          </w:p>
        </w:tc>
        <w:tc>
          <w:tcPr>
            <w:tcW w:w="57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 xml:space="preserve">4 </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461,237</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475,235</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488,386</w:t>
            </w:r>
          </w:p>
        </w:tc>
      </w:tr>
      <w:tr w:rsidR="00A73487" w:rsidRPr="000E3233" w:rsidTr="00887B02">
        <w:trPr>
          <w:trHeight w:val="172"/>
        </w:trPr>
        <w:tc>
          <w:tcPr>
            <w:tcW w:w="1023" w:type="dxa"/>
            <w:tcBorders>
              <w:top w:val="nil"/>
              <w:left w:val="nil"/>
              <w:bottom w:val="nil"/>
              <w:right w:val="nil"/>
            </w:tcBorders>
            <w:shd w:val="clear" w:color="auto" w:fill="auto"/>
            <w:noWrap/>
          </w:tcPr>
          <w:p w:rsidR="00A73487" w:rsidRPr="00451B47" w:rsidRDefault="00A73487" w:rsidP="0054105B">
            <w:pPr>
              <w:jc w:val="right"/>
              <w:rPr>
                <w:rFonts w:cs="Calibri"/>
                <w:sz w:val="18"/>
                <w:szCs w:val="18"/>
              </w:rPr>
            </w:pPr>
            <w:r w:rsidRPr="00451B47">
              <w:rPr>
                <w:rFonts w:cs="Calibri"/>
                <w:sz w:val="18"/>
                <w:szCs w:val="18"/>
              </w:rPr>
              <w:t>142,775</w:t>
            </w:r>
          </w:p>
        </w:tc>
        <w:tc>
          <w:tcPr>
            <w:tcW w:w="2225" w:type="dxa"/>
            <w:tcBorders>
              <w:top w:val="nil"/>
              <w:left w:val="nil"/>
              <w:bottom w:val="nil"/>
              <w:right w:val="nil"/>
            </w:tcBorders>
            <w:shd w:val="clear" w:color="auto" w:fill="auto"/>
            <w:noWrap/>
          </w:tcPr>
          <w:p w:rsidR="00A73487" w:rsidRPr="00153F95" w:rsidRDefault="00A73487" w:rsidP="00077859">
            <w:pPr>
              <w:pStyle w:val="TableTextLeft-BP3"/>
              <w:rPr>
                <w:szCs w:val="20"/>
              </w:rPr>
            </w:pPr>
            <w:r w:rsidRPr="00153F95">
              <w:rPr>
                <w:szCs w:val="20"/>
              </w:rPr>
              <w:t>Interest Income</w:t>
            </w:r>
          </w:p>
        </w:tc>
        <w:tc>
          <w:tcPr>
            <w:tcW w:w="1313"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143,708</w:t>
            </w:r>
          </w:p>
        </w:tc>
        <w:tc>
          <w:tcPr>
            <w:tcW w:w="1022"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135,658</w:t>
            </w:r>
          </w:p>
        </w:tc>
        <w:tc>
          <w:tcPr>
            <w:tcW w:w="572"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 xml:space="preserve">-6 </w:t>
            </w:r>
          </w:p>
        </w:tc>
        <w:tc>
          <w:tcPr>
            <w:tcW w:w="1022"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146,001</w:t>
            </w:r>
          </w:p>
        </w:tc>
        <w:tc>
          <w:tcPr>
            <w:tcW w:w="1022"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151,303</w:t>
            </w:r>
          </w:p>
        </w:tc>
        <w:tc>
          <w:tcPr>
            <w:tcW w:w="1022" w:type="dxa"/>
            <w:tcBorders>
              <w:top w:val="nil"/>
              <w:left w:val="nil"/>
              <w:bottom w:val="nil"/>
              <w:right w:val="nil"/>
            </w:tcBorders>
            <w:shd w:val="clear" w:color="auto" w:fill="auto"/>
            <w:noWrap/>
          </w:tcPr>
          <w:p w:rsidR="00A73487" w:rsidRDefault="00A73487">
            <w:pPr>
              <w:jc w:val="right"/>
              <w:rPr>
                <w:rFonts w:cs="Arial"/>
                <w:sz w:val="18"/>
                <w:szCs w:val="18"/>
              </w:rPr>
            </w:pPr>
            <w:r>
              <w:rPr>
                <w:rFonts w:cs="Arial"/>
                <w:sz w:val="18"/>
                <w:szCs w:val="18"/>
              </w:rPr>
              <w:t>155,033</w:t>
            </w:r>
          </w:p>
        </w:tc>
      </w:tr>
      <w:tr w:rsidR="009A5C3B" w:rsidRPr="000E3233" w:rsidTr="00887B02">
        <w:trPr>
          <w:trHeight w:val="172"/>
        </w:trPr>
        <w:tc>
          <w:tcPr>
            <w:tcW w:w="1023" w:type="dxa"/>
            <w:tcBorders>
              <w:top w:val="nil"/>
              <w:left w:val="nil"/>
              <w:bottom w:val="nil"/>
              <w:right w:val="nil"/>
            </w:tcBorders>
            <w:shd w:val="clear" w:color="auto" w:fill="auto"/>
            <w:noWrap/>
          </w:tcPr>
          <w:p w:rsidR="009A5C3B" w:rsidRPr="00451B47" w:rsidRDefault="009A5C3B" w:rsidP="0054105B">
            <w:pPr>
              <w:jc w:val="right"/>
              <w:rPr>
                <w:rFonts w:cs="Calibri"/>
                <w:sz w:val="18"/>
                <w:szCs w:val="18"/>
              </w:rPr>
            </w:pPr>
            <w:r w:rsidRPr="00451B47">
              <w:rPr>
                <w:rFonts w:cs="Calibri"/>
                <w:sz w:val="18"/>
                <w:szCs w:val="18"/>
              </w:rPr>
              <w:t>282,858</w:t>
            </w:r>
          </w:p>
        </w:tc>
        <w:tc>
          <w:tcPr>
            <w:tcW w:w="2225" w:type="dxa"/>
            <w:tcBorders>
              <w:top w:val="nil"/>
              <w:left w:val="nil"/>
              <w:bottom w:val="nil"/>
              <w:right w:val="nil"/>
            </w:tcBorders>
            <w:shd w:val="clear" w:color="auto" w:fill="auto"/>
          </w:tcPr>
          <w:p w:rsidR="009A5C3B" w:rsidRPr="00153F95" w:rsidRDefault="009A5C3B" w:rsidP="00077859">
            <w:pPr>
              <w:pStyle w:val="TableTextLeft-BP3"/>
              <w:rPr>
                <w:szCs w:val="20"/>
              </w:rPr>
            </w:pPr>
            <w:r w:rsidRPr="00153F95">
              <w:rPr>
                <w:szCs w:val="20"/>
              </w:rPr>
              <w:t>Dividend and Tax Equivalents Income</w:t>
            </w:r>
          </w:p>
        </w:tc>
        <w:tc>
          <w:tcPr>
            <w:tcW w:w="1313"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321,045</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304,637</w:t>
            </w:r>
          </w:p>
        </w:tc>
        <w:tc>
          <w:tcPr>
            <w:tcW w:w="57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 xml:space="preserve">-5 </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337,645</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450,725</w:t>
            </w:r>
          </w:p>
        </w:tc>
        <w:tc>
          <w:tcPr>
            <w:tcW w:w="1022" w:type="dxa"/>
            <w:tcBorders>
              <w:top w:val="nil"/>
              <w:left w:val="nil"/>
              <w:bottom w:val="nil"/>
              <w:right w:val="nil"/>
            </w:tcBorders>
            <w:shd w:val="clear" w:color="auto" w:fill="auto"/>
            <w:noWrap/>
          </w:tcPr>
          <w:p w:rsidR="009A5C3B" w:rsidRDefault="009A5C3B">
            <w:pPr>
              <w:jc w:val="right"/>
              <w:rPr>
                <w:rFonts w:cs="Arial"/>
                <w:sz w:val="18"/>
                <w:szCs w:val="18"/>
              </w:rPr>
            </w:pPr>
            <w:r>
              <w:rPr>
                <w:rFonts w:cs="Arial"/>
                <w:sz w:val="18"/>
                <w:szCs w:val="18"/>
              </w:rPr>
              <w:t>436,508</w:t>
            </w:r>
          </w:p>
        </w:tc>
      </w:tr>
      <w:tr w:rsidR="00D2253E" w:rsidRPr="000E3233" w:rsidTr="00077859">
        <w:trPr>
          <w:trHeight w:val="172"/>
        </w:trPr>
        <w:tc>
          <w:tcPr>
            <w:tcW w:w="1023" w:type="dxa"/>
            <w:tcBorders>
              <w:top w:val="nil"/>
              <w:left w:val="nil"/>
              <w:bottom w:val="nil"/>
              <w:right w:val="nil"/>
            </w:tcBorders>
            <w:shd w:val="clear" w:color="auto" w:fill="auto"/>
            <w:noWrap/>
          </w:tcPr>
          <w:p w:rsidR="00D2253E" w:rsidRPr="00451B47" w:rsidRDefault="00D2253E" w:rsidP="0054105B">
            <w:pPr>
              <w:jc w:val="right"/>
              <w:rPr>
                <w:rFonts w:cs="Calibri"/>
                <w:sz w:val="18"/>
                <w:szCs w:val="18"/>
              </w:rPr>
            </w:pPr>
            <w:r w:rsidRPr="00451B47">
              <w:rPr>
                <w:rFonts w:cs="Calibri"/>
                <w:sz w:val="18"/>
                <w:szCs w:val="18"/>
              </w:rPr>
              <w:t>114,765</w:t>
            </w:r>
          </w:p>
        </w:tc>
        <w:tc>
          <w:tcPr>
            <w:tcW w:w="2225" w:type="dxa"/>
            <w:tcBorders>
              <w:top w:val="nil"/>
              <w:left w:val="nil"/>
              <w:bottom w:val="nil"/>
              <w:right w:val="nil"/>
            </w:tcBorders>
            <w:shd w:val="clear" w:color="auto" w:fill="auto"/>
            <w:noWrap/>
          </w:tcPr>
          <w:p w:rsidR="00D2253E" w:rsidRPr="00153F95" w:rsidRDefault="00D2253E" w:rsidP="000B3623">
            <w:pPr>
              <w:pStyle w:val="TableTextLeft-BP3"/>
              <w:rPr>
                <w:szCs w:val="20"/>
              </w:rPr>
            </w:pPr>
            <w:r w:rsidRPr="00153F95">
              <w:rPr>
                <w:szCs w:val="20"/>
              </w:rPr>
              <w:t>Other Revenue</w:t>
            </w:r>
          </w:p>
        </w:tc>
        <w:tc>
          <w:tcPr>
            <w:tcW w:w="1313"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117,812</w:t>
            </w:r>
          </w:p>
        </w:tc>
        <w:tc>
          <w:tcPr>
            <w:tcW w:w="1022"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131,421</w:t>
            </w:r>
          </w:p>
        </w:tc>
        <w:tc>
          <w:tcPr>
            <w:tcW w:w="572"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 xml:space="preserve">12 </w:t>
            </w:r>
          </w:p>
        </w:tc>
        <w:tc>
          <w:tcPr>
            <w:tcW w:w="1022"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132,720</w:t>
            </w:r>
          </w:p>
        </w:tc>
        <w:tc>
          <w:tcPr>
            <w:tcW w:w="1022"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134,476</w:t>
            </w:r>
          </w:p>
        </w:tc>
        <w:tc>
          <w:tcPr>
            <w:tcW w:w="1022" w:type="dxa"/>
            <w:tcBorders>
              <w:top w:val="nil"/>
              <w:left w:val="nil"/>
              <w:bottom w:val="nil"/>
              <w:right w:val="nil"/>
            </w:tcBorders>
            <w:shd w:val="clear" w:color="auto" w:fill="auto"/>
            <w:noWrap/>
          </w:tcPr>
          <w:p w:rsidR="00D2253E" w:rsidRDefault="00D2253E" w:rsidP="00077859">
            <w:pPr>
              <w:jc w:val="right"/>
              <w:rPr>
                <w:rFonts w:cs="Arial"/>
                <w:sz w:val="18"/>
                <w:szCs w:val="18"/>
              </w:rPr>
            </w:pPr>
            <w:r>
              <w:rPr>
                <w:rFonts w:cs="Arial"/>
                <w:sz w:val="18"/>
                <w:szCs w:val="18"/>
              </w:rPr>
              <w:t>136,185</w:t>
            </w:r>
          </w:p>
        </w:tc>
      </w:tr>
      <w:tr w:rsidR="00A73487" w:rsidRPr="000E3233" w:rsidTr="00153F95">
        <w:trPr>
          <w:trHeight w:val="172"/>
        </w:trPr>
        <w:tc>
          <w:tcPr>
            <w:tcW w:w="1023" w:type="dxa"/>
            <w:tcBorders>
              <w:top w:val="single" w:sz="4" w:space="0" w:color="auto"/>
              <w:left w:val="nil"/>
              <w:bottom w:val="single" w:sz="4" w:space="0" w:color="auto"/>
              <w:right w:val="nil"/>
            </w:tcBorders>
            <w:shd w:val="clear" w:color="auto" w:fill="auto"/>
            <w:noWrap/>
            <w:vAlign w:val="center"/>
          </w:tcPr>
          <w:p w:rsidR="00A73487" w:rsidRPr="00451B47" w:rsidRDefault="00A73487" w:rsidP="00153F95">
            <w:pPr>
              <w:jc w:val="right"/>
              <w:rPr>
                <w:rFonts w:cs="Calibri"/>
                <w:b/>
                <w:bCs/>
                <w:sz w:val="18"/>
                <w:szCs w:val="18"/>
              </w:rPr>
            </w:pPr>
            <w:r w:rsidRPr="00451B47">
              <w:rPr>
                <w:rFonts w:cs="Calibri"/>
                <w:b/>
                <w:bCs/>
                <w:sz w:val="18"/>
                <w:szCs w:val="18"/>
              </w:rPr>
              <w:t>3,951,721</w:t>
            </w:r>
          </w:p>
        </w:tc>
        <w:tc>
          <w:tcPr>
            <w:tcW w:w="2225" w:type="dxa"/>
            <w:tcBorders>
              <w:top w:val="single" w:sz="4" w:space="0" w:color="auto"/>
              <w:left w:val="nil"/>
              <w:bottom w:val="single" w:sz="4" w:space="0" w:color="auto"/>
              <w:right w:val="nil"/>
            </w:tcBorders>
            <w:shd w:val="clear" w:color="auto" w:fill="auto"/>
          </w:tcPr>
          <w:p w:rsidR="00A73487" w:rsidRPr="00153F95" w:rsidRDefault="00A73487" w:rsidP="00077859">
            <w:pPr>
              <w:pStyle w:val="TableTextLeftBold-BP3"/>
              <w:spacing w:before="16" w:after="16"/>
            </w:pPr>
            <w:r w:rsidRPr="00153F95">
              <w:t>Total Revenue</w:t>
            </w:r>
          </w:p>
        </w:tc>
        <w:tc>
          <w:tcPr>
            <w:tcW w:w="1313"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3,999,853</w:t>
            </w:r>
          </w:p>
        </w:tc>
        <w:tc>
          <w:tcPr>
            <w:tcW w:w="1022"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4,237,273</w:t>
            </w:r>
          </w:p>
        </w:tc>
        <w:tc>
          <w:tcPr>
            <w:tcW w:w="572"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 xml:space="preserve">6 </w:t>
            </w:r>
          </w:p>
        </w:tc>
        <w:tc>
          <w:tcPr>
            <w:tcW w:w="1022"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4,519,556</w:t>
            </w:r>
          </w:p>
        </w:tc>
        <w:tc>
          <w:tcPr>
            <w:tcW w:w="1022"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4,788,348</w:t>
            </w:r>
          </w:p>
        </w:tc>
        <w:tc>
          <w:tcPr>
            <w:tcW w:w="1022" w:type="dxa"/>
            <w:tcBorders>
              <w:top w:val="single" w:sz="4" w:space="0" w:color="auto"/>
              <w:left w:val="nil"/>
              <w:bottom w:val="single" w:sz="4" w:space="0" w:color="auto"/>
              <w:right w:val="nil"/>
            </w:tcBorders>
            <w:shd w:val="clear" w:color="auto" w:fill="auto"/>
            <w:noWrap/>
            <w:vAlign w:val="center"/>
          </w:tcPr>
          <w:p w:rsidR="00A73487" w:rsidRDefault="00A73487" w:rsidP="00153F95">
            <w:pPr>
              <w:jc w:val="right"/>
              <w:rPr>
                <w:rFonts w:cs="Arial"/>
                <w:b/>
                <w:bCs/>
                <w:sz w:val="18"/>
                <w:szCs w:val="18"/>
              </w:rPr>
            </w:pPr>
            <w:r>
              <w:rPr>
                <w:rFonts w:cs="Arial"/>
                <w:b/>
                <w:bCs/>
                <w:sz w:val="18"/>
                <w:szCs w:val="18"/>
              </w:rPr>
              <w:t>5,006,793</w:t>
            </w:r>
          </w:p>
        </w:tc>
      </w:tr>
    </w:tbl>
    <w:p w:rsidR="00524C2B" w:rsidRPr="00077859" w:rsidRDefault="00524C2B" w:rsidP="00077859">
      <w:pPr>
        <w:pStyle w:val="BodyText"/>
      </w:pPr>
      <w:r w:rsidRPr="00077859">
        <w:t>As can be seen from this table, the majority of GGS revenue is from grants from the Commonwealth Government (43 per cent) and own source taxation (31 per cent).</w:t>
      </w:r>
    </w:p>
    <w:p w:rsidR="00060B48" w:rsidRPr="00077859" w:rsidRDefault="00060B48" w:rsidP="00077859">
      <w:pPr>
        <w:pStyle w:val="BodyText"/>
      </w:pPr>
      <w:r w:rsidRPr="00077859">
        <w:t xml:space="preserve">The ACT has a number of revenue raising </w:t>
      </w:r>
      <w:r w:rsidR="007C1F26" w:rsidRPr="00077859">
        <w:t>disadvantages</w:t>
      </w:r>
      <w:r w:rsidRPr="00077859">
        <w:t xml:space="preserve"> in comparison with other jurisdictions, where a significant proportion of the Territory’s economic activity is generated by Commonwealth Government expenditure within the Territory.  Commonwealth employment, which drives much of the Territory’s expenditure, is exempt from payroll tax. </w:t>
      </w:r>
    </w:p>
    <w:p w:rsidR="00060B48" w:rsidRDefault="00060B48" w:rsidP="00060B48"/>
    <w:p w:rsidR="00060B48" w:rsidRDefault="00060B48" w:rsidP="00BD38E0">
      <w:pPr>
        <w:pStyle w:val="BodyText"/>
        <w:spacing w:before="0"/>
      </w:pPr>
      <w:r w:rsidRPr="00225BC9">
        <w:lastRenderedPageBreak/>
        <w:t>The Territory has a moderate private employment base in the education</w:t>
      </w:r>
      <w:r>
        <w:t>,</w:t>
      </w:r>
      <w:r w:rsidRPr="00225BC9">
        <w:t xml:space="preserve"> sm</w:t>
      </w:r>
      <w:r>
        <w:t>all scale manufacturing sectors</w:t>
      </w:r>
      <w:r w:rsidRPr="00225BC9">
        <w:t xml:space="preserve"> and wholesale trade.  Employment in agricultural and mining industries, important contributors to the diversity and growth in other jurisdictions’ payroll tax bases, is small in the ACT.</w:t>
      </w:r>
      <w:r>
        <w:t xml:space="preserve"> </w:t>
      </w:r>
    </w:p>
    <w:p w:rsidR="00060B48" w:rsidRDefault="00060B48" w:rsidP="00077859">
      <w:pPr>
        <w:pStyle w:val="BodyText"/>
      </w:pPr>
      <w:r w:rsidRPr="0002431D">
        <w:t xml:space="preserve">While the ACT is compensated for these limitations through the Commonwealth Grants Commission’s assessment, it nevertheless has comparatively less capacity and flexibility to raise own source revenue than </w:t>
      </w:r>
      <w:r>
        <w:t>other jurisdictions</w:t>
      </w:r>
      <w:r w:rsidRPr="0002431D">
        <w:t>.</w:t>
      </w:r>
    </w:p>
    <w:p w:rsidR="00060B48" w:rsidRDefault="00060B48" w:rsidP="00077859">
      <w:pPr>
        <w:pStyle w:val="BodyText"/>
      </w:pPr>
      <w:r>
        <w:t>The Territory’s revenue forecasts are based on the continuation of the Government’s Tax Reform program which commenced in 2012-13</w:t>
      </w:r>
      <w:r w:rsidR="00054354">
        <w:t xml:space="preserve"> and will see the replacement of conveyance duty with general rates revenue over a 20 year period.</w:t>
      </w:r>
      <w:r>
        <w:t xml:space="preserve">  In the 2013-14 Budget, the Government reaffirms the conveyance rate cuts announced in the 2012-</w:t>
      </w:r>
      <w:r w:rsidRPr="00785490">
        <w:t xml:space="preserve">13 Budget.  </w:t>
      </w:r>
      <w:r>
        <w:t>In addition, the Government confirms its commitment to abolish insurance taxes over a five year period.</w:t>
      </w:r>
    </w:p>
    <w:p w:rsidR="00060B48" w:rsidRDefault="00060B48" w:rsidP="00077859">
      <w:pPr>
        <w:pStyle w:val="BodyText"/>
      </w:pPr>
      <w:r>
        <w:t xml:space="preserve">The Government has decided to accelerate the rate </w:t>
      </w:r>
      <w:r w:rsidR="00227CEC">
        <w:t xml:space="preserve">of reduction of </w:t>
      </w:r>
      <w:r>
        <w:t>conveyance duty</w:t>
      </w:r>
      <w:r w:rsidRPr="00A30F93">
        <w:t xml:space="preserve">.  From </w:t>
      </w:r>
      <w:r w:rsidR="00EA224B">
        <w:t>5 June 2013</w:t>
      </w:r>
      <w:r w:rsidRPr="00A30F93">
        <w:t>, the rate applying to sales of properties above $1.65</w:t>
      </w:r>
      <w:r w:rsidR="00A30F93" w:rsidRPr="00A30F93">
        <w:t>0</w:t>
      </w:r>
      <w:r w:rsidRPr="00A30F93">
        <w:t xml:space="preserve"> million will </w:t>
      </w:r>
      <w:r w:rsidR="00227CEC">
        <w:t>be</w:t>
      </w:r>
      <w:r w:rsidR="00A30F93" w:rsidRPr="00A30F93">
        <w:t xml:space="preserve"> determined at a flat rate of 5.5 per cent</w:t>
      </w:r>
      <w:r w:rsidRPr="00A30F93">
        <w:t>.</w:t>
      </w:r>
      <w:r>
        <w:t xml:space="preserve">  To offset the loss in revenue, the Government will increase </w:t>
      </w:r>
      <w:r w:rsidR="00227CEC">
        <w:t>ge</w:t>
      </w:r>
      <w:r w:rsidR="00BE7AEB">
        <w:t>n</w:t>
      </w:r>
      <w:r w:rsidR="00227CEC">
        <w:t>eral</w:t>
      </w:r>
      <w:r>
        <w:t xml:space="preserve"> </w:t>
      </w:r>
      <w:r w:rsidR="006654C8" w:rsidRPr="00BD38E0">
        <w:t>rates</w:t>
      </w:r>
      <w:r w:rsidR="003C17CC" w:rsidRPr="00BD38E0">
        <w:t xml:space="preserve">, </w:t>
      </w:r>
      <w:r w:rsidR="006654C8" w:rsidRPr="00BD38E0">
        <w:t xml:space="preserve">in particular on </w:t>
      </w:r>
      <w:r w:rsidR="003C17CC" w:rsidRPr="00BD38E0">
        <w:t xml:space="preserve">large </w:t>
      </w:r>
      <w:r w:rsidR="006654C8" w:rsidRPr="00BD38E0">
        <w:t>commercial</w:t>
      </w:r>
      <w:r w:rsidR="00BE7AEB">
        <w:t xml:space="preserve"> properties</w:t>
      </w:r>
      <w:r w:rsidR="003C17CC">
        <w:t xml:space="preserve">, </w:t>
      </w:r>
      <w:r w:rsidR="00BE7AEB">
        <w:t xml:space="preserve">the sector </w:t>
      </w:r>
      <w:r w:rsidR="003C17CC">
        <w:t xml:space="preserve">which will </w:t>
      </w:r>
      <w:r w:rsidR="00BE7AEB">
        <w:t>benefit most from the conveyance duty reduction</w:t>
      </w:r>
      <w:r w:rsidRPr="00785490">
        <w:t>.  These rates are outlined in this chapter.</w:t>
      </w:r>
    </w:p>
    <w:p w:rsidR="004A4F80" w:rsidRPr="00BD38E0" w:rsidRDefault="004A4F80" w:rsidP="00BD38E0">
      <w:pPr>
        <w:pStyle w:val="Heading3TopofPage"/>
      </w:pPr>
      <w:r w:rsidRPr="00810C89">
        <w:rPr>
          <w:highlight w:val="yellow"/>
        </w:rPr>
        <w:br w:type="page"/>
      </w:r>
      <w:r w:rsidRPr="00BD38E0">
        <w:lastRenderedPageBreak/>
        <w:t>Taxation</w:t>
      </w:r>
    </w:p>
    <w:p w:rsidR="00693EE4" w:rsidRPr="00077859" w:rsidRDefault="00693EE4" w:rsidP="00077859">
      <w:pPr>
        <w:pStyle w:val="BodyText"/>
      </w:pPr>
      <w:r w:rsidRPr="00077859">
        <w:t xml:space="preserve">The estimated outcome for taxation revenue in 2012-13 is $1.2 billion, which is </w:t>
      </w:r>
      <w:r w:rsidR="00C31A66" w:rsidRPr="00077859">
        <w:t>$41.</w:t>
      </w:r>
      <w:r w:rsidR="00785490" w:rsidRPr="00077859">
        <w:t>6</w:t>
      </w:r>
      <w:r w:rsidR="00C31A66" w:rsidRPr="00077859">
        <w:t> million (</w:t>
      </w:r>
      <w:r w:rsidRPr="00077859">
        <w:t>3.3 per cent</w:t>
      </w:r>
      <w:r w:rsidR="00C31A66" w:rsidRPr="00077859">
        <w:t>)</w:t>
      </w:r>
      <w:r w:rsidRPr="00077859">
        <w:t xml:space="preserve"> lower than the original budget.  A significant portion of the decrease is due to a softening in the </w:t>
      </w:r>
      <w:r w:rsidR="00C31A66" w:rsidRPr="00077859">
        <w:t>housing</w:t>
      </w:r>
      <w:r w:rsidRPr="00077859">
        <w:t xml:space="preserve"> market resulting in </w:t>
      </w:r>
      <w:r w:rsidR="00C31A66" w:rsidRPr="00077859">
        <w:t>lower</w:t>
      </w:r>
      <w:r w:rsidRPr="00077859">
        <w:t xml:space="preserve"> than expected conveyance duty.</w:t>
      </w:r>
    </w:p>
    <w:p w:rsidR="00693EE4" w:rsidRPr="00077859" w:rsidRDefault="00693EE4" w:rsidP="00077859">
      <w:pPr>
        <w:pStyle w:val="BodyText"/>
      </w:pPr>
      <w:r w:rsidRPr="00077859">
        <w:t>For 2013-14, taxation revenue is forecast to increase by</w:t>
      </w:r>
      <w:r w:rsidR="00C31A66" w:rsidRPr="00077859">
        <w:t xml:space="preserve"> $62.</w:t>
      </w:r>
      <w:r w:rsidR="00785490" w:rsidRPr="00077859">
        <w:t>3</w:t>
      </w:r>
      <w:r w:rsidR="00C31A66" w:rsidRPr="00077859">
        <w:t> million (</w:t>
      </w:r>
      <w:r w:rsidRPr="00077859">
        <w:t>5 per cent</w:t>
      </w:r>
      <w:r w:rsidR="00C31A66" w:rsidRPr="00077859">
        <w:t>)</w:t>
      </w:r>
      <w:r w:rsidRPr="00077859">
        <w:t xml:space="preserve"> </w:t>
      </w:r>
      <w:r w:rsidR="00C31A66" w:rsidRPr="00077859">
        <w:t>in the 2013-14 Budget</w:t>
      </w:r>
      <w:r w:rsidRPr="00077859">
        <w:t>.  This is due to growth in payroll tax, general rates, land tax and Fire and Emergency Service Levy (FESL).</w:t>
      </w:r>
    </w:p>
    <w:p w:rsidR="00693EE4" w:rsidRPr="00077859" w:rsidRDefault="00693EE4" w:rsidP="00077859">
      <w:pPr>
        <w:pStyle w:val="BodyText"/>
      </w:pPr>
      <w:r w:rsidRPr="00077859">
        <w:t xml:space="preserve">Beyond 2013-14, moderate increases are forecast for most revenue lines.  The forecast for payroll tax growth reflects expectations of growth in employment and wages in relevant sectors of the ACT economy.  General rates are forecast to increase in line with rises in the Wage Price Index (WPI) plus new property growth and taxation reforms.  Duties on general insurance and life insurance </w:t>
      </w:r>
      <w:r w:rsidR="00523718">
        <w:t xml:space="preserve">will </w:t>
      </w:r>
      <w:r w:rsidRPr="00077859">
        <w:t>be abolished by 2016-17.</w:t>
      </w:r>
    </w:p>
    <w:p w:rsidR="004A4F80" w:rsidRPr="00077859" w:rsidRDefault="00244FB1" w:rsidP="00077859">
      <w:pPr>
        <w:pStyle w:val="TableNumber"/>
      </w:pPr>
      <w:r w:rsidRPr="00077859">
        <w:t xml:space="preserve">Table </w:t>
      </w:r>
      <w:r w:rsidR="00451B47" w:rsidRPr="00077859">
        <w:t>3</w:t>
      </w:r>
      <w:r w:rsidR="003F10B6" w:rsidRPr="00077859">
        <w:t>.1.3</w:t>
      </w:r>
    </w:p>
    <w:p w:rsidR="004A4F80" w:rsidRPr="00077859" w:rsidRDefault="004A4F80" w:rsidP="00077859">
      <w:pPr>
        <w:pStyle w:val="TableName"/>
      </w:pPr>
      <w:r w:rsidRPr="00077859">
        <w:t>Taxation</w:t>
      </w:r>
    </w:p>
    <w:tbl>
      <w:tblPr>
        <w:tblW w:w="9100" w:type="dxa"/>
        <w:jc w:val="center"/>
        <w:tblLook w:val="0000"/>
      </w:tblPr>
      <w:tblGrid>
        <w:gridCol w:w="1018"/>
        <w:gridCol w:w="2210"/>
        <w:gridCol w:w="1307"/>
        <w:gridCol w:w="1034"/>
        <w:gridCol w:w="572"/>
        <w:gridCol w:w="1034"/>
        <w:gridCol w:w="1034"/>
        <w:gridCol w:w="1034"/>
      </w:tblGrid>
      <w:tr w:rsidR="0069431B" w:rsidRPr="00B44186" w:rsidTr="00077859">
        <w:trPr>
          <w:trHeight w:hRule="exact" w:val="227"/>
          <w:jc w:val="center"/>
        </w:trPr>
        <w:tc>
          <w:tcPr>
            <w:tcW w:w="1021"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rsidRPr="000E3233">
              <w:t>201</w:t>
            </w:r>
            <w:r>
              <w:t>2-13</w:t>
            </w:r>
          </w:p>
        </w:tc>
        <w:tc>
          <w:tcPr>
            <w:tcW w:w="2217"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rsidRPr="000E3233">
              <w:t> </w:t>
            </w:r>
          </w:p>
        </w:tc>
        <w:tc>
          <w:tcPr>
            <w:tcW w:w="1310"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rsidRPr="000E3233">
              <w:t>201</w:t>
            </w:r>
            <w:r>
              <w:t>2-13</w:t>
            </w:r>
          </w:p>
        </w:tc>
        <w:tc>
          <w:tcPr>
            <w:tcW w:w="1036"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rsidRPr="000E3233">
              <w:t>201</w:t>
            </w:r>
            <w:r>
              <w:t>3-14</w:t>
            </w:r>
          </w:p>
        </w:tc>
        <w:tc>
          <w:tcPr>
            <w:tcW w:w="573"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rsidRPr="000E3233">
              <w:t> </w:t>
            </w:r>
          </w:p>
        </w:tc>
        <w:tc>
          <w:tcPr>
            <w:tcW w:w="1036"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t>2014-15</w:t>
            </w:r>
          </w:p>
        </w:tc>
        <w:tc>
          <w:tcPr>
            <w:tcW w:w="1036"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t>2015-16</w:t>
            </w:r>
          </w:p>
        </w:tc>
        <w:tc>
          <w:tcPr>
            <w:tcW w:w="1036" w:type="dxa"/>
            <w:tcBorders>
              <w:top w:val="single" w:sz="4" w:space="0" w:color="auto"/>
              <w:left w:val="nil"/>
              <w:bottom w:val="nil"/>
              <w:right w:val="nil"/>
            </w:tcBorders>
            <w:shd w:val="clear" w:color="auto" w:fill="auto"/>
            <w:noWrap/>
          </w:tcPr>
          <w:p w:rsidR="0069431B" w:rsidRPr="000E3233" w:rsidRDefault="0069431B" w:rsidP="0054105B">
            <w:pPr>
              <w:pStyle w:val="StyleTableTextRightBold-BP3Before05ptAfter05pt"/>
            </w:pPr>
            <w:r>
              <w:t>2016-17</w:t>
            </w:r>
          </w:p>
        </w:tc>
      </w:tr>
      <w:tr w:rsidR="004A4F80" w:rsidRPr="00B44186" w:rsidTr="00077859">
        <w:trPr>
          <w:trHeight w:hRule="exact" w:val="227"/>
          <w:jc w:val="center"/>
        </w:trPr>
        <w:tc>
          <w:tcPr>
            <w:tcW w:w="1021"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Budget</w:t>
            </w:r>
          </w:p>
        </w:tc>
        <w:tc>
          <w:tcPr>
            <w:tcW w:w="2217" w:type="dxa"/>
            <w:tcBorders>
              <w:top w:val="nil"/>
              <w:left w:val="nil"/>
              <w:bottom w:val="nil"/>
              <w:right w:val="nil"/>
            </w:tcBorders>
            <w:shd w:val="clear" w:color="auto" w:fill="auto"/>
            <w:noWrap/>
            <w:vAlign w:val="bottom"/>
          </w:tcPr>
          <w:p w:rsidR="004A4F80" w:rsidRPr="00B44186" w:rsidRDefault="004A4F80">
            <w:pPr>
              <w:pStyle w:val="TableTextRightBold-BP3"/>
              <w:spacing w:before="10" w:after="10"/>
            </w:pPr>
          </w:p>
        </w:tc>
        <w:tc>
          <w:tcPr>
            <w:tcW w:w="1310" w:type="dxa"/>
            <w:tcBorders>
              <w:top w:val="nil"/>
              <w:left w:val="nil"/>
              <w:bottom w:val="nil"/>
              <w:right w:val="nil"/>
            </w:tcBorders>
            <w:shd w:val="clear" w:color="auto" w:fill="auto"/>
          </w:tcPr>
          <w:p w:rsidR="004A4F80" w:rsidRPr="00B44186" w:rsidRDefault="004A4F80" w:rsidP="00D90F82">
            <w:pPr>
              <w:pStyle w:val="StyleTableTextRightBold-BP3Before05ptAfter05pt"/>
            </w:pPr>
            <w:r w:rsidRPr="00B44186">
              <w:t>Est. Outcome</w:t>
            </w:r>
          </w:p>
        </w:tc>
        <w:tc>
          <w:tcPr>
            <w:tcW w:w="1036"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Budget</w:t>
            </w:r>
          </w:p>
        </w:tc>
        <w:tc>
          <w:tcPr>
            <w:tcW w:w="573"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Var</w:t>
            </w:r>
          </w:p>
        </w:tc>
        <w:tc>
          <w:tcPr>
            <w:tcW w:w="1036"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Estimate</w:t>
            </w:r>
          </w:p>
        </w:tc>
        <w:tc>
          <w:tcPr>
            <w:tcW w:w="1036"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Estimate</w:t>
            </w:r>
          </w:p>
        </w:tc>
        <w:tc>
          <w:tcPr>
            <w:tcW w:w="1036" w:type="dxa"/>
            <w:tcBorders>
              <w:top w:val="nil"/>
              <w:left w:val="nil"/>
              <w:bottom w:val="nil"/>
              <w:right w:val="nil"/>
            </w:tcBorders>
            <w:shd w:val="clear" w:color="auto" w:fill="auto"/>
            <w:noWrap/>
          </w:tcPr>
          <w:p w:rsidR="004A4F80" w:rsidRPr="00B44186" w:rsidRDefault="004A4F80" w:rsidP="00D90F82">
            <w:pPr>
              <w:pStyle w:val="StyleTableTextRightBold-BP3Before05ptAfter05pt"/>
            </w:pPr>
            <w:r w:rsidRPr="00B44186">
              <w:t>Estimate</w:t>
            </w:r>
          </w:p>
        </w:tc>
      </w:tr>
      <w:tr w:rsidR="004A4F80" w:rsidRPr="00B44186" w:rsidTr="00077859">
        <w:trPr>
          <w:trHeight w:hRule="exact" w:val="227"/>
          <w:jc w:val="center"/>
        </w:trPr>
        <w:tc>
          <w:tcPr>
            <w:tcW w:w="1021"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c>
          <w:tcPr>
            <w:tcW w:w="2217" w:type="dxa"/>
            <w:tcBorders>
              <w:top w:val="nil"/>
              <w:left w:val="nil"/>
              <w:bottom w:val="single" w:sz="4" w:space="0" w:color="auto"/>
              <w:right w:val="nil"/>
            </w:tcBorders>
            <w:shd w:val="clear" w:color="auto" w:fill="auto"/>
            <w:noWrap/>
            <w:vAlign w:val="bottom"/>
          </w:tcPr>
          <w:p w:rsidR="004A4F80" w:rsidRPr="00B44186" w:rsidRDefault="004A4F80" w:rsidP="00D90F82">
            <w:pPr>
              <w:pStyle w:val="StyleTableTextRightBold-BP3Before05ptAfter05pt"/>
            </w:pPr>
            <w:r w:rsidRPr="00B44186">
              <w:t> </w:t>
            </w:r>
          </w:p>
        </w:tc>
        <w:tc>
          <w:tcPr>
            <w:tcW w:w="1310"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c>
          <w:tcPr>
            <w:tcW w:w="1036"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c>
          <w:tcPr>
            <w:tcW w:w="573"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w:t>
            </w:r>
          </w:p>
        </w:tc>
        <w:tc>
          <w:tcPr>
            <w:tcW w:w="1036"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c>
          <w:tcPr>
            <w:tcW w:w="1036"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c>
          <w:tcPr>
            <w:tcW w:w="1036" w:type="dxa"/>
            <w:tcBorders>
              <w:top w:val="nil"/>
              <w:left w:val="nil"/>
              <w:bottom w:val="single" w:sz="4" w:space="0" w:color="auto"/>
              <w:right w:val="nil"/>
            </w:tcBorders>
            <w:shd w:val="clear" w:color="auto" w:fill="auto"/>
            <w:noWrap/>
          </w:tcPr>
          <w:p w:rsidR="004A4F80" w:rsidRPr="00B44186" w:rsidRDefault="004A4F80" w:rsidP="00D90F82">
            <w:pPr>
              <w:pStyle w:val="StyleTableTextRightBold-BP3Before05ptAfter05pt"/>
            </w:pPr>
            <w:r w:rsidRPr="00B44186">
              <w:t>$'000</w:t>
            </w:r>
          </w:p>
        </w:tc>
      </w:tr>
      <w:tr w:rsidR="00C31A66" w:rsidRPr="00B44186" w:rsidTr="00077859">
        <w:trPr>
          <w:trHeight w:hRule="exact" w:val="227"/>
          <w:jc w:val="center"/>
        </w:trPr>
        <w:tc>
          <w:tcPr>
            <w:tcW w:w="1021"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2217" w:type="dxa"/>
            <w:tcBorders>
              <w:top w:val="nil"/>
              <w:left w:val="nil"/>
              <w:bottom w:val="nil"/>
              <w:right w:val="nil"/>
            </w:tcBorders>
            <w:shd w:val="clear" w:color="auto" w:fill="auto"/>
          </w:tcPr>
          <w:p w:rsidR="00C31A66" w:rsidRPr="00B44186" w:rsidRDefault="00C31A66" w:rsidP="00785490">
            <w:pPr>
              <w:pStyle w:val="TableTextLeftBold-BP3"/>
              <w:spacing w:before="40" w:after="40"/>
            </w:pPr>
          </w:p>
        </w:tc>
        <w:tc>
          <w:tcPr>
            <w:tcW w:w="1310"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1036"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573"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1036"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1036"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c>
          <w:tcPr>
            <w:tcW w:w="1036" w:type="dxa"/>
            <w:tcBorders>
              <w:top w:val="nil"/>
              <w:left w:val="nil"/>
              <w:bottom w:val="nil"/>
              <w:right w:val="nil"/>
            </w:tcBorders>
            <w:shd w:val="clear" w:color="auto" w:fill="auto"/>
            <w:noWrap/>
          </w:tcPr>
          <w:p w:rsidR="00C31A66" w:rsidRPr="00B44186" w:rsidRDefault="00C31A66">
            <w:pPr>
              <w:spacing w:before="40" w:after="40"/>
              <w:jc w:val="right"/>
              <w:rPr>
                <w:sz w:val="18"/>
                <w:szCs w:val="18"/>
              </w:rPr>
            </w:pPr>
          </w:p>
        </w:tc>
      </w:tr>
      <w:tr w:rsidR="004A4F80" w:rsidRPr="00B44186" w:rsidTr="00077859">
        <w:trPr>
          <w:trHeight w:hRule="exact" w:val="227"/>
          <w:jc w:val="center"/>
        </w:trPr>
        <w:tc>
          <w:tcPr>
            <w:tcW w:w="1021"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2217" w:type="dxa"/>
            <w:tcBorders>
              <w:top w:val="nil"/>
              <w:left w:val="nil"/>
              <w:bottom w:val="nil"/>
              <w:right w:val="nil"/>
            </w:tcBorders>
            <w:shd w:val="clear" w:color="auto" w:fill="auto"/>
          </w:tcPr>
          <w:p w:rsidR="004A4F80" w:rsidRPr="00B44186" w:rsidRDefault="004A4F80" w:rsidP="00D33B2F">
            <w:pPr>
              <w:pStyle w:val="TableTextLeftBold-BP3"/>
              <w:spacing w:before="40" w:after="40"/>
              <w:jc w:val="both"/>
            </w:pPr>
            <w:r w:rsidRPr="00B44186">
              <w:t>General Tax</w:t>
            </w:r>
          </w:p>
        </w:tc>
        <w:tc>
          <w:tcPr>
            <w:tcW w:w="1310"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1036"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573"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1036"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1036"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c>
          <w:tcPr>
            <w:tcW w:w="1036" w:type="dxa"/>
            <w:tcBorders>
              <w:top w:val="nil"/>
              <w:left w:val="nil"/>
              <w:bottom w:val="nil"/>
              <w:right w:val="nil"/>
            </w:tcBorders>
            <w:shd w:val="clear" w:color="auto" w:fill="auto"/>
            <w:noWrap/>
          </w:tcPr>
          <w:p w:rsidR="004A4F80" w:rsidRPr="00B44186" w:rsidRDefault="004A4F80">
            <w:pPr>
              <w:spacing w:before="40" w:after="40"/>
              <w:jc w:val="right"/>
              <w:rPr>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324,524</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Payroll Tax</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325,322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347,417</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7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372,771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400,352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429,548</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315</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Tax Waivers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1,948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161</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-92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165</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169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172</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297,051</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General Rates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291,974</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338,377</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16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376,262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417,300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461,805</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66,488</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Land Tax</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69,549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72,888</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5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76,268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79,731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83,281</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b/>
                <w:bCs/>
                <w:sz w:val="18"/>
                <w:szCs w:val="18"/>
              </w:rPr>
            </w:pPr>
            <w:r>
              <w:rPr>
                <w:rFonts w:cs="Calibri"/>
                <w:b/>
                <w:bCs/>
                <w:sz w:val="18"/>
                <w:szCs w:val="18"/>
              </w:rPr>
              <w:t>688,378</w:t>
            </w:r>
          </w:p>
        </w:tc>
        <w:tc>
          <w:tcPr>
            <w:tcW w:w="2217" w:type="dxa"/>
            <w:tcBorders>
              <w:top w:val="nil"/>
              <w:left w:val="nil"/>
              <w:bottom w:val="nil"/>
              <w:right w:val="nil"/>
            </w:tcBorders>
            <w:shd w:val="clear" w:color="auto" w:fill="auto"/>
          </w:tcPr>
          <w:p w:rsidR="003A571B" w:rsidRPr="00B44186" w:rsidRDefault="003A571B" w:rsidP="00D33B2F">
            <w:pPr>
              <w:pStyle w:val="TableTextLeftBold-BP3"/>
              <w:spacing w:before="40" w:after="40"/>
              <w:jc w:val="both"/>
            </w:pPr>
            <w:r w:rsidRPr="00B44186">
              <w:t>Total General Tax</w:t>
            </w:r>
          </w:p>
        </w:tc>
        <w:tc>
          <w:tcPr>
            <w:tcW w:w="1310"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688,793</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758,843</w:t>
            </w:r>
          </w:p>
        </w:tc>
        <w:tc>
          <w:tcPr>
            <w:tcW w:w="573"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 xml:space="preserve">10 </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825,466</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897,552</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974,806</w:t>
            </w:r>
          </w:p>
        </w:tc>
      </w:tr>
      <w:tr w:rsidR="00C31A66" w:rsidRPr="00B44186" w:rsidTr="009B0CAE">
        <w:trPr>
          <w:trHeight w:hRule="exact" w:val="93"/>
          <w:jc w:val="center"/>
        </w:trPr>
        <w:tc>
          <w:tcPr>
            <w:tcW w:w="1021" w:type="dxa"/>
            <w:tcBorders>
              <w:top w:val="nil"/>
              <w:left w:val="nil"/>
              <w:bottom w:val="nil"/>
              <w:right w:val="nil"/>
            </w:tcBorders>
            <w:shd w:val="clear" w:color="auto" w:fill="auto"/>
            <w:noWrap/>
          </w:tcPr>
          <w:p w:rsidR="00C31A66" w:rsidRPr="00B44186" w:rsidRDefault="00C31A66" w:rsidP="0054105B">
            <w:pPr>
              <w:spacing w:before="40" w:after="40"/>
              <w:jc w:val="right"/>
              <w:rPr>
                <w:sz w:val="18"/>
                <w:szCs w:val="18"/>
              </w:rPr>
            </w:pPr>
          </w:p>
        </w:tc>
        <w:tc>
          <w:tcPr>
            <w:tcW w:w="2217" w:type="dxa"/>
            <w:tcBorders>
              <w:top w:val="nil"/>
              <w:left w:val="nil"/>
              <w:bottom w:val="nil"/>
              <w:right w:val="nil"/>
            </w:tcBorders>
            <w:shd w:val="clear" w:color="auto" w:fill="auto"/>
          </w:tcPr>
          <w:p w:rsidR="00C31A66" w:rsidRPr="00B44186" w:rsidRDefault="00C31A66" w:rsidP="00D33B2F">
            <w:pPr>
              <w:pStyle w:val="TableTextLeftBold-BP3"/>
              <w:spacing w:before="40" w:after="40"/>
              <w:jc w:val="both"/>
            </w:pPr>
          </w:p>
        </w:tc>
        <w:tc>
          <w:tcPr>
            <w:tcW w:w="1310"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573"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Pr="00B44186" w:rsidRDefault="003A571B" w:rsidP="0054105B">
            <w:pPr>
              <w:spacing w:before="40" w:after="40"/>
              <w:jc w:val="right"/>
              <w:rPr>
                <w:sz w:val="18"/>
                <w:szCs w:val="18"/>
              </w:rPr>
            </w:pPr>
          </w:p>
        </w:tc>
        <w:tc>
          <w:tcPr>
            <w:tcW w:w="2217" w:type="dxa"/>
            <w:tcBorders>
              <w:top w:val="nil"/>
              <w:left w:val="nil"/>
              <w:bottom w:val="nil"/>
              <w:right w:val="nil"/>
            </w:tcBorders>
            <w:shd w:val="clear" w:color="auto" w:fill="auto"/>
          </w:tcPr>
          <w:p w:rsidR="003A571B" w:rsidRPr="00B44186" w:rsidRDefault="003A571B" w:rsidP="00D33B2F">
            <w:pPr>
              <w:pStyle w:val="TableTextLeftBold-BP3"/>
              <w:spacing w:before="40" w:after="40"/>
              <w:jc w:val="both"/>
            </w:pPr>
            <w:r w:rsidRPr="00B44186">
              <w:t>Duties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272,609</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Conveyances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225,653</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216,493</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-4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231,908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242,975</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259,846</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37,158</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General Insurance</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44,927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35,381</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-21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24,767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13,002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1,726</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Life Insurance</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2,140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1,653</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-23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1,147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596</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31,152</w:t>
            </w:r>
          </w:p>
        </w:tc>
        <w:tc>
          <w:tcPr>
            <w:tcW w:w="2217" w:type="dxa"/>
            <w:tcBorders>
              <w:top w:val="nil"/>
              <w:left w:val="nil"/>
              <w:bottom w:val="nil"/>
              <w:right w:val="nil"/>
            </w:tcBorders>
            <w:shd w:val="clear" w:color="auto" w:fill="auto"/>
          </w:tcPr>
          <w:p w:rsidR="003A571B" w:rsidRPr="00B44186" w:rsidRDefault="003A571B" w:rsidP="00077859">
            <w:pPr>
              <w:pStyle w:val="TableTextLeft-BP3"/>
            </w:pPr>
            <w:r w:rsidRPr="00B44186">
              <w:t>Motor Vehicle Registrations and Transfers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29,079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29,079</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30,068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31,090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32,147</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b/>
                <w:bCs/>
                <w:sz w:val="18"/>
                <w:szCs w:val="18"/>
              </w:rPr>
            </w:pPr>
            <w:r>
              <w:rPr>
                <w:rFonts w:cs="Calibri"/>
                <w:b/>
                <w:bCs/>
                <w:sz w:val="18"/>
                <w:szCs w:val="18"/>
              </w:rPr>
              <w:t>342,645</w:t>
            </w:r>
          </w:p>
        </w:tc>
        <w:tc>
          <w:tcPr>
            <w:tcW w:w="2217" w:type="dxa"/>
            <w:tcBorders>
              <w:top w:val="nil"/>
              <w:left w:val="nil"/>
              <w:bottom w:val="nil"/>
              <w:right w:val="nil"/>
            </w:tcBorders>
            <w:shd w:val="clear" w:color="auto" w:fill="auto"/>
          </w:tcPr>
          <w:p w:rsidR="003A571B" w:rsidRPr="00B44186" w:rsidRDefault="003A571B" w:rsidP="00077859">
            <w:pPr>
              <w:pStyle w:val="TableTextLeftBold-BP3"/>
              <w:spacing w:before="40" w:after="40"/>
            </w:pPr>
            <w:r w:rsidRPr="00B44186">
              <w:t>Total Duties</w:t>
            </w:r>
          </w:p>
        </w:tc>
        <w:tc>
          <w:tcPr>
            <w:tcW w:w="1310"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301,799</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282,606</w:t>
            </w:r>
          </w:p>
        </w:tc>
        <w:tc>
          <w:tcPr>
            <w:tcW w:w="573"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 xml:space="preserve">-6 </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287,890</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287,663</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291,993</w:t>
            </w:r>
          </w:p>
        </w:tc>
      </w:tr>
      <w:tr w:rsidR="00C31A66" w:rsidRPr="00B44186" w:rsidTr="009B0CAE">
        <w:trPr>
          <w:trHeight w:hRule="exact" w:val="60"/>
          <w:jc w:val="center"/>
        </w:trPr>
        <w:tc>
          <w:tcPr>
            <w:tcW w:w="1021" w:type="dxa"/>
            <w:tcBorders>
              <w:top w:val="nil"/>
              <w:left w:val="nil"/>
              <w:bottom w:val="nil"/>
              <w:right w:val="nil"/>
            </w:tcBorders>
            <w:shd w:val="clear" w:color="auto" w:fill="auto"/>
            <w:noWrap/>
          </w:tcPr>
          <w:p w:rsidR="00C31A66" w:rsidRDefault="00C31A66" w:rsidP="0054105B">
            <w:pPr>
              <w:jc w:val="right"/>
              <w:rPr>
                <w:rFonts w:cs="Calibri"/>
                <w:b/>
                <w:bCs/>
                <w:sz w:val="18"/>
                <w:szCs w:val="18"/>
              </w:rPr>
            </w:pPr>
          </w:p>
        </w:tc>
        <w:tc>
          <w:tcPr>
            <w:tcW w:w="2217" w:type="dxa"/>
            <w:tcBorders>
              <w:top w:val="nil"/>
              <w:left w:val="nil"/>
              <w:bottom w:val="nil"/>
              <w:right w:val="nil"/>
            </w:tcBorders>
            <w:shd w:val="clear" w:color="auto" w:fill="auto"/>
          </w:tcPr>
          <w:p w:rsidR="00C31A66" w:rsidRPr="00B44186" w:rsidRDefault="00C31A66" w:rsidP="00D33B2F">
            <w:pPr>
              <w:pStyle w:val="TableTextLeftBold-BP3"/>
              <w:spacing w:before="40" w:after="40"/>
              <w:jc w:val="both"/>
            </w:pPr>
          </w:p>
        </w:tc>
        <w:tc>
          <w:tcPr>
            <w:tcW w:w="1310" w:type="dxa"/>
            <w:tcBorders>
              <w:top w:val="nil"/>
              <w:left w:val="nil"/>
              <w:bottom w:val="nil"/>
              <w:right w:val="nil"/>
            </w:tcBorders>
            <w:shd w:val="clear" w:color="auto" w:fill="auto"/>
            <w:noWrap/>
          </w:tcPr>
          <w:p w:rsidR="00C31A66" w:rsidRDefault="00C31A66">
            <w:pPr>
              <w:jc w:val="right"/>
              <w:rPr>
                <w:rFonts w:cs="Arial"/>
                <w:b/>
                <w:bCs/>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b/>
                <w:bCs/>
                <w:sz w:val="18"/>
                <w:szCs w:val="18"/>
              </w:rPr>
            </w:pPr>
          </w:p>
        </w:tc>
        <w:tc>
          <w:tcPr>
            <w:tcW w:w="573" w:type="dxa"/>
            <w:tcBorders>
              <w:top w:val="nil"/>
              <w:left w:val="nil"/>
              <w:bottom w:val="nil"/>
              <w:right w:val="nil"/>
            </w:tcBorders>
            <w:shd w:val="clear" w:color="auto" w:fill="auto"/>
            <w:noWrap/>
          </w:tcPr>
          <w:p w:rsidR="00C31A66" w:rsidRDefault="00C31A66">
            <w:pPr>
              <w:jc w:val="right"/>
              <w:rPr>
                <w:rFonts w:cs="Arial"/>
                <w:b/>
                <w:bCs/>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b/>
                <w:bCs/>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b/>
                <w:bCs/>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b/>
                <w:bCs/>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b/>
                <w:bCs/>
                <w:sz w:val="18"/>
                <w:szCs w:val="18"/>
              </w:rPr>
            </w:pPr>
          </w:p>
        </w:tc>
        <w:tc>
          <w:tcPr>
            <w:tcW w:w="2217" w:type="dxa"/>
            <w:tcBorders>
              <w:top w:val="nil"/>
              <w:left w:val="nil"/>
              <w:bottom w:val="nil"/>
              <w:right w:val="nil"/>
            </w:tcBorders>
            <w:shd w:val="clear" w:color="auto" w:fill="auto"/>
          </w:tcPr>
          <w:p w:rsidR="003A571B" w:rsidRPr="00B44186" w:rsidRDefault="003A571B" w:rsidP="00D33B2F">
            <w:pPr>
              <w:pStyle w:val="TableTextLeftBold-BP3"/>
              <w:spacing w:before="40" w:after="40"/>
              <w:jc w:val="both"/>
            </w:pPr>
            <w:r w:rsidRPr="00B44186">
              <w:t>Gambling Taxes</w:t>
            </w:r>
          </w:p>
        </w:tc>
        <w:tc>
          <w:tcPr>
            <w:tcW w:w="1310" w:type="dxa"/>
            <w:tcBorders>
              <w:top w:val="nil"/>
              <w:left w:val="nil"/>
              <w:bottom w:val="nil"/>
              <w:right w:val="nil"/>
            </w:tcBorders>
            <w:shd w:val="clear" w:color="auto" w:fill="auto"/>
            <w:noWrap/>
          </w:tcPr>
          <w:p w:rsidR="003A571B" w:rsidRDefault="003A571B">
            <w:pPr>
              <w:jc w:val="right"/>
              <w:rPr>
                <w:rFonts w:cs="Arial"/>
                <w:b/>
                <w:bCs/>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p>
        </w:tc>
        <w:tc>
          <w:tcPr>
            <w:tcW w:w="573" w:type="dxa"/>
            <w:tcBorders>
              <w:top w:val="nil"/>
              <w:left w:val="nil"/>
              <w:bottom w:val="nil"/>
              <w:right w:val="nil"/>
            </w:tcBorders>
            <w:shd w:val="clear" w:color="auto" w:fill="auto"/>
            <w:noWrap/>
          </w:tcPr>
          <w:p w:rsidR="003A571B" w:rsidRDefault="003A571B">
            <w:pPr>
              <w:jc w:val="right"/>
              <w:rPr>
                <w:rFonts w:cs="Arial"/>
                <w:b/>
                <w:bCs/>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1,548</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ACTTAB Licence Fee</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1,728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1,859</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8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1,882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1,907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1,956</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34,925</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Gaming Tax</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34,925</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35,711</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2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36,604</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37,519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38,457</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2,166</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Casino Tax</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1,900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1,943</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2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1,992</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2,041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2,092</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12,761</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Interstate Lotteries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15,000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13,825</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-8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14,151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14,486</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14,829</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b/>
                <w:bCs/>
                <w:sz w:val="18"/>
                <w:szCs w:val="18"/>
              </w:rPr>
            </w:pPr>
            <w:r>
              <w:rPr>
                <w:rFonts w:cs="Calibri"/>
                <w:b/>
                <w:bCs/>
                <w:sz w:val="18"/>
                <w:szCs w:val="18"/>
              </w:rPr>
              <w:t>51,400</w:t>
            </w:r>
          </w:p>
        </w:tc>
        <w:tc>
          <w:tcPr>
            <w:tcW w:w="2217" w:type="dxa"/>
            <w:tcBorders>
              <w:top w:val="nil"/>
              <w:left w:val="nil"/>
              <w:bottom w:val="nil"/>
              <w:right w:val="nil"/>
            </w:tcBorders>
            <w:shd w:val="clear" w:color="auto" w:fill="auto"/>
          </w:tcPr>
          <w:p w:rsidR="003A571B" w:rsidRPr="00B44186" w:rsidRDefault="003A571B" w:rsidP="00D33B2F">
            <w:pPr>
              <w:pStyle w:val="TableTextLeftBold-BP3"/>
              <w:spacing w:before="40" w:after="40"/>
              <w:jc w:val="both"/>
            </w:pPr>
            <w:r w:rsidRPr="00B44186">
              <w:t>Total Gambling Taxes</w:t>
            </w:r>
          </w:p>
        </w:tc>
        <w:tc>
          <w:tcPr>
            <w:tcW w:w="1310"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53,553</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53,338</w:t>
            </w:r>
          </w:p>
        </w:tc>
        <w:tc>
          <w:tcPr>
            <w:tcW w:w="573"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 xml:space="preserve">.. </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54,629</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55,953</w:t>
            </w:r>
          </w:p>
        </w:tc>
        <w:tc>
          <w:tcPr>
            <w:tcW w:w="1036" w:type="dxa"/>
            <w:tcBorders>
              <w:top w:val="nil"/>
              <w:left w:val="nil"/>
              <w:bottom w:val="nil"/>
              <w:right w:val="nil"/>
            </w:tcBorders>
            <w:shd w:val="clear" w:color="auto" w:fill="auto"/>
            <w:noWrap/>
          </w:tcPr>
          <w:p w:rsidR="003A571B" w:rsidRDefault="003A571B">
            <w:pPr>
              <w:jc w:val="right"/>
              <w:rPr>
                <w:rFonts w:cs="Arial"/>
                <w:b/>
                <w:bCs/>
                <w:sz w:val="18"/>
                <w:szCs w:val="18"/>
              </w:rPr>
            </w:pPr>
            <w:r>
              <w:rPr>
                <w:rFonts w:cs="Arial"/>
                <w:b/>
                <w:bCs/>
                <w:sz w:val="18"/>
                <w:szCs w:val="18"/>
              </w:rPr>
              <w:t>57,334</w:t>
            </w:r>
          </w:p>
        </w:tc>
      </w:tr>
      <w:tr w:rsidR="00C31A66" w:rsidRPr="00B44186" w:rsidTr="009B0CAE">
        <w:trPr>
          <w:trHeight w:hRule="exact" w:val="124"/>
          <w:jc w:val="center"/>
        </w:trPr>
        <w:tc>
          <w:tcPr>
            <w:tcW w:w="1021" w:type="dxa"/>
            <w:tcBorders>
              <w:top w:val="nil"/>
              <w:left w:val="nil"/>
              <w:bottom w:val="nil"/>
              <w:right w:val="nil"/>
            </w:tcBorders>
            <w:shd w:val="clear" w:color="auto" w:fill="auto"/>
            <w:noWrap/>
          </w:tcPr>
          <w:p w:rsidR="00C31A66" w:rsidRPr="00B44186" w:rsidRDefault="00C31A66" w:rsidP="0054105B">
            <w:pPr>
              <w:spacing w:before="40" w:after="40"/>
              <w:jc w:val="right"/>
              <w:rPr>
                <w:sz w:val="18"/>
                <w:szCs w:val="18"/>
              </w:rPr>
            </w:pPr>
          </w:p>
        </w:tc>
        <w:tc>
          <w:tcPr>
            <w:tcW w:w="2217" w:type="dxa"/>
            <w:tcBorders>
              <w:top w:val="nil"/>
              <w:left w:val="nil"/>
              <w:bottom w:val="nil"/>
              <w:right w:val="nil"/>
            </w:tcBorders>
            <w:shd w:val="clear" w:color="auto" w:fill="auto"/>
          </w:tcPr>
          <w:p w:rsidR="00C31A66" w:rsidRPr="00B44186" w:rsidRDefault="00C31A66" w:rsidP="00D33B2F">
            <w:pPr>
              <w:pStyle w:val="TableTextLeftBold-BP3"/>
              <w:spacing w:before="40" w:after="40"/>
              <w:jc w:val="both"/>
            </w:pPr>
          </w:p>
        </w:tc>
        <w:tc>
          <w:tcPr>
            <w:tcW w:w="1310"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573"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c>
          <w:tcPr>
            <w:tcW w:w="1036" w:type="dxa"/>
            <w:tcBorders>
              <w:top w:val="nil"/>
              <w:left w:val="nil"/>
              <w:bottom w:val="nil"/>
              <w:right w:val="nil"/>
            </w:tcBorders>
            <w:shd w:val="clear" w:color="auto" w:fill="auto"/>
            <w:noWrap/>
          </w:tcPr>
          <w:p w:rsidR="00C31A66" w:rsidRDefault="00C31A66">
            <w:pPr>
              <w:jc w:val="right"/>
              <w:rPr>
                <w:rFonts w:cs="Arial"/>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Pr="00B44186" w:rsidRDefault="003A571B" w:rsidP="0054105B">
            <w:pPr>
              <w:spacing w:before="40" w:after="40"/>
              <w:jc w:val="right"/>
              <w:rPr>
                <w:sz w:val="18"/>
                <w:szCs w:val="18"/>
              </w:rPr>
            </w:pPr>
          </w:p>
        </w:tc>
        <w:tc>
          <w:tcPr>
            <w:tcW w:w="2217" w:type="dxa"/>
            <w:tcBorders>
              <w:top w:val="nil"/>
              <w:left w:val="nil"/>
              <w:bottom w:val="nil"/>
              <w:right w:val="nil"/>
            </w:tcBorders>
            <w:shd w:val="clear" w:color="auto" w:fill="auto"/>
          </w:tcPr>
          <w:p w:rsidR="003A571B" w:rsidRPr="00B44186" w:rsidRDefault="003A571B" w:rsidP="00D33B2F">
            <w:pPr>
              <w:pStyle w:val="TableTextLeftBold-BP3"/>
              <w:spacing w:before="40" w:after="40"/>
              <w:jc w:val="both"/>
            </w:pPr>
            <w:r w:rsidRPr="00B44186">
              <w:t>Other Taxes</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98,659</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Motor Vehicle Registration</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100,637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105,141</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4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110,661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116,518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122,626</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16,380</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rsidRPr="00B44186">
              <w:t>Ambulance Levy</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17,404</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18,275</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5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19,188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20,148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21,156</w:t>
            </w:r>
          </w:p>
        </w:tc>
      </w:tr>
      <w:tr w:rsidR="003A571B" w:rsidRPr="00B44186" w:rsidTr="00077859">
        <w:trPr>
          <w:trHeight w:hRule="exact" w:val="22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23,484</w:t>
            </w:r>
          </w:p>
        </w:tc>
        <w:tc>
          <w:tcPr>
            <w:tcW w:w="2217" w:type="dxa"/>
            <w:tcBorders>
              <w:top w:val="nil"/>
              <w:left w:val="nil"/>
              <w:bottom w:val="nil"/>
              <w:right w:val="nil"/>
            </w:tcBorders>
            <w:shd w:val="clear" w:color="auto" w:fill="auto"/>
            <w:noWrap/>
          </w:tcPr>
          <w:p w:rsidR="003A571B" w:rsidRPr="00B44186" w:rsidRDefault="003A571B" w:rsidP="00077859">
            <w:pPr>
              <w:pStyle w:val="TableTextLeft-BP3"/>
            </w:pPr>
            <w:r>
              <w:t xml:space="preserve">Lease Variation </w:t>
            </w:r>
            <w:r w:rsidRPr="00B44186">
              <w:t>Charge</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17,674</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17,674</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18,469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19,300</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20,169</w:t>
            </w:r>
          </w:p>
        </w:tc>
      </w:tr>
      <w:tr w:rsidR="003A571B" w:rsidRPr="00B44186" w:rsidTr="009B0CAE">
        <w:trPr>
          <w:trHeight w:hRule="exact" w:val="454"/>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23,429</w:t>
            </w:r>
          </w:p>
        </w:tc>
        <w:tc>
          <w:tcPr>
            <w:tcW w:w="2217" w:type="dxa"/>
            <w:tcBorders>
              <w:top w:val="nil"/>
              <w:left w:val="nil"/>
              <w:bottom w:val="nil"/>
              <w:right w:val="nil"/>
            </w:tcBorders>
            <w:shd w:val="clear" w:color="auto" w:fill="auto"/>
          </w:tcPr>
          <w:p w:rsidR="003A571B" w:rsidRPr="00B44186" w:rsidRDefault="003A571B" w:rsidP="00077859">
            <w:pPr>
              <w:pStyle w:val="TableTextLeft-BP3"/>
            </w:pPr>
            <w:r w:rsidRPr="00B44186">
              <w:t>Utilities (Network Facilities) Tax</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23,429</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24,402</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4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25,418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26,475</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27,387</w:t>
            </w:r>
          </w:p>
        </w:tc>
      </w:tr>
      <w:tr w:rsidR="003A571B" w:rsidRPr="00B44186" w:rsidTr="009B0CAE">
        <w:trPr>
          <w:trHeight w:hRule="exact" w:val="454"/>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29,526</w:t>
            </w:r>
          </w:p>
        </w:tc>
        <w:tc>
          <w:tcPr>
            <w:tcW w:w="2217" w:type="dxa"/>
            <w:tcBorders>
              <w:top w:val="nil"/>
              <w:left w:val="nil"/>
              <w:bottom w:val="nil"/>
              <w:right w:val="nil"/>
            </w:tcBorders>
            <w:shd w:val="clear" w:color="auto" w:fill="auto"/>
          </w:tcPr>
          <w:p w:rsidR="003A571B" w:rsidRPr="00B44186" w:rsidRDefault="003A571B" w:rsidP="00077859">
            <w:pPr>
              <w:pStyle w:val="TableTextLeft-BP3"/>
            </w:pPr>
            <w:r w:rsidRPr="00B44186">
              <w:t>Fire and Emergency Service Levy</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29,026</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34,407</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19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38,163</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42,987</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44,877</w:t>
            </w:r>
          </w:p>
        </w:tc>
      </w:tr>
      <w:tr w:rsidR="003A571B" w:rsidRPr="00B44186" w:rsidTr="009B0CAE">
        <w:trPr>
          <w:trHeight w:hRule="exact" w:val="737"/>
          <w:jc w:val="center"/>
        </w:trPr>
        <w:tc>
          <w:tcPr>
            <w:tcW w:w="1021" w:type="dxa"/>
            <w:tcBorders>
              <w:top w:val="nil"/>
              <w:left w:val="nil"/>
              <w:bottom w:val="nil"/>
              <w:right w:val="nil"/>
            </w:tcBorders>
            <w:shd w:val="clear" w:color="auto" w:fill="auto"/>
            <w:noWrap/>
          </w:tcPr>
          <w:p w:rsidR="003A571B" w:rsidRDefault="003A571B" w:rsidP="0054105B">
            <w:pPr>
              <w:jc w:val="right"/>
              <w:rPr>
                <w:rFonts w:cs="Calibri"/>
                <w:sz w:val="18"/>
                <w:szCs w:val="18"/>
              </w:rPr>
            </w:pPr>
            <w:r>
              <w:rPr>
                <w:rFonts w:cs="Calibri"/>
                <w:sz w:val="18"/>
                <w:szCs w:val="18"/>
              </w:rPr>
              <w:t>1,971</w:t>
            </w:r>
          </w:p>
        </w:tc>
        <w:tc>
          <w:tcPr>
            <w:tcW w:w="2217" w:type="dxa"/>
            <w:tcBorders>
              <w:top w:val="nil"/>
              <w:left w:val="nil"/>
              <w:bottom w:val="nil"/>
              <w:right w:val="nil"/>
            </w:tcBorders>
            <w:shd w:val="clear" w:color="auto" w:fill="auto"/>
          </w:tcPr>
          <w:p w:rsidR="003A571B" w:rsidRPr="00B44186" w:rsidRDefault="003A571B" w:rsidP="00077859">
            <w:pPr>
              <w:pStyle w:val="TableTextLeft-BP3"/>
            </w:pPr>
            <w:r w:rsidRPr="00B44186">
              <w:t>City Centre Marketing and Improvements Levy</w:t>
            </w:r>
          </w:p>
        </w:tc>
        <w:tc>
          <w:tcPr>
            <w:tcW w:w="1310"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1,971</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1,882</w:t>
            </w:r>
          </w:p>
        </w:tc>
        <w:tc>
          <w:tcPr>
            <w:tcW w:w="573"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 xml:space="preserve">-5 </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1,788</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1,744</w:t>
            </w:r>
          </w:p>
        </w:tc>
        <w:tc>
          <w:tcPr>
            <w:tcW w:w="1036" w:type="dxa"/>
            <w:tcBorders>
              <w:top w:val="nil"/>
              <w:left w:val="nil"/>
              <w:bottom w:val="nil"/>
              <w:right w:val="nil"/>
            </w:tcBorders>
            <w:shd w:val="clear" w:color="auto" w:fill="auto"/>
            <w:noWrap/>
          </w:tcPr>
          <w:p w:rsidR="003A571B" w:rsidRDefault="003A571B">
            <w:pPr>
              <w:jc w:val="right"/>
              <w:rPr>
                <w:rFonts w:cs="Arial"/>
                <w:sz w:val="18"/>
                <w:szCs w:val="18"/>
              </w:rPr>
            </w:pPr>
            <w:r>
              <w:rPr>
                <w:rFonts w:cs="Arial"/>
                <w:sz w:val="18"/>
                <w:szCs w:val="18"/>
              </w:rPr>
              <w:t>1,700</w:t>
            </w:r>
          </w:p>
        </w:tc>
      </w:tr>
      <w:tr w:rsidR="003A571B" w:rsidRPr="00B44186" w:rsidTr="00077859">
        <w:trPr>
          <w:trHeight w:hRule="exact" w:val="227"/>
          <w:jc w:val="center"/>
        </w:trPr>
        <w:tc>
          <w:tcPr>
            <w:tcW w:w="1021" w:type="dxa"/>
            <w:tcBorders>
              <w:top w:val="nil"/>
              <w:left w:val="nil"/>
              <w:right w:val="nil"/>
            </w:tcBorders>
            <w:shd w:val="clear" w:color="auto" w:fill="auto"/>
            <w:noWrap/>
          </w:tcPr>
          <w:p w:rsidR="003A571B" w:rsidRDefault="003A571B" w:rsidP="0054105B">
            <w:pPr>
              <w:jc w:val="right"/>
              <w:rPr>
                <w:rFonts w:cs="Calibri"/>
                <w:sz w:val="18"/>
                <w:szCs w:val="18"/>
              </w:rPr>
            </w:pPr>
            <w:r>
              <w:rPr>
                <w:rFonts w:cs="Calibri"/>
                <w:sz w:val="18"/>
                <w:szCs w:val="18"/>
              </w:rPr>
              <w:t>2,120</w:t>
            </w:r>
          </w:p>
        </w:tc>
        <w:tc>
          <w:tcPr>
            <w:tcW w:w="2217" w:type="dxa"/>
            <w:tcBorders>
              <w:top w:val="nil"/>
              <w:left w:val="nil"/>
              <w:right w:val="nil"/>
            </w:tcBorders>
            <w:shd w:val="clear" w:color="auto" w:fill="auto"/>
            <w:noWrap/>
          </w:tcPr>
          <w:p w:rsidR="003A571B" w:rsidRPr="00B44186" w:rsidRDefault="003A571B" w:rsidP="00077859">
            <w:pPr>
              <w:pStyle w:val="TableTextLeft-BP3"/>
            </w:pPr>
            <w:r w:rsidRPr="00B44186">
              <w:t>Energy Industry Levy</w:t>
            </w:r>
          </w:p>
        </w:tc>
        <w:tc>
          <w:tcPr>
            <w:tcW w:w="1310"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2,120</w:t>
            </w:r>
          </w:p>
        </w:tc>
        <w:tc>
          <w:tcPr>
            <w:tcW w:w="1036"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2,120</w:t>
            </w:r>
          </w:p>
        </w:tc>
        <w:tc>
          <w:tcPr>
            <w:tcW w:w="573"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 xml:space="preserve">- </w:t>
            </w:r>
          </w:p>
        </w:tc>
        <w:tc>
          <w:tcPr>
            <w:tcW w:w="1036"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2,173</w:t>
            </w:r>
          </w:p>
        </w:tc>
        <w:tc>
          <w:tcPr>
            <w:tcW w:w="1036"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2,227</w:t>
            </w:r>
          </w:p>
        </w:tc>
        <w:tc>
          <w:tcPr>
            <w:tcW w:w="1036" w:type="dxa"/>
            <w:tcBorders>
              <w:top w:val="nil"/>
              <w:left w:val="nil"/>
              <w:right w:val="nil"/>
            </w:tcBorders>
            <w:shd w:val="clear" w:color="auto" w:fill="auto"/>
            <w:noWrap/>
          </w:tcPr>
          <w:p w:rsidR="003A571B" w:rsidRDefault="003A571B">
            <w:pPr>
              <w:jc w:val="right"/>
              <w:rPr>
                <w:rFonts w:cs="Arial"/>
                <w:sz w:val="18"/>
                <w:szCs w:val="18"/>
              </w:rPr>
            </w:pPr>
            <w:r>
              <w:rPr>
                <w:rFonts w:cs="Arial"/>
                <w:sz w:val="18"/>
                <w:szCs w:val="18"/>
              </w:rPr>
              <w:t>2,283</w:t>
            </w:r>
          </w:p>
        </w:tc>
      </w:tr>
      <w:tr w:rsidR="003A571B" w:rsidRPr="00B44186" w:rsidTr="00077859">
        <w:trPr>
          <w:trHeight w:hRule="exact" w:val="227"/>
          <w:jc w:val="center"/>
        </w:trPr>
        <w:tc>
          <w:tcPr>
            <w:tcW w:w="1021" w:type="dxa"/>
            <w:tcBorders>
              <w:top w:val="nil"/>
              <w:left w:val="nil"/>
              <w:right w:val="nil"/>
            </w:tcBorders>
            <w:shd w:val="clear" w:color="auto" w:fill="auto"/>
            <w:noWrap/>
          </w:tcPr>
          <w:p w:rsidR="003A571B" w:rsidRDefault="003A571B" w:rsidP="0054105B">
            <w:pPr>
              <w:jc w:val="right"/>
              <w:rPr>
                <w:rFonts w:cs="Calibri"/>
                <w:b/>
                <w:bCs/>
                <w:sz w:val="18"/>
                <w:szCs w:val="18"/>
              </w:rPr>
            </w:pPr>
            <w:r>
              <w:rPr>
                <w:rFonts w:cs="Calibri"/>
                <w:b/>
                <w:bCs/>
                <w:sz w:val="18"/>
                <w:szCs w:val="18"/>
              </w:rPr>
              <w:t>195,569</w:t>
            </w:r>
          </w:p>
        </w:tc>
        <w:tc>
          <w:tcPr>
            <w:tcW w:w="2217" w:type="dxa"/>
            <w:tcBorders>
              <w:top w:val="nil"/>
              <w:left w:val="nil"/>
              <w:right w:val="nil"/>
            </w:tcBorders>
            <w:shd w:val="clear" w:color="auto" w:fill="auto"/>
          </w:tcPr>
          <w:p w:rsidR="003A571B" w:rsidRPr="00B44186" w:rsidRDefault="003A571B" w:rsidP="00077859">
            <w:pPr>
              <w:pStyle w:val="TableTextLeftBold-BP3"/>
              <w:spacing w:before="40" w:after="40"/>
            </w:pPr>
            <w:r w:rsidRPr="00B44186">
              <w:t xml:space="preserve">Total Other Taxes </w:t>
            </w:r>
          </w:p>
        </w:tc>
        <w:tc>
          <w:tcPr>
            <w:tcW w:w="1310"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192,261</w:t>
            </w:r>
          </w:p>
        </w:tc>
        <w:tc>
          <w:tcPr>
            <w:tcW w:w="1036"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203,901</w:t>
            </w:r>
          </w:p>
        </w:tc>
        <w:tc>
          <w:tcPr>
            <w:tcW w:w="573"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 xml:space="preserve">6 </w:t>
            </w:r>
          </w:p>
        </w:tc>
        <w:tc>
          <w:tcPr>
            <w:tcW w:w="1036"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215,860</w:t>
            </w:r>
          </w:p>
        </w:tc>
        <w:tc>
          <w:tcPr>
            <w:tcW w:w="1036"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229,399</w:t>
            </w:r>
          </w:p>
        </w:tc>
        <w:tc>
          <w:tcPr>
            <w:tcW w:w="1036" w:type="dxa"/>
            <w:tcBorders>
              <w:top w:val="nil"/>
              <w:left w:val="nil"/>
              <w:right w:val="nil"/>
            </w:tcBorders>
            <w:shd w:val="clear" w:color="auto" w:fill="auto"/>
            <w:noWrap/>
          </w:tcPr>
          <w:p w:rsidR="003A571B" w:rsidRDefault="003A571B">
            <w:pPr>
              <w:jc w:val="right"/>
              <w:rPr>
                <w:rFonts w:cs="Arial"/>
                <w:b/>
                <w:bCs/>
                <w:sz w:val="18"/>
                <w:szCs w:val="18"/>
              </w:rPr>
            </w:pPr>
            <w:r>
              <w:rPr>
                <w:rFonts w:cs="Arial"/>
                <w:b/>
                <w:bCs/>
                <w:sz w:val="18"/>
                <w:szCs w:val="18"/>
              </w:rPr>
              <w:t>240,198</w:t>
            </w:r>
          </w:p>
        </w:tc>
      </w:tr>
      <w:tr w:rsidR="00C31A66" w:rsidRPr="00B44186" w:rsidTr="009B0CAE">
        <w:trPr>
          <w:trHeight w:hRule="exact" w:val="125"/>
          <w:jc w:val="center"/>
        </w:trPr>
        <w:tc>
          <w:tcPr>
            <w:tcW w:w="1021" w:type="dxa"/>
            <w:tcBorders>
              <w:left w:val="nil"/>
              <w:bottom w:val="single" w:sz="4" w:space="0" w:color="auto"/>
              <w:right w:val="nil"/>
            </w:tcBorders>
            <w:shd w:val="clear" w:color="auto" w:fill="auto"/>
            <w:noWrap/>
          </w:tcPr>
          <w:p w:rsidR="00C31A66" w:rsidRDefault="00C31A66" w:rsidP="0054105B">
            <w:pPr>
              <w:jc w:val="right"/>
              <w:rPr>
                <w:rFonts w:cs="Calibri"/>
                <w:b/>
                <w:bCs/>
                <w:sz w:val="18"/>
                <w:szCs w:val="18"/>
              </w:rPr>
            </w:pPr>
          </w:p>
        </w:tc>
        <w:tc>
          <w:tcPr>
            <w:tcW w:w="2217" w:type="dxa"/>
            <w:tcBorders>
              <w:left w:val="nil"/>
              <w:bottom w:val="single" w:sz="4" w:space="0" w:color="auto"/>
              <w:right w:val="nil"/>
            </w:tcBorders>
            <w:shd w:val="clear" w:color="auto" w:fill="auto"/>
          </w:tcPr>
          <w:p w:rsidR="00C31A66" w:rsidRPr="00B44186" w:rsidRDefault="00C31A66" w:rsidP="00D33B2F">
            <w:pPr>
              <w:pStyle w:val="TableTextLeftBold-BP3"/>
              <w:spacing w:before="40" w:after="40"/>
              <w:jc w:val="both"/>
            </w:pPr>
          </w:p>
        </w:tc>
        <w:tc>
          <w:tcPr>
            <w:tcW w:w="1310"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c>
          <w:tcPr>
            <w:tcW w:w="1036"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c>
          <w:tcPr>
            <w:tcW w:w="573"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c>
          <w:tcPr>
            <w:tcW w:w="1036"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c>
          <w:tcPr>
            <w:tcW w:w="1036"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c>
          <w:tcPr>
            <w:tcW w:w="1036" w:type="dxa"/>
            <w:tcBorders>
              <w:left w:val="nil"/>
              <w:bottom w:val="single" w:sz="4" w:space="0" w:color="auto"/>
              <w:right w:val="nil"/>
            </w:tcBorders>
            <w:shd w:val="clear" w:color="auto" w:fill="auto"/>
            <w:noWrap/>
          </w:tcPr>
          <w:p w:rsidR="00C31A66" w:rsidRDefault="00C31A66">
            <w:pPr>
              <w:jc w:val="right"/>
              <w:rPr>
                <w:rFonts w:cs="Arial"/>
                <w:b/>
                <w:bCs/>
                <w:sz w:val="18"/>
                <w:szCs w:val="18"/>
              </w:rPr>
            </w:pPr>
          </w:p>
        </w:tc>
      </w:tr>
      <w:tr w:rsidR="003A571B" w:rsidRPr="00B44186" w:rsidTr="00077859">
        <w:trPr>
          <w:trHeight w:hRule="exact" w:val="380"/>
          <w:jc w:val="center"/>
        </w:trPr>
        <w:tc>
          <w:tcPr>
            <w:tcW w:w="1021" w:type="dxa"/>
            <w:tcBorders>
              <w:top w:val="single" w:sz="4" w:space="0" w:color="auto"/>
              <w:left w:val="nil"/>
              <w:bottom w:val="single" w:sz="4" w:space="0" w:color="auto"/>
              <w:right w:val="nil"/>
            </w:tcBorders>
            <w:shd w:val="clear" w:color="auto" w:fill="auto"/>
            <w:noWrap/>
          </w:tcPr>
          <w:p w:rsidR="003A571B" w:rsidRPr="003729E0" w:rsidRDefault="003A571B" w:rsidP="0054105B">
            <w:pPr>
              <w:jc w:val="right"/>
              <w:rPr>
                <w:rFonts w:cs="Calibri"/>
                <w:b/>
                <w:bCs/>
                <w:sz w:val="18"/>
                <w:szCs w:val="18"/>
              </w:rPr>
            </w:pPr>
            <w:r>
              <w:rPr>
                <w:rFonts w:cs="Calibri"/>
                <w:b/>
                <w:bCs/>
                <w:sz w:val="18"/>
                <w:szCs w:val="18"/>
              </w:rPr>
              <w:t>1,277,992</w:t>
            </w:r>
          </w:p>
        </w:tc>
        <w:tc>
          <w:tcPr>
            <w:tcW w:w="2217" w:type="dxa"/>
            <w:tcBorders>
              <w:top w:val="single" w:sz="4" w:space="0" w:color="auto"/>
              <w:left w:val="nil"/>
              <w:bottom w:val="single" w:sz="4" w:space="0" w:color="auto"/>
              <w:right w:val="nil"/>
            </w:tcBorders>
            <w:shd w:val="clear" w:color="auto" w:fill="auto"/>
          </w:tcPr>
          <w:p w:rsidR="003A571B" w:rsidRPr="00B44186" w:rsidRDefault="003A571B" w:rsidP="00077859">
            <w:pPr>
              <w:pStyle w:val="TableTextLeftBold-BP3"/>
              <w:spacing w:before="40" w:after="40"/>
            </w:pPr>
            <w:r w:rsidRPr="00B44186">
              <w:t>Total Taxation</w:t>
            </w:r>
          </w:p>
        </w:tc>
        <w:tc>
          <w:tcPr>
            <w:tcW w:w="1310"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1,236,406</w:t>
            </w:r>
          </w:p>
        </w:tc>
        <w:tc>
          <w:tcPr>
            <w:tcW w:w="1036"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1,298,688</w:t>
            </w:r>
          </w:p>
        </w:tc>
        <w:tc>
          <w:tcPr>
            <w:tcW w:w="573"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 xml:space="preserve">5 </w:t>
            </w:r>
          </w:p>
        </w:tc>
        <w:tc>
          <w:tcPr>
            <w:tcW w:w="1036"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1,383,845</w:t>
            </w:r>
          </w:p>
        </w:tc>
        <w:tc>
          <w:tcPr>
            <w:tcW w:w="1036"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1,470,567</w:t>
            </w:r>
          </w:p>
        </w:tc>
        <w:tc>
          <w:tcPr>
            <w:tcW w:w="1036" w:type="dxa"/>
            <w:tcBorders>
              <w:top w:val="single" w:sz="4" w:space="0" w:color="auto"/>
              <w:left w:val="nil"/>
              <w:bottom w:val="single" w:sz="4" w:space="0" w:color="auto"/>
              <w:right w:val="nil"/>
            </w:tcBorders>
            <w:shd w:val="clear" w:color="auto" w:fill="auto"/>
            <w:noWrap/>
          </w:tcPr>
          <w:p w:rsidR="003A571B" w:rsidRDefault="003A571B" w:rsidP="00077859">
            <w:pPr>
              <w:jc w:val="right"/>
              <w:rPr>
                <w:rFonts w:cs="Arial"/>
                <w:b/>
                <w:bCs/>
                <w:sz w:val="18"/>
                <w:szCs w:val="18"/>
              </w:rPr>
            </w:pPr>
            <w:r>
              <w:rPr>
                <w:rFonts w:cs="Arial"/>
                <w:b/>
                <w:bCs/>
                <w:sz w:val="18"/>
                <w:szCs w:val="18"/>
              </w:rPr>
              <w:t>1,564,331</w:t>
            </w:r>
          </w:p>
        </w:tc>
      </w:tr>
    </w:tbl>
    <w:p w:rsidR="00C31A66" w:rsidRDefault="00C31A66" w:rsidP="00C31A66">
      <w:pPr>
        <w:pStyle w:val="BodyText"/>
        <w:rPr>
          <w:color w:val="000000"/>
        </w:rPr>
      </w:pPr>
      <w:r>
        <w:br w:type="page"/>
      </w:r>
    </w:p>
    <w:p w:rsidR="00693EE4" w:rsidRPr="00DF5B4A" w:rsidRDefault="00693EE4" w:rsidP="00077859">
      <w:pPr>
        <w:pStyle w:val="Heading4"/>
        <w:spacing w:before="0"/>
      </w:pPr>
      <w:r w:rsidRPr="00DF5B4A">
        <w:lastRenderedPageBreak/>
        <w:t>Payroll Tax</w:t>
      </w:r>
    </w:p>
    <w:p w:rsidR="00693EE4" w:rsidRPr="00077859" w:rsidRDefault="00693EE4" w:rsidP="00077859">
      <w:pPr>
        <w:pStyle w:val="BodyText"/>
      </w:pPr>
      <w:r w:rsidRPr="00077859">
        <w:t>The payroll tax rate in the ACT remains unchanged at 6.85 per cent on wages and other taxable payments made by employers, where the Australia wide wages exceed the ACT threshold of $1.75 million per annum.</w:t>
      </w:r>
    </w:p>
    <w:p w:rsidR="00693EE4" w:rsidRPr="00077859" w:rsidRDefault="00693EE4" w:rsidP="00077859">
      <w:pPr>
        <w:pStyle w:val="BodyText"/>
      </w:pPr>
      <w:r w:rsidRPr="00077859">
        <w:t xml:space="preserve">The 2012-13 estimated outcome is $325.3 million and the forecast for 2013-14 is $347.4 million.  The expected </w:t>
      </w:r>
      <w:r w:rsidR="00C31A66" w:rsidRPr="00077859">
        <w:t xml:space="preserve">$22.1 million </w:t>
      </w:r>
      <w:r w:rsidRPr="00077859">
        <w:t xml:space="preserve">increase in 2013-14 and </w:t>
      </w:r>
      <w:r w:rsidR="00C31A66" w:rsidRPr="00077859">
        <w:t>further in the forward years</w:t>
      </w:r>
      <w:r w:rsidRPr="00077859">
        <w:t xml:space="preserve"> reflects forecast growth in employment and wages in relevant sectors of the ACT economy.</w:t>
      </w:r>
    </w:p>
    <w:p w:rsidR="00693EE4" w:rsidRPr="00BD38E0" w:rsidRDefault="00693EE4" w:rsidP="00BD38E0">
      <w:pPr>
        <w:pStyle w:val="Heading4"/>
      </w:pPr>
      <w:r w:rsidRPr="00BD38E0">
        <w:t>Tax Waivers</w:t>
      </w:r>
    </w:p>
    <w:p w:rsidR="00693EE4" w:rsidRPr="00077859" w:rsidRDefault="00693EE4" w:rsidP="00077859">
      <w:pPr>
        <w:pStyle w:val="BodyText"/>
      </w:pPr>
      <w:r w:rsidRPr="00077859">
        <w:t>Tax waivers represent the amount of revenue that has been waived.  The revenue forgone generally relates to payroll tax, general rates and duties.  The estimated value of waivers is also reflected in expenses.  The grossing up of revenue and expenses enables tax treatments to be transparent.</w:t>
      </w:r>
    </w:p>
    <w:p w:rsidR="00693EE4" w:rsidRPr="00077859" w:rsidRDefault="00693EE4" w:rsidP="00077859">
      <w:pPr>
        <w:pStyle w:val="BodyText"/>
      </w:pPr>
      <w:r w:rsidRPr="00077859">
        <w:t>The estimated outcome for 2012-13 is</w:t>
      </w:r>
      <w:r w:rsidR="00C31A66" w:rsidRPr="00077859">
        <w:t xml:space="preserve"> $</w:t>
      </w:r>
      <w:r w:rsidR="00785490" w:rsidRPr="00077859">
        <w:t>1.9</w:t>
      </w:r>
      <w:r w:rsidR="00C31A66" w:rsidRPr="00077859">
        <w:t> million which is</w:t>
      </w:r>
      <w:r w:rsidRPr="00077859">
        <w:t xml:space="preserve"> $</w:t>
      </w:r>
      <w:r w:rsidR="00C31A66" w:rsidRPr="00077859">
        <w:t>1.6</w:t>
      </w:r>
      <w:r w:rsidRPr="00077859">
        <w:t xml:space="preserve"> million higher than </w:t>
      </w:r>
      <w:r w:rsidR="00C31A66" w:rsidRPr="00077859">
        <w:t>the original budget</w:t>
      </w:r>
      <w:r w:rsidRPr="00077859">
        <w:t xml:space="preserve"> mainly due to a large one-off waiver.  T</w:t>
      </w:r>
      <w:r w:rsidR="00785490" w:rsidRPr="00077859">
        <w:t>he forecast for 2013-14 is $0.2 </w:t>
      </w:r>
      <w:r w:rsidRPr="00077859">
        <w:t>million.</w:t>
      </w:r>
    </w:p>
    <w:p w:rsidR="00693EE4" w:rsidRPr="00BD38E0" w:rsidRDefault="00693EE4" w:rsidP="00BD38E0">
      <w:pPr>
        <w:pStyle w:val="Heading4"/>
      </w:pPr>
      <w:r w:rsidRPr="00BD38E0">
        <w:t>General Rates</w:t>
      </w:r>
    </w:p>
    <w:p w:rsidR="00693EE4" w:rsidRPr="00077859" w:rsidRDefault="00693EE4" w:rsidP="00077859">
      <w:pPr>
        <w:pStyle w:val="BodyText"/>
      </w:pPr>
      <w:r w:rsidRPr="00077859">
        <w:t xml:space="preserve">General rates are levied on </w:t>
      </w:r>
      <w:r w:rsidR="00523718">
        <w:t xml:space="preserve">commercial and residential </w:t>
      </w:r>
      <w:r w:rsidRPr="00077859">
        <w:t>property owners to provide funding for a wide range of services for the ACT community.</w:t>
      </w:r>
    </w:p>
    <w:p w:rsidR="00693EE4" w:rsidRPr="00077859" w:rsidRDefault="00693EE4" w:rsidP="00077859">
      <w:pPr>
        <w:pStyle w:val="BodyText"/>
      </w:pPr>
      <w:r w:rsidRPr="00077859">
        <w:t>The 2012-13 estimated outcome for rates revenue is $292 million.  This is expected to increase to $338.4 million in 2013-14.  General rates revenue from existing properties will increase in 2013-14 by WPI and revenue replacement from taxation reforms.  This will result in an average annual</w:t>
      </w:r>
      <w:r w:rsidR="00ED5FDE" w:rsidRPr="00077859">
        <w:t xml:space="preserve"> general rates</w:t>
      </w:r>
      <w:r w:rsidRPr="00077859">
        <w:t xml:space="preserve"> increase of </w:t>
      </w:r>
      <w:r w:rsidR="0048016C">
        <w:t xml:space="preserve">around </w:t>
      </w:r>
      <w:r w:rsidRPr="00077859">
        <w:t>10 per cent or $1</w:t>
      </w:r>
      <w:r w:rsidR="0048016C">
        <w:t>39</w:t>
      </w:r>
      <w:r w:rsidRPr="00077859">
        <w:t xml:space="preserve"> for residential properties and </w:t>
      </w:r>
      <w:r w:rsidR="0048016C">
        <w:t xml:space="preserve">around </w:t>
      </w:r>
      <w:r w:rsidRPr="00077859">
        <w:t>20</w:t>
      </w:r>
      <w:r w:rsidR="0048016C">
        <w:t xml:space="preserve"> </w:t>
      </w:r>
      <w:r w:rsidRPr="00077859">
        <w:t>per cent or $3,388 for commercial properties.</w:t>
      </w:r>
    </w:p>
    <w:p w:rsidR="00693EE4" w:rsidRPr="00077859" w:rsidRDefault="00693EE4" w:rsidP="00077859">
      <w:pPr>
        <w:pStyle w:val="BodyText"/>
      </w:pPr>
      <w:r w:rsidRPr="00077859">
        <w:t>General rates revenue estimates include expected revenue from both existing and new properties, less amounts for pensioner rebates and discounts for early payment.  The rating system in 2013-14 will have the following elements:</w:t>
      </w:r>
    </w:p>
    <w:p w:rsidR="00693EE4" w:rsidRPr="00077859" w:rsidRDefault="00693EE4" w:rsidP="00077859">
      <w:pPr>
        <w:pStyle w:val="BodyTextIndent"/>
      </w:pPr>
      <w:r w:rsidRPr="00077859">
        <w:t>a fixed charge of:</w:t>
      </w:r>
    </w:p>
    <w:p w:rsidR="00693EE4" w:rsidRPr="00077859" w:rsidRDefault="00693EE4" w:rsidP="00077859">
      <w:pPr>
        <w:pStyle w:val="BodyTextIndent2"/>
      </w:pPr>
      <w:r w:rsidRPr="00077859">
        <w:t>$626 for residential properties;</w:t>
      </w:r>
    </w:p>
    <w:p w:rsidR="00693EE4" w:rsidRPr="00077859" w:rsidRDefault="00693EE4" w:rsidP="00077859">
      <w:pPr>
        <w:pStyle w:val="BodyTextIndent2"/>
      </w:pPr>
      <w:r w:rsidRPr="00077859">
        <w:t>$139 for rural properties;</w:t>
      </w:r>
      <w:r w:rsidR="00ED5FDE" w:rsidRPr="00077859">
        <w:t xml:space="preserve"> and</w:t>
      </w:r>
    </w:p>
    <w:p w:rsidR="00693EE4" w:rsidRPr="00DF5B4A" w:rsidRDefault="00693EE4" w:rsidP="00077859">
      <w:pPr>
        <w:pStyle w:val="BodyTextIndent2"/>
      </w:pPr>
      <w:r w:rsidRPr="00077859">
        <w:t>$1,749</w:t>
      </w:r>
      <w:r w:rsidR="00ED5FDE" w:rsidRPr="00077859">
        <w:t xml:space="preserve"> for commercial properties</w:t>
      </w:r>
      <w:r w:rsidR="00ED5FDE">
        <w:t>.</w:t>
      </w:r>
    </w:p>
    <w:p w:rsidR="00800E5E" w:rsidRDefault="00693EE4" w:rsidP="00077859">
      <w:pPr>
        <w:pStyle w:val="BodyTextIndent"/>
      </w:pPr>
      <w:r w:rsidRPr="00077859">
        <w:t>a valuation based charge on the AUV for 2011, 2012 and 2013</w:t>
      </w:r>
      <w:r w:rsidR="00ED5FDE" w:rsidRPr="00077859">
        <w:t xml:space="preserve"> land values;</w:t>
      </w:r>
    </w:p>
    <w:p w:rsidR="00693EE4" w:rsidRPr="00DF5B4A" w:rsidRDefault="00693EE4" w:rsidP="00693EE4">
      <w:pPr>
        <w:pStyle w:val="BodyTextIndent"/>
        <w:numPr>
          <w:ilvl w:val="0"/>
          <w:numId w:val="1"/>
        </w:numPr>
        <w:ind w:left="357" w:hanging="357"/>
      </w:pPr>
      <w:r w:rsidRPr="00DF5B4A">
        <w:t>marginal rating factors applied to the AUV of residential properties</w:t>
      </w:r>
      <w:r w:rsidR="00ED5FDE" w:rsidRPr="00ED5FDE">
        <w:t xml:space="preserve"> </w:t>
      </w:r>
      <w:r w:rsidR="00ED5FDE">
        <w:t>(t</w:t>
      </w:r>
      <w:r w:rsidR="00ED5FDE" w:rsidRPr="00ED5FDE">
        <w:t>able 3.1.4</w:t>
      </w:r>
      <w:r w:rsidR="00ED5FDE">
        <w:t>):</w:t>
      </w:r>
    </w:p>
    <w:p w:rsidR="00693EE4" w:rsidRPr="00077859" w:rsidRDefault="00ED5FDE" w:rsidP="00077859">
      <w:pPr>
        <w:pStyle w:val="TableNumber"/>
      </w:pPr>
      <w:r w:rsidRPr="00077859">
        <w:t>Table 3</w:t>
      </w:r>
      <w:r w:rsidR="00693EE4" w:rsidRPr="00077859">
        <w:t>.1.4</w:t>
      </w:r>
    </w:p>
    <w:p w:rsidR="00693EE4" w:rsidRPr="00DF5B4A" w:rsidRDefault="00693EE4" w:rsidP="00693EE4">
      <w:pPr>
        <w:pStyle w:val="TableName"/>
      </w:pPr>
      <w:r w:rsidRPr="00DF5B4A">
        <w:t>General Rates Marginal Rates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7"/>
        <w:gridCol w:w="2617"/>
        <w:gridCol w:w="2826"/>
      </w:tblGrid>
      <w:tr w:rsidR="00693EE4" w:rsidRPr="00DF5B4A" w:rsidTr="00ED5FDE">
        <w:trPr>
          <w:trHeight w:val="170"/>
          <w:jc w:val="center"/>
        </w:trPr>
        <w:tc>
          <w:tcPr>
            <w:tcW w:w="2009" w:type="pct"/>
            <w:tcBorders>
              <w:left w:val="nil"/>
              <w:bottom w:val="single" w:sz="4" w:space="0" w:color="auto"/>
              <w:right w:val="nil"/>
            </w:tcBorders>
          </w:tcPr>
          <w:p w:rsidR="00693EE4" w:rsidRPr="00DF5B4A" w:rsidRDefault="00693EE4" w:rsidP="00ED5FDE">
            <w:pPr>
              <w:pStyle w:val="TableTextLeftBold-BP3"/>
              <w:keepNext/>
              <w:keepLines/>
              <w:spacing w:before="20" w:after="20"/>
            </w:pPr>
            <w:r w:rsidRPr="00DF5B4A">
              <w:t>AUV</w:t>
            </w:r>
          </w:p>
        </w:tc>
        <w:tc>
          <w:tcPr>
            <w:tcW w:w="1438" w:type="pct"/>
            <w:tcBorders>
              <w:left w:val="nil"/>
              <w:bottom w:val="single" w:sz="4" w:space="0" w:color="auto"/>
              <w:right w:val="nil"/>
            </w:tcBorders>
          </w:tcPr>
          <w:p w:rsidR="00693EE4" w:rsidRPr="00DF5B4A" w:rsidRDefault="00693EE4" w:rsidP="00ED5FDE">
            <w:pPr>
              <w:pStyle w:val="TableTextRightBold-BP3"/>
              <w:keepNext/>
              <w:keepLines/>
              <w:spacing w:before="20" w:after="20"/>
              <w:rPr>
                <w:sz w:val="20"/>
              </w:rPr>
            </w:pPr>
          </w:p>
        </w:tc>
        <w:tc>
          <w:tcPr>
            <w:tcW w:w="1553" w:type="pct"/>
            <w:tcBorders>
              <w:left w:val="nil"/>
              <w:bottom w:val="single" w:sz="4" w:space="0" w:color="auto"/>
              <w:right w:val="nil"/>
            </w:tcBorders>
          </w:tcPr>
          <w:p w:rsidR="00693EE4" w:rsidRPr="00DF5B4A" w:rsidRDefault="00693EE4" w:rsidP="00ED5FDE">
            <w:pPr>
              <w:pStyle w:val="TableTextRightBold-BP3"/>
              <w:keepNext/>
              <w:keepLines/>
              <w:spacing w:before="20" w:after="20"/>
              <w:rPr>
                <w:sz w:val="20"/>
              </w:rPr>
            </w:pPr>
            <w:r w:rsidRPr="00DF5B4A">
              <w:rPr>
                <w:sz w:val="20"/>
              </w:rPr>
              <w:t>Residential</w:t>
            </w:r>
          </w:p>
        </w:tc>
      </w:tr>
      <w:tr w:rsidR="00693EE4" w:rsidRPr="00DF5B4A" w:rsidTr="00ED5FDE">
        <w:trPr>
          <w:trHeight w:val="226"/>
          <w:jc w:val="center"/>
        </w:trPr>
        <w:tc>
          <w:tcPr>
            <w:tcW w:w="2009" w:type="pct"/>
            <w:tcBorders>
              <w:left w:val="nil"/>
              <w:bottom w:val="nil"/>
              <w:right w:val="nil"/>
            </w:tcBorders>
          </w:tcPr>
          <w:p w:rsidR="00693EE4" w:rsidRPr="00DF5B4A" w:rsidRDefault="00693EE4" w:rsidP="00ED5FDE">
            <w:pPr>
              <w:pStyle w:val="TableTextLeft-BP3"/>
              <w:keepNext/>
              <w:keepLines/>
            </w:pPr>
            <w:r w:rsidRPr="00DF5B4A">
              <w:t>$1 to $150,000</w:t>
            </w:r>
          </w:p>
        </w:tc>
        <w:tc>
          <w:tcPr>
            <w:tcW w:w="1438" w:type="pct"/>
            <w:tcBorders>
              <w:left w:val="nil"/>
              <w:bottom w:val="nil"/>
              <w:right w:val="nil"/>
            </w:tcBorders>
          </w:tcPr>
          <w:p w:rsidR="00693EE4" w:rsidRPr="00DF5B4A" w:rsidRDefault="00693EE4" w:rsidP="00ED5FDE">
            <w:pPr>
              <w:pStyle w:val="TableTextNumbers"/>
              <w:keepNext/>
              <w:keepLines/>
              <w:spacing w:before="20" w:after="20"/>
              <w:rPr>
                <w:sz w:val="20"/>
                <w:szCs w:val="20"/>
              </w:rPr>
            </w:pPr>
          </w:p>
        </w:tc>
        <w:tc>
          <w:tcPr>
            <w:tcW w:w="1553" w:type="pct"/>
            <w:tcBorders>
              <w:left w:val="nil"/>
              <w:bottom w:val="nil"/>
              <w:right w:val="nil"/>
            </w:tcBorders>
          </w:tcPr>
          <w:p w:rsidR="00693EE4" w:rsidRPr="00DF5B4A" w:rsidRDefault="00693EE4" w:rsidP="00ED5FDE">
            <w:pPr>
              <w:pStyle w:val="TableTextNumbers"/>
              <w:keepNext/>
              <w:keepLines/>
              <w:spacing w:before="20" w:after="20"/>
              <w:rPr>
                <w:sz w:val="20"/>
                <w:szCs w:val="20"/>
              </w:rPr>
            </w:pPr>
            <w:r w:rsidRPr="00DF5B4A">
              <w:rPr>
                <w:sz w:val="20"/>
                <w:szCs w:val="20"/>
              </w:rPr>
              <w:t>0.2306%</w:t>
            </w:r>
          </w:p>
        </w:tc>
      </w:tr>
      <w:tr w:rsidR="00693EE4" w:rsidRPr="00DF5B4A" w:rsidTr="00ED5FDE">
        <w:trPr>
          <w:trHeight w:val="170"/>
          <w:jc w:val="center"/>
        </w:trPr>
        <w:tc>
          <w:tcPr>
            <w:tcW w:w="2009" w:type="pct"/>
            <w:tcBorders>
              <w:top w:val="nil"/>
              <w:left w:val="nil"/>
              <w:bottom w:val="nil"/>
              <w:right w:val="nil"/>
            </w:tcBorders>
          </w:tcPr>
          <w:p w:rsidR="00693EE4" w:rsidRPr="00DF5B4A" w:rsidRDefault="00693EE4" w:rsidP="00ED5FDE">
            <w:pPr>
              <w:pStyle w:val="TableTextLeft-BP3"/>
              <w:keepNext/>
              <w:keepLines/>
            </w:pPr>
            <w:r w:rsidRPr="00DF5B4A">
              <w:t>$150,001 up to $300,000</w:t>
            </w:r>
          </w:p>
        </w:tc>
        <w:tc>
          <w:tcPr>
            <w:tcW w:w="1438" w:type="pct"/>
            <w:tcBorders>
              <w:top w:val="nil"/>
              <w:left w:val="nil"/>
              <w:bottom w:val="nil"/>
              <w:right w:val="nil"/>
            </w:tcBorders>
          </w:tcPr>
          <w:p w:rsidR="00693EE4" w:rsidRPr="00DF5B4A" w:rsidRDefault="00693EE4" w:rsidP="00ED5FDE">
            <w:pPr>
              <w:pStyle w:val="TableTextNumbers"/>
              <w:keepNext/>
              <w:keepLines/>
              <w:spacing w:before="20" w:after="20"/>
              <w:rPr>
                <w:sz w:val="20"/>
                <w:szCs w:val="20"/>
              </w:rPr>
            </w:pPr>
          </w:p>
        </w:tc>
        <w:tc>
          <w:tcPr>
            <w:tcW w:w="1553" w:type="pct"/>
            <w:tcBorders>
              <w:top w:val="nil"/>
              <w:left w:val="nil"/>
              <w:bottom w:val="nil"/>
              <w:right w:val="nil"/>
            </w:tcBorders>
          </w:tcPr>
          <w:p w:rsidR="00693EE4" w:rsidRPr="00DF5B4A" w:rsidRDefault="00693EE4" w:rsidP="00ED5FDE">
            <w:pPr>
              <w:pStyle w:val="TableTextNumbers"/>
              <w:keepNext/>
              <w:keepLines/>
              <w:spacing w:before="20" w:after="20"/>
              <w:rPr>
                <w:sz w:val="20"/>
                <w:szCs w:val="20"/>
              </w:rPr>
            </w:pPr>
            <w:r w:rsidRPr="00DF5B4A">
              <w:rPr>
                <w:sz w:val="20"/>
                <w:szCs w:val="20"/>
              </w:rPr>
              <w:t>0.3241%</w:t>
            </w:r>
          </w:p>
        </w:tc>
      </w:tr>
      <w:tr w:rsidR="00693EE4" w:rsidRPr="00DF5B4A" w:rsidTr="00ED5FDE">
        <w:trPr>
          <w:trHeight w:val="170"/>
          <w:jc w:val="center"/>
        </w:trPr>
        <w:tc>
          <w:tcPr>
            <w:tcW w:w="2009" w:type="pct"/>
            <w:tcBorders>
              <w:top w:val="nil"/>
              <w:left w:val="nil"/>
              <w:bottom w:val="nil"/>
              <w:right w:val="nil"/>
            </w:tcBorders>
          </w:tcPr>
          <w:p w:rsidR="00693EE4" w:rsidRPr="00DF5B4A" w:rsidRDefault="00693EE4" w:rsidP="00ED5FDE">
            <w:pPr>
              <w:pStyle w:val="TableTextLeft-BP3"/>
              <w:keepNext/>
              <w:keepLines/>
            </w:pPr>
            <w:r w:rsidRPr="00DF5B4A">
              <w:t>$300,001 up to $450,000</w:t>
            </w:r>
          </w:p>
        </w:tc>
        <w:tc>
          <w:tcPr>
            <w:tcW w:w="1438" w:type="pct"/>
            <w:tcBorders>
              <w:top w:val="nil"/>
              <w:left w:val="nil"/>
              <w:bottom w:val="nil"/>
              <w:right w:val="nil"/>
            </w:tcBorders>
          </w:tcPr>
          <w:p w:rsidR="00693EE4" w:rsidRPr="00DF5B4A" w:rsidRDefault="00693EE4" w:rsidP="00ED5FDE">
            <w:pPr>
              <w:pStyle w:val="TableTextNumbers"/>
              <w:keepNext/>
              <w:keepLines/>
              <w:spacing w:before="20" w:after="20"/>
              <w:rPr>
                <w:sz w:val="20"/>
                <w:szCs w:val="20"/>
              </w:rPr>
            </w:pPr>
          </w:p>
        </w:tc>
        <w:tc>
          <w:tcPr>
            <w:tcW w:w="1553" w:type="pct"/>
            <w:tcBorders>
              <w:top w:val="nil"/>
              <w:left w:val="nil"/>
              <w:bottom w:val="nil"/>
              <w:right w:val="nil"/>
            </w:tcBorders>
          </w:tcPr>
          <w:p w:rsidR="00693EE4" w:rsidRPr="00DF5B4A" w:rsidRDefault="00693EE4" w:rsidP="00ED5FDE">
            <w:pPr>
              <w:pStyle w:val="TableTextNumbers"/>
              <w:keepNext/>
              <w:keepLines/>
              <w:spacing w:before="20" w:after="20"/>
              <w:rPr>
                <w:sz w:val="20"/>
                <w:szCs w:val="20"/>
              </w:rPr>
            </w:pPr>
            <w:r w:rsidRPr="00DF5B4A">
              <w:rPr>
                <w:sz w:val="20"/>
                <w:szCs w:val="20"/>
              </w:rPr>
              <w:t>0.3876%</w:t>
            </w:r>
          </w:p>
        </w:tc>
      </w:tr>
      <w:tr w:rsidR="00693EE4" w:rsidRPr="00DF5B4A" w:rsidTr="00ED5FDE">
        <w:trPr>
          <w:trHeight w:val="170"/>
          <w:jc w:val="center"/>
        </w:trPr>
        <w:tc>
          <w:tcPr>
            <w:tcW w:w="2009" w:type="pct"/>
            <w:tcBorders>
              <w:top w:val="nil"/>
              <w:left w:val="nil"/>
              <w:bottom w:val="single" w:sz="4" w:space="0" w:color="auto"/>
              <w:right w:val="nil"/>
            </w:tcBorders>
          </w:tcPr>
          <w:p w:rsidR="00693EE4" w:rsidRPr="00DF5B4A" w:rsidRDefault="00693EE4" w:rsidP="00ED5FDE">
            <w:pPr>
              <w:pStyle w:val="TableTextLeft-BP3"/>
              <w:keepNext/>
              <w:keepLines/>
            </w:pPr>
            <w:r w:rsidRPr="00DF5B4A">
              <w:t>$450,001 and above</w:t>
            </w:r>
          </w:p>
        </w:tc>
        <w:tc>
          <w:tcPr>
            <w:tcW w:w="1438" w:type="pct"/>
            <w:tcBorders>
              <w:top w:val="nil"/>
              <w:left w:val="nil"/>
              <w:bottom w:val="single" w:sz="4" w:space="0" w:color="auto"/>
              <w:right w:val="nil"/>
            </w:tcBorders>
          </w:tcPr>
          <w:p w:rsidR="00693EE4" w:rsidRPr="00DF5B4A" w:rsidRDefault="00693EE4" w:rsidP="00ED5FDE">
            <w:pPr>
              <w:pStyle w:val="TableTextNumbers"/>
              <w:keepNext/>
              <w:keepLines/>
              <w:spacing w:before="20" w:after="20"/>
              <w:rPr>
                <w:sz w:val="20"/>
                <w:szCs w:val="20"/>
              </w:rPr>
            </w:pPr>
          </w:p>
        </w:tc>
        <w:tc>
          <w:tcPr>
            <w:tcW w:w="1553" w:type="pct"/>
            <w:tcBorders>
              <w:top w:val="nil"/>
              <w:left w:val="nil"/>
              <w:bottom w:val="single" w:sz="4" w:space="0" w:color="auto"/>
              <w:right w:val="nil"/>
            </w:tcBorders>
          </w:tcPr>
          <w:p w:rsidR="00693EE4" w:rsidRPr="00DF5B4A" w:rsidRDefault="00693EE4" w:rsidP="00ED5FDE">
            <w:pPr>
              <w:pStyle w:val="TableTextNumbers"/>
              <w:keepNext/>
              <w:keepLines/>
              <w:spacing w:before="20" w:after="20"/>
              <w:rPr>
                <w:sz w:val="20"/>
                <w:szCs w:val="20"/>
              </w:rPr>
            </w:pPr>
            <w:r w:rsidRPr="00DF5B4A">
              <w:rPr>
                <w:sz w:val="20"/>
                <w:szCs w:val="20"/>
              </w:rPr>
              <w:t>0.4312%</w:t>
            </w:r>
          </w:p>
        </w:tc>
      </w:tr>
    </w:tbl>
    <w:p w:rsidR="00BD38E0" w:rsidRPr="00BD38E0" w:rsidRDefault="00693EE4" w:rsidP="00BD38E0">
      <w:pPr>
        <w:pStyle w:val="BodyTextIndent"/>
        <w:keepNext w:val="0"/>
        <w:keepLines w:val="0"/>
        <w:numPr>
          <w:ilvl w:val="0"/>
          <w:numId w:val="1"/>
        </w:numPr>
        <w:spacing w:after="100"/>
        <w:ind w:left="357" w:hanging="357"/>
      </w:pPr>
      <w:r w:rsidRPr="00DF5B4A">
        <w:lastRenderedPageBreak/>
        <w:t>marginal rating factors applied to the AUV of commercial properties</w:t>
      </w:r>
      <w:r w:rsidR="00ED5FDE" w:rsidRPr="00ED5FDE">
        <w:t xml:space="preserve"> </w:t>
      </w:r>
      <w:r w:rsidR="00ED5FDE">
        <w:t>(t</w:t>
      </w:r>
      <w:r w:rsidR="00ED5FDE" w:rsidRPr="00DF5B4A">
        <w:t>able </w:t>
      </w:r>
      <w:r w:rsidR="00ED5FDE">
        <w:t>3</w:t>
      </w:r>
      <w:r w:rsidR="00ED5FDE" w:rsidRPr="00DF5B4A">
        <w:t>.1.5</w:t>
      </w:r>
      <w:r w:rsidR="00ED5FDE">
        <w:t>):</w:t>
      </w:r>
    </w:p>
    <w:p w:rsidR="00693EE4" w:rsidRPr="00DF5B4A" w:rsidRDefault="00693EE4" w:rsidP="00BD38E0">
      <w:pPr>
        <w:pStyle w:val="TableNumber"/>
        <w:spacing w:before="120"/>
      </w:pPr>
      <w:r w:rsidRPr="00DF5B4A">
        <w:t xml:space="preserve">Table </w:t>
      </w:r>
      <w:r w:rsidR="00ED5FDE">
        <w:t>3</w:t>
      </w:r>
      <w:r w:rsidRPr="00DF5B4A">
        <w:t>.1.5</w:t>
      </w:r>
    </w:p>
    <w:p w:rsidR="00693EE4" w:rsidRPr="00DF5B4A" w:rsidRDefault="00693EE4" w:rsidP="00693EE4">
      <w:pPr>
        <w:pStyle w:val="TableName"/>
      </w:pPr>
      <w:r w:rsidRPr="00DF5B4A">
        <w:t>General Rates Marginal Rates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8"/>
        <w:gridCol w:w="2573"/>
        <w:gridCol w:w="2779"/>
      </w:tblGrid>
      <w:tr w:rsidR="00693EE4" w:rsidRPr="00DF5B4A" w:rsidTr="00ED5FDE">
        <w:trPr>
          <w:trHeight w:val="170"/>
          <w:jc w:val="center"/>
        </w:trPr>
        <w:tc>
          <w:tcPr>
            <w:tcW w:w="2059" w:type="pct"/>
            <w:tcBorders>
              <w:left w:val="nil"/>
              <w:bottom w:val="single" w:sz="4" w:space="0" w:color="auto"/>
              <w:right w:val="nil"/>
            </w:tcBorders>
          </w:tcPr>
          <w:p w:rsidR="00693EE4" w:rsidRPr="00DF5B4A" w:rsidRDefault="00693EE4" w:rsidP="00ED5FDE">
            <w:pPr>
              <w:pStyle w:val="TableTextLeftBold-BP3"/>
              <w:spacing w:before="20" w:after="20"/>
            </w:pPr>
            <w:r w:rsidRPr="00DF5B4A">
              <w:t>AUV</w:t>
            </w:r>
          </w:p>
        </w:tc>
        <w:tc>
          <w:tcPr>
            <w:tcW w:w="1414" w:type="pct"/>
            <w:tcBorders>
              <w:left w:val="nil"/>
              <w:bottom w:val="single" w:sz="4" w:space="0" w:color="auto"/>
              <w:right w:val="nil"/>
            </w:tcBorders>
          </w:tcPr>
          <w:p w:rsidR="00693EE4" w:rsidRPr="00DF5B4A" w:rsidRDefault="00693EE4" w:rsidP="00ED5FDE">
            <w:pPr>
              <w:pStyle w:val="TableTextRightBold-BP3"/>
              <w:spacing w:before="20" w:after="20"/>
              <w:rPr>
                <w:sz w:val="20"/>
              </w:rPr>
            </w:pPr>
          </w:p>
        </w:tc>
        <w:tc>
          <w:tcPr>
            <w:tcW w:w="1527" w:type="pct"/>
            <w:tcBorders>
              <w:left w:val="nil"/>
              <w:bottom w:val="single" w:sz="4" w:space="0" w:color="auto"/>
              <w:right w:val="nil"/>
            </w:tcBorders>
          </w:tcPr>
          <w:p w:rsidR="00693EE4" w:rsidRPr="00DF5B4A" w:rsidRDefault="00693EE4" w:rsidP="00ED5FDE">
            <w:pPr>
              <w:pStyle w:val="TableTextRightBold-BP3"/>
              <w:spacing w:before="20" w:after="20"/>
              <w:rPr>
                <w:sz w:val="20"/>
              </w:rPr>
            </w:pPr>
            <w:r w:rsidRPr="00DF5B4A">
              <w:rPr>
                <w:sz w:val="20"/>
              </w:rPr>
              <w:t>Commercial</w:t>
            </w:r>
          </w:p>
        </w:tc>
      </w:tr>
      <w:tr w:rsidR="00693EE4" w:rsidRPr="00DF5B4A" w:rsidTr="00ED5FDE">
        <w:trPr>
          <w:trHeight w:val="170"/>
          <w:jc w:val="center"/>
        </w:trPr>
        <w:tc>
          <w:tcPr>
            <w:tcW w:w="2059" w:type="pct"/>
            <w:tcBorders>
              <w:left w:val="nil"/>
              <w:bottom w:val="nil"/>
              <w:right w:val="nil"/>
            </w:tcBorders>
          </w:tcPr>
          <w:p w:rsidR="00693EE4" w:rsidRPr="00DF5B4A" w:rsidRDefault="00693EE4" w:rsidP="00ED5FDE">
            <w:pPr>
              <w:pStyle w:val="TableTextLeft-BP3"/>
            </w:pPr>
            <w:r w:rsidRPr="00DF5B4A">
              <w:t>$1 to $150,000</w:t>
            </w:r>
          </w:p>
        </w:tc>
        <w:tc>
          <w:tcPr>
            <w:tcW w:w="1414" w:type="pct"/>
            <w:tcBorders>
              <w:left w:val="nil"/>
              <w:bottom w:val="nil"/>
              <w:right w:val="nil"/>
            </w:tcBorders>
          </w:tcPr>
          <w:p w:rsidR="00693EE4" w:rsidRPr="00DF5B4A" w:rsidRDefault="00693EE4" w:rsidP="00ED5FDE">
            <w:pPr>
              <w:pStyle w:val="TableTextNumbers"/>
              <w:spacing w:before="20" w:after="20"/>
              <w:rPr>
                <w:sz w:val="20"/>
                <w:szCs w:val="20"/>
              </w:rPr>
            </w:pPr>
          </w:p>
        </w:tc>
        <w:tc>
          <w:tcPr>
            <w:tcW w:w="1527" w:type="pct"/>
            <w:tcBorders>
              <w:left w:val="nil"/>
              <w:bottom w:val="nil"/>
              <w:right w:val="nil"/>
            </w:tcBorders>
          </w:tcPr>
          <w:p w:rsidR="00693EE4" w:rsidRPr="00DF5B4A" w:rsidRDefault="00693EE4" w:rsidP="00ED5FDE">
            <w:pPr>
              <w:pStyle w:val="TableTextNumbers"/>
              <w:spacing w:before="20" w:after="20"/>
              <w:rPr>
                <w:sz w:val="20"/>
                <w:szCs w:val="20"/>
              </w:rPr>
            </w:pPr>
            <w:r w:rsidRPr="00DF5B4A">
              <w:rPr>
                <w:sz w:val="20"/>
                <w:szCs w:val="20"/>
              </w:rPr>
              <w:t>2.2069%</w:t>
            </w:r>
          </w:p>
        </w:tc>
      </w:tr>
      <w:tr w:rsidR="00693EE4" w:rsidRPr="00DF5B4A" w:rsidTr="00ED5FDE">
        <w:trPr>
          <w:trHeight w:val="170"/>
          <w:jc w:val="center"/>
        </w:trPr>
        <w:tc>
          <w:tcPr>
            <w:tcW w:w="2059" w:type="pct"/>
            <w:tcBorders>
              <w:top w:val="nil"/>
              <w:left w:val="nil"/>
              <w:bottom w:val="nil"/>
              <w:right w:val="nil"/>
            </w:tcBorders>
          </w:tcPr>
          <w:p w:rsidR="00693EE4" w:rsidRPr="00DF5B4A" w:rsidRDefault="00693EE4" w:rsidP="00ED5FDE">
            <w:pPr>
              <w:pStyle w:val="TableTextLeft-BP3"/>
            </w:pPr>
            <w:r w:rsidRPr="00DF5B4A">
              <w:t>$150,001 up to $275,000</w:t>
            </w:r>
          </w:p>
        </w:tc>
        <w:tc>
          <w:tcPr>
            <w:tcW w:w="1414" w:type="pct"/>
            <w:tcBorders>
              <w:top w:val="nil"/>
              <w:left w:val="nil"/>
              <w:bottom w:val="nil"/>
              <w:right w:val="nil"/>
            </w:tcBorders>
          </w:tcPr>
          <w:p w:rsidR="00693EE4" w:rsidRPr="00DF5B4A" w:rsidRDefault="00693EE4" w:rsidP="00ED5FDE">
            <w:pPr>
              <w:pStyle w:val="TableTextNumbers"/>
              <w:spacing w:before="20" w:after="20"/>
              <w:rPr>
                <w:sz w:val="20"/>
                <w:szCs w:val="20"/>
              </w:rPr>
            </w:pPr>
          </w:p>
        </w:tc>
        <w:tc>
          <w:tcPr>
            <w:tcW w:w="1527" w:type="pct"/>
            <w:tcBorders>
              <w:top w:val="nil"/>
              <w:left w:val="nil"/>
              <w:bottom w:val="nil"/>
              <w:right w:val="nil"/>
            </w:tcBorders>
          </w:tcPr>
          <w:p w:rsidR="00693EE4" w:rsidRPr="00DF5B4A" w:rsidRDefault="00693EE4" w:rsidP="00ED5FDE">
            <w:pPr>
              <w:pStyle w:val="TableTextNumbers"/>
              <w:spacing w:before="20" w:after="20"/>
              <w:rPr>
                <w:sz w:val="20"/>
                <w:szCs w:val="20"/>
              </w:rPr>
            </w:pPr>
            <w:r w:rsidRPr="00DF5B4A">
              <w:rPr>
                <w:sz w:val="20"/>
                <w:szCs w:val="20"/>
              </w:rPr>
              <w:t>2.6429%</w:t>
            </w:r>
          </w:p>
        </w:tc>
      </w:tr>
      <w:tr w:rsidR="00693EE4" w:rsidRPr="00DF5B4A" w:rsidTr="00ED5FDE">
        <w:trPr>
          <w:trHeight w:val="170"/>
          <w:jc w:val="center"/>
        </w:trPr>
        <w:tc>
          <w:tcPr>
            <w:tcW w:w="2059" w:type="pct"/>
            <w:tcBorders>
              <w:top w:val="nil"/>
              <w:left w:val="nil"/>
              <w:right w:val="nil"/>
            </w:tcBorders>
          </w:tcPr>
          <w:p w:rsidR="00693EE4" w:rsidRPr="00DF5B4A" w:rsidRDefault="00693EE4" w:rsidP="00ED5FDE">
            <w:pPr>
              <w:pStyle w:val="TableTextLeft-BP3"/>
            </w:pPr>
            <w:r w:rsidRPr="00DF5B4A">
              <w:t>$275,001 and above</w:t>
            </w:r>
          </w:p>
        </w:tc>
        <w:tc>
          <w:tcPr>
            <w:tcW w:w="1414" w:type="pct"/>
            <w:tcBorders>
              <w:top w:val="nil"/>
              <w:left w:val="nil"/>
              <w:right w:val="nil"/>
            </w:tcBorders>
          </w:tcPr>
          <w:p w:rsidR="00693EE4" w:rsidRPr="00DF5B4A" w:rsidRDefault="00693EE4" w:rsidP="00ED5FDE">
            <w:pPr>
              <w:pStyle w:val="TableTextNumbers"/>
              <w:spacing w:before="20" w:after="20"/>
              <w:rPr>
                <w:sz w:val="20"/>
                <w:szCs w:val="20"/>
              </w:rPr>
            </w:pPr>
          </w:p>
        </w:tc>
        <w:tc>
          <w:tcPr>
            <w:tcW w:w="1527" w:type="pct"/>
            <w:tcBorders>
              <w:top w:val="nil"/>
              <w:left w:val="nil"/>
              <w:right w:val="nil"/>
            </w:tcBorders>
          </w:tcPr>
          <w:p w:rsidR="00693EE4" w:rsidRPr="00DF5B4A" w:rsidRDefault="00693EE4" w:rsidP="00ED5FDE">
            <w:pPr>
              <w:pStyle w:val="TableTextNumbers"/>
              <w:spacing w:before="20" w:after="20"/>
              <w:rPr>
                <w:sz w:val="20"/>
                <w:szCs w:val="20"/>
              </w:rPr>
            </w:pPr>
            <w:r w:rsidRPr="00DF5B4A">
              <w:rPr>
                <w:sz w:val="20"/>
                <w:szCs w:val="20"/>
              </w:rPr>
              <w:t>3.5369%</w:t>
            </w:r>
          </w:p>
        </w:tc>
      </w:tr>
    </w:tbl>
    <w:p w:rsidR="00693EE4" w:rsidRPr="00DF5B4A" w:rsidRDefault="00693EE4" w:rsidP="00693EE4">
      <w:pPr>
        <w:pStyle w:val="BodyTextIndent"/>
        <w:numPr>
          <w:ilvl w:val="0"/>
          <w:numId w:val="0"/>
        </w:numPr>
        <w:ind w:left="357"/>
        <w:rPr>
          <w:sz w:val="2"/>
          <w:szCs w:val="2"/>
        </w:rPr>
      </w:pPr>
    </w:p>
    <w:p w:rsidR="00693EE4" w:rsidRPr="00BD38E0" w:rsidRDefault="00693EE4" w:rsidP="00BD38E0">
      <w:pPr>
        <w:pStyle w:val="BodyTextIndent"/>
      </w:pPr>
      <w:r w:rsidRPr="00BD38E0">
        <w:t>a rating factor of 0.1524 per cent applied to the AUV of rural properties; and</w:t>
      </w:r>
    </w:p>
    <w:p w:rsidR="00693EE4" w:rsidRPr="00BD38E0" w:rsidRDefault="00693EE4" w:rsidP="00BD38E0">
      <w:pPr>
        <w:pStyle w:val="BodyTextIndent"/>
      </w:pPr>
      <w:proofErr w:type="gramStart"/>
      <w:r w:rsidRPr="00BD38E0">
        <w:t>a</w:t>
      </w:r>
      <w:proofErr w:type="gramEnd"/>
      <w:r w:rsidRPr="00BD38E0">
        <w:t xml:space="preserve"> pensioner rebate cap for post 1 July 1997 applicants of $622.</w:t>
      </w:r>
    </w:p>
    <w:p w:rsidR="00693EE4" w:rsidRPr="00BD38E0" w:rsidRDefault="00693EE4" w:rsidP="00BD38E0">
      <w:pPr>
        <w:pStyle w:val="Heading4"/>
      </w:pPr>
      <w:r w:rsidRPr="00BD38E0">
        <w:t>Land Tax</w:t>
      </w:r>
    </w:p>
    <w:p w:rsidR="00693EE4" w:rsidRPr="00BD38E0" w:rsidRDefault="00693EE4" w:rsidP="00BD38E0">
      <w:pPr>
        <w:pStyle w:val="BodyText"/>
      </w:pPr>
      <w:r w:rsidRPr="00BD38E0">
        <w:t>Land tax applies to any residential property that is rented, or any residential property owned by a corporation or a trustee, even if the property is not rented.  Land tax assessments in 2013-14 will be based on the most recent Average Unimproved Land Values that incorporates the 2013 unimproved land value.</w:t>
      </w:r>
    </w:p>
    <w:p w:rsidR="00693EE4" w:rsidRPr="00DF5B4A" w:rsidRDefault="00ED5FDE" w:rsidP="00BD38E0">
      <w:pPr>
        <w:pStyle w:val="BodyText"/>
      </w:pPr>
      <w:r w:rsidRPr="00BD38E0">
        <w:t>Table 3.1.6 shows t</w:t>
      </w:r>
      <w:r w:rsidR="00693EE4" w:rsidRPr="00BD38E0">
        <w:t>he land tax marginal rates that will apply to residential properties in 2013-14</w:t>
      </w:r>
      <w:r w:rsidR="00693EE4" w:rsidRPr="00DF5B4A">
        <w:t>.</w:t>
      </w:r>
    </w:p>
    <w:p w:rsidR="00693EE4" w:rsidRPr="00DF5B4A" w:rsidRDefault="00693EE4" w:rsidP="00693EE4">
      <w:pPr>
        <w:pStyle w:val="TableNumber"/>
      </w:pPr>
      <w:r w:rsidRPr="00DF5B4A">
        <w:t xml:space="preserve">Table </w:t>
      </w:r>
      <w:r w:rsidR="00ED5FDE">
        <w:t>3</w:t>
      </w:r>
      <w:r w:rsidRPr="00DF5B4A">
        <w:t>.1.6</w:t>
      </w:r>
    </w:p>
    <w:p w:rsidR="00693EE4" w:rsidRPr="00DF5B4A" w:rsidRDefault="00693EE4" w:rsidP="00693EE4">
      <w:pPr>
        <w:pStyle w:val="TableName"/>
      </w:pPr>
      <w:r w:rsidRPr="00DF5B4A">
        <w:t>Land Tax Marginal Rates</w:t>
      </w:r>
    </w:p>
    <w:tbl>
      <w:tblPr>
        <w:tblW w:w="9102" w:type="dxa"/>
        <w:jc w:val="center"/>
        <w:tblBorders>
          <w:top w:val="single" w:sz="4" w:space="0" w:color="auto"/>
          <w:bottom w:val="single" w:sz="4" w:space="0" w:color="auto"/>
        </w:tblBorders>
        <w:tblLook w:val="0000"/>
      </w:tblPr>
      <w:tblGrid>
        <w:gridCol w:w="4158"/>
        <w:gridCol w:w="2377"/>
        <w:gridCol w:w="2567"/>
      </w:tblGrid>
      <w:tr w:rsidR="00693EE4" w:rsidRPr="00DF5B4A" w:rsidTr="00ED5FDE">
        <w:trPr>
          <w:trHeight w:val="170"/>
          <w:jc w:val="center"/>
        </w:trPr>
        <w:tc>
          <w:tcPr>
            <w:tcW w:w="2284" w:type="pct"/>
            <w:tcBorders>
              <w:top w:val="single" w:sz="4" w:space="0" w:color="auto"/>
              <w:bottom w:val="single" w:sz="4" w:space="0" w:color="auto"/>
            </w:tcBorders>
          </w:tcPr>
          <w:p w:rsidR="00693EE4" w:rsidRPr="00DF5B4A" w:rsidRDefault="00693EE4" w:rsidP="00ED5FDE">
            <w:pPr>
              <w:pStyle w:val="TableTextLeftBold-BP3"/>
              <w:spacing w:before="20" w:after="20"/>
            </w:pPr>
            <w:r w:rsidRPr="00DF5B4A">
              <w:t>AUV</w:t>
            </w:r>
          </w:p>
        </w:tc>
        <w:tc>
          <w:tcPr>
            <w:tcW w:w="1306" w:type="pct"/>
            <w:tcBorders>
              <w:top w:val="single" w:sz="4" w:space="0" w:color="auto"/>
              <w:bottom w:val="single" w:sz="4" w:space="0" w:color="auto"/>
            </w:tcBorders>
          </w:tcPr>
          <w:p w:rsidR="00693EE4" w:rsidRPr="00DF5B4A" w:rsidRDefault="00693EE4" w:rsidP="00ED5FDE">
            <w:pPr>
              <w:pStyle w:val="TableTextRightBold-BP3"/>
              <w:spacing w:before="20" w:after="20"/>
              <w:rPr>
                <w:sz w:val="20"/>
              </w:rPr>
            </w:pPr>
          </w:p>
        </w:tc>
        <w:tc>
          <w:tcPr>
            <w:tcW w:w="1410" w:type="pct"/>
            <w:tcBorders>
              <w:top w:val="single" w:sz="4" w:space="0" w:color="auto"/>
              <w:bottom w:val="single" w:sz="4" w:space="0" w:color="auto"/>
            </w:tcBorders>
          </w:tcPr>
          <w:p w:rsidR="00693EE4" w:rsidRPr="00DF5B4A" w:rsidRDefault="00693EE4" w:rsidP="00ED5FDE">
            <w:pPr>
              <w:pStyle w:val="TableTextRightBold-BP3"/>
              <w:spacing w:before="20" w:after="20"/>
              <w:rPr>
                <w:sz w:val="20"/>
              </w:rPr>
            </w:pPr>
            <w:r w:rsidRPr="00DF5B4A">
              <w:rPr>
                <w:sz w:val="20"/>
              </w:rPr>
              <w:t>Residential</w:t>
            </w:r>
          </w:p>
        </w:tc>
      </w:tr>
      <w:tr w:rsidR="00693EE4" w:rsidRPr="00DF5B4A" w:rsidTr="00ED5FDE">
        <w:trPr>
          <w:trHeight w:val="170"/>
          <w:jc w:val="center"/>
        </w:trPr>
        <w:tc>
          <w:tcPr>
            <w:tcW w:w="2284" w:type="pct"/>
            <w:tcBorders>
              <w:top w:val="single" w:sz="4" w:space="0" w:color="auto"/>
            </w:tcBorders>
          </w:tcPr>
          <w:p w:rsidR="00693EE4" w:rsidRPr="00DF5B4A" w:rsidRDefault="00693EE4" w:rsidP="00ED5FDE">
            <w:pPr>
              <w:pStyle w:val="TableTextLeft-BP3"/>
            </w:pPr>
            <w:r w:rsidRPr="00DF5B4A">
              <w:t>up to $75,000</w:t>
            </w:r>
          </w:p>
        </w:tc>
        <w:tc>
          <w:tcPr>
            <w:tcW w:w="1306" w:type="pct"/>
            <w:tcBorders>
              <w:top w:val="single" w:sz="4" w:space="0" w:color="auto"/>
            </w:tcBorders>
          </w:tcPr>
          <w:p w:rsidR="00693EE4" w:rsidRPr="00DF5B4A" w:rsidRDefault="00693EE4" w:rsidP="00ED5FDE">
            <w:pPr>
              <w:pStyle w:val="TableTextNumbers"/>
              <w:spacing w:before="20" w:after="20"/>
              <w:rPr>
                <w:sz w:val="20"/>
                <w:szCs w:val="20"/>
              </w:rPr>
            </w:pPr>
          </w:p>
        </w:tc>
        <w:tc>
          <w:tcPr>
            <w:tcW w:w="1410" w:type="pct"/>
            <w:tcBorders>
              <w:top w:val="single" w:sz="4" w:space="0" w:color="auto"/>
            </w:tcBorders>
          </w:tcPr>
          <w:p w:rsidR="00693EE4" w:rsidRPr="00DF5B4A" w:rsidRDefault="00693EE4" w:rsidP="00ED5FDE">
            <w:pPr>
              <w:pStyle w:val="TableTextNumbers"/>
              <w:spacing w:before="20" w:after="20"/>
              <w:rPr>
                <w:sz w:val="20"/>
                <w:szCs w:val="20"/>
              </w:rPr>
            </w:pPr>
            <w:r w:rsidRPr="00DF5B4A">
              <w:rPr>
                <w:sz w:val="20"/>
                <w:szCs w:val="20"/>
              </w:rPr>
              <w:t>0.60%</w:t>
            </w:r>
          </w:p>
        </w:tc>
      </w:tr>
      <w:tr w:rsidR="00693EE4" w:rsidRPr="00DF5B4A" w:rsidTr="00ED5FDE">
        <w:trPr>
          <w:trHeight w:val="170"/>
          <w:jc w:val="center"/>
        </w:trPr>
        <w:tc>
          <w:tcPr>
            <w:tcW w:w="2284" w:type="pct"/>
          </w:tcPr>
          <w:p w:rsidR="00693EE4" w:rsidRPr="00DF5B4A" w:rsidRDefault="00693EE4" w:rsidP="00ED5FDE">
            <w:pPr>
              <w:pStyle w:val="TableTextLeft-BP3"/>
            </w:pPr>
            <w:r w:rsidRPr="00DF5B4A">
              <w:t>$75,001 up to $150,000</w:t>
            </w:r>
          </w:p>
        </w:tc>
        <w:tc>
          <w:tcPr>
            <w:tcW w:w="1306" w:type="pct"/>
          </w:tcPr>
          <w:p w:rsidR="00693EE4" w:rsidRPr="00DF5B4A" w:rsidRDefault="00693EE4" w:rsidP="00ED5FDE">
            <w:pPr>
              <w:pStyle w:val="TableTextNumbers"/>
              <w:spacing w:before="20" w:after="20"/>
              <w:rPr>
                <w:sz w:val="20"/>
                <w:szCs w:val="20"/>
              </w:rPr>
            </w:pPr>
          </w:p>
        </w:tc>
        <w:tc>
          <w:tcPr>
            <w:tcW w:w="1410" w:type="pct"/>
          </w:tcPr>
          <w:p w:rsidR="00693EE4" w:rsidRPr="00DF5B4A" w:rsidRDefault="00693EE4" w:rsidP="00ED5FDE">
            <w:pPr>
              <w:pStyle w:val="TableTextNumbers"/>
              <w:spacing w:before="20" w:after="20"/>
              <w:rPr>
                <w:sz w:val="20"/>
                <w:szCs w:val="20"/>
              </w:rPr>
            </w:pPr>
            <w:r w:rsidRPr="00DF5B4A">
              <w:rPr>
                <w:sz w:val="20"/>
                <w:szCs w:val="20"/>
              </w:rPr>
              <w:t>0.70%</w:t>
            </w:r>
          </w:p>
        </w:tc>
      </w:tr>
      <w:tr w:rsidR="00693EE4" w:rsidRPr="00DF5B4A" w:rsidTr="00ED5FDE">
        <w:trPr>
          <w:trHeight w:val="170"/>
          <w:jc w:val="center"/>
        </w:trPr>
        <w:tc>
          <w:tcPr>
            <w:tcW w:w="2284" w:type="pct"/>
          </w:tcPr>
          <w:p w:rsidR="00693EE4" w:rsidRPr="00DF5B4A" w:rsidRDefault="00693EE4" w:rsidP="00ED5FDE">
            <w:pPr>
              <w:pStyle w:val="TableTextLeft-BP3"/>
            </w:pPr>
            <w:r w:rsidRPr="00DF5B4A">
              <w:t>$150,001 up to $275,000</w:t>
            </w:r>
          </w:p>
        </w:tc>
        <w:tc>
          <w:tcPr>
            <w:tcW w:w="1306" w:type="pct"/>
          </w:tcPr>
          <w:p w:rsidR="00693EE4" w:rsidRPr="00DF5B4A" w:rsidRDefault="00693EE4" w:rsidP="00ED5FDE">
            <w:pPr>
              <w:pStyle w:val="TableTextNumbers"/>
              <w:spacing w:before="20" w:after="20"/>
              <w:rPr>
                <w:sz w:val="20"/>
                <w:szCs w:val="20"/>
              </w:rPr>
            </w:pPr>
          </w:p>
        </w:tc>
        <w:tc>
          <w:tcPr>
            <w:tcW w:w="1410" w:type="pct"/>
          </w:tcPr>
          <w:p w:rsidR="00693EE4" w:rsidRPr="00DF5B4A" w:rsidRDefault="00693EE4" w:rsidP="00ED5FDE">
            <w:pPr>
              <w:pStyle w:val="TableTextNumbers"/>
              <w:spacing w:before="20" w:after="20"/>
              <w:rPr>
                <w:sz w:val="20"/>
                <w:szCs w:val="20"/>
              </w:rPr>
            </w:pPr>
            <w:r w:rsidRPr="00DF5B4A">
              <w:rPr>
                <w:sz w:val="20"/>
                <w:szCs w:val="20"/>
              </w:rPr>
              <w:t>0.89%</w:t>
            </w:r>
          </w:p>
        </w:tc>
      </w:tr>
      <w:tr w:rsidR="00693EE4" w:rsidRPr="00DF5B4A" w:rsidTr="00ED5FDE">
        <w:trPr>
          <w:trHeight w:val="170"/>
          <w:jc w:val="center"/>
        </w:trPr>
        <w:tc>
          <w:tcPr>
            <w:tcW w:w="2284" w:type="pct"/>
          </w:tcPr>
          <w:p w:rsidR="00693EE4" w:rsidRPr="00DF5B4A" w:rsidRDefault="00693EE4" w:rsidP="00ED5FDE">
            <w:pPr>
              <w:pStyle w:val="TableTextLeft-BP3"/>
            </w:pPr>
            <w:r w:rsidRPr="00DF5B4A">
              <w:t>$275,001 and above</w:t>
            </w:r>
          </w:p>
        </w:tc>
        <w:tc>
          <w:tcPr>
            <w:tcW w:w="1306" w:type="pct"/>
          </w:tcPr>
          <w:p w:rsidR="00693EE4" w:rsidRPr="00DF5B4A" w:rsidRDefault="00693EE4" w:rsidP="00ED5FDE">
            <w:pPr>
              <w:pStyle w:val="TableTextNumbers"/>
              <w:keepNext/>
              <w:keepLines/>
              <w:spacing w:before="20" w:after="20"/>
              <w:rPr>
                <w:sz w:val="20"/>
                <w:szCs w:val="20"/>
              </w:rPr>
            </w:pPr>
          </w:p>
        </w:tc>
        <w:tc>
          <w:tcPr>
            <w:tcW w:w="1410" w:type="pct"/>
          </w:tcPr>
          <w:p w:rsidR="00693EE4" w:rsidRPr="00DF5B4A" w:rsidRDefault="00693EE4" w:rsidP="00ED5FDE">
            <w:pPr>
              <w:pStyle w:val="TableTextNumbers"/>
              <w:spacing w:before="20" w:after="20"/>
              <w:rPr>
                <w:sz w:val="20"/>
                <w:szCs w:val="20"/>
              </w:rPr>
            </w:pPr>
            <w:r w:rsidRPr="00DF5B4A">
              <w:rPr>
                <w:sz w:val="20"/>
                <w:szCs w:val="20"/>
              </w:rPr>
              <w:t>1.80%</w:t>
            </w:r>
          </w:p>
        </w:tc>
      </w:tr>
    </w:tbl>
    <w:p w:rsidR="00693EE4" w:rsidRPr="00DF5B4A" w:rsidRDefault="00693EE4" w:rsidP="00693EE4">
      <w:pPr>
        <w:pStyle w:val="BodyText"/>
        <w:rPr>
          <w:color w:val="000000"/>
        </w:rPr>
      </w:pPr>
      <w:r w:rsidRPr="00DF5B4A">
        <w:rPr>
          <w:color w:val="000000"/>
        </w:rPr>
        <w:t>The estimated outcome from land tax revenue is $69.</w:t>
      </w:r>
      <w:r w:rsidR="00ED5FDE">
        <w:rPr>
          <w:color w:val="000000"/>
        </w:rPr>
        <w:t>6</w:t>
      </w:r>
      <w:r w:rsidRPr="00DF5B4A">
        <w:rPr>
          <w:color w:val="000000"/>
        </w:rPr>
        <w:t> million in 2012-13 and is estimated to increase to $72.9 million in 2013-14 due to an increase in property AUV and new property growth.</w:t>
      </w:r>
    </w:p>
    <w:p w:rsidR="00693EE4" w:rsidRPr="00153F95" w:rsidRDefault="00693EE4" w:rsidP="00153F95">
      <w:pPr>
        <w:pStyle w:val="Heading4"/>
      </w:pPr>
      <w:r w:rsidRPr="00153F95">
        <w:t>Duty on Conveyances</w:t>
      </w:r>
    </w:p>
    <w:p w:rsidR="00693EE4" w:rsidRPr="00DF5B4A" w:rsidRDefault="00693EE4" w:rsidP="00693EE4">
      <w:pPr>
        <w:pStyle w:val="BodyText"/>
      </w:pPr>
      <w:r w:rsidRPr="00DF5B4A">
        <w:t xml:space="preserve">Duty is levied on the agreement for sale or transfer of land, a Crown lease or a land use entitlement located in the ACT.  The conveyance rates up until 4 June 2013 range from $2.40 to $7.25 per $100, or part thereof.  From 5 June 2013, the conveyance duty thresholds and rates will change.  </w:t>
      </w:r>
      <w:r w:rsidR="00ED5FDE" w:rsidRPr="00DF5B4A">
        <w:t>Table </w:t>
      </w:r>
      <w:r w:rsidR="00ED5FDE">
        <w:t>3</w:t>
      </w:r>
      <w:r w:rsidR="00ED5FDE" w:rsidRPr="00DF5B4A">
        <w:t>.1.7</w:t>
      </w:r>
      <w:r w:rsidR="00ED5FDE">
        <w:t xml:space="preserve"> outlines the</w:t>
      </w:r>
      <w:r w:rsidRPr="00DF5B4A">
        <w:t xml:space="preserve"> new duty thresholds and rates.</w:t>
      </w:r>
    </w:p>
    <w:p w:rsidR="00693EE4" w:rsidRPr="00DF5B4A" w:rsidRDefault="00693EE4" w:rsidP="00BD38E0">
      <w:pPr>
        <w:pStyle w:val="TableNumber"/>
        <w:spacing w:before="120"/>
      </w:pPr>
      <w:r w:rsidRPr="00DF5B4A">
        <w:t xml:space="preserve">Table </w:t>
      </w:r>
      <w:r w:rsidR="00ED5FDE">
        <w:t>3</w:t>
      </w:r>
      <w:r w:rsidRPr="00DF5B4A">
        <w:t>.1.7</w:t>
      </w:r>
    </w:p>
    <w:p w:rsidR="00693EE4" w:rsidRPr="00DF5B4A" w:rsidRDefault="00693EE4" w:rsidP="00693EE4">
      <w:pPr>
        <w:pStyle w:val="TableName"/>
      </w:pPr>
      <w:r w:rsidRPr="00DF5B4A">
        <w:t>Conveyance Duty Thresholds and Rates</w:t>
      </w:r>
    </w:p>
    <w:tbl>
      <w:tblPr>
        <w:tblW w:w="9100" w:type="dxa"/>
        <w:jc w:val="center"/>
        <w:tblLayout w:type="fixed"/>
        <w:tblCellMar>
          <w:left w:w="0" w:type="dxa"/>
          <w:right w:w="0" w:type="dxa"/>
        </w:tblCellMar>
        <w:tblLook w:val="04A0"/>
      </w:tblPr>
      <w:tblGrid>
        <w:gridCol w:w="2729"/>
        <w:gridCol w:w="1639"/>
        <w:gridCol w:w="1455"/>
        <w:gridCol w:w="1638"/>
        <w:gridCol w:w="1639"/>
      </w:tblGrid>
      <w:tr w:rsidR="00693EE4" w:rsidRPr="00DF5B4A" w:rsidTr="00ED5FDE">
        <w:trPr>
          <w:trHeight w:val="201"/>
          <w:jc w:val="center"/>
        </w:trPr>
        <w:tc>
          <w:tcPr>
            <w:tcW w:w="2312" w:type="dxa"/>
            <w:tcBorders>
              <w:top w:val="single" w:sz="4" w:space="0" w:color="auto"/>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TableTextLeftBold-BP3"/>
              <w:spacing w:before="20" w:after="20"/>
              <w:rPr>
                <w:rFonts w:cs="Calibri"/>
              </w:rPr>
            </w:pPr>
            <w:r w:rsidRPr="00DF5B4A">
              <w:rPr>
                <w:rFonts w:cs="Calibri"/>
              </w:rPr>
              <w:t>Thresholds</w:t>
            </w:r>
          </w:p>
        </w:tc>
        <w:tc>
          <w:tcPr>
            <w:tcW w:w="1389" w:type="dxa"/>
            <w:tcBorders>
              <w:top w:val="single" w:sz="4" w:space="0" w:color="auto"/>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b/>
                <w:color w:val="000000"/>
                <w:sz w:val="20"/>
              </w:rPr>
              <w:t>2013-14</w:t>
            </w:r>
          </w:p>
        </w:tc>
        <w:tc>
          <w:tcPr>
            <w:tcW w:w="1233" w:type="dxa"/>
            <w:tcBorders>
              <w:top w:val="single" w:sz="4" w:space="0" w:color="auto"/>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hanging="360"/>
              <w:jc w:val="right"/>
              <w:rPr>
                <w:rFonts w:cs="Calibri"/>
                <w:b/>
                <w:bCs/>
                <w:color w:val="000000"/>
                <w:sz w:val="20"/>
              </w:rPr>
            </w:pPr>
            <w:r w:rsidRPr="00DF5B4A">
              <w:rPr>
                <w:rFonts w:cs="Calibri"/>
                <w:b/>
                <w:color w:val="000000"/>
                <w:sz w:val="20"/>
              </w:rPr>
              <w:t>2014-15</w:t>
            </w:r>
          </w:p>
        </w:tc>
        <w:tc>
          <w:tcPr>
            <w:tcW w:w="1388" w:type="dxa"/>
            <w:tcBorders>
              <w:top w:val="single" w:sz="4" w:space="0" w:color="auto"/>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b/>
                <w:color w:val="000000"/>
                <w:sz w:val="20"/>
              </w:rPr>
              <w:t>2015-16</w:t>
            </w:r>
          </w:p>
        </w:tc>
        <w:tc>
          <w:tcPr>
            <w:tcW w:w="1389" w:type="dxa"/>
            <w:tcBorders>
              <w:top w:val="single" w:sz="4" w:space="0" w:color="auto"/>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b/>
                <w:color w:val="000000"/>
                <w:sz w:val="20"/>
              </w:rPr>
              <w:t>2016-17</w:t>
            </w:r>
          </w:p>
        </w:tc>
      </w:tr>
      <w:tr w:rsidR="00693EE4" w:rsidRPr="00DF5B4A" w:rsidTr="00ED5FDE">
        <w:trPr>
          <w:trHeight w:val="257"/>
          <w:jc w:val="center"/>
        </w:trPr>
        <w:tc>
          <w:tcPr>
            <w:tcW w:w="2312" w:type="dxa"/>
            <w:tcBorders>
              <w:top w:val="single" w:sz="4" w:space="0" w:color="auto"/>
            </w:tcBorders>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Up to $200,000</w:t>
            </w:r>
          </w:p>
        </w:tc>
        <w:tc>
          <w:tcPr>
            <w:tcW w:w="1389" w:type="dxa"/>
            <w:tcBorders>
              <w:top w:val="single" w:sz="4" w:space="0" w:color="auto"/>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2.20%</w:t>
            </w:r>
          </w:p>
        </w:tc>
        <w:tc>
          <w:tcPr>
            <w:tcW w:w="1233" w:type="dxa"/>
            <w:tcBorders>
              <w:top w:val="single" w:sz="4" w:space="0" w:color="auto"/>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2.00%</w:t>
            </w:r>
          </w:p>
        </w:tc>
        <w:tc>
          <w:tcPr>
            <w:tcW w:w="1388" w:type="dxa"/>
            <w:tcBorders>
              <w:top w:val="single" w:sz="4" w:space="0" w:color="auto"/>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1.80%</w:t>
            </w:r>
          </w:p>
        </w:tc>
        <w:tc>
          <w:tcPr>
            <w:tcW w:w="1389" w:type="dxa"/>
            <w:tcBorders>
              <w:top w:val="single" w:sz="4" w:space="0" w:color="auto"/>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1.48%</w:t>
            </w:r>
          </w:p>
        </w:tc>
      </w:tr>
      <w:tr w:rsidR="00693EE4" w:rsidRPr="00DF5B4A" w:rsidTr="00ED5FDE">
        <w:trPr>
          <w:trHeight w:val="304"/>
          <w:jc w:val="center"/>
        </w:trPr>
        <w:tc>
          <w:tcPr>
            <w:tcW w:w="2312" w:type="dxa"/>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$200,001 to $300,000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3.70%</w:t>
            </w:r>
          </w:p>
        </w:tc>
        <w:tc>
          <w:tcPr>
            <w:tcW w:w="1233"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3.50%</w:t>
            </w:r>
          </w:p>
        </w:tc>
        <w:tc>
          <w:tcPr>
            <w:tcW w:w="1388"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3.00%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2.50%</w:t>
            </w:r>
          </w:p>
        </w:tc>
      </w:tr>
      <w:tr w:rsidR="00693EE4" w:rsidRPr="00DF5B4A" w:rsidTr="00ED5FDE">
        <w:trPr>
          <w:trHeight w:val="304"/>
          <w:jc w:val="center"/>
        </w:trPr>
        <w:tc>
          <w:tcPr>
            <w:tcW w:w="2312" w:type="dxa"/>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$300,001 to $500,000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4.50%</w:t>
            </w:r>
          </w:p>
        </w:tc>
        <w:tc>
          <w:tcPr>
            <w:tcW w:w="1233"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4.15%</w:t>
            </w:r>
          </w:p>
        </w:tc>
        <w:tc>
          <w:tcPr>
            <w:tcW w:w="1388"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4.00%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4.00%</w:t>
            </w:r>
          </w:p>
        </w:tc>
      </w:tr>
      <w:tr w:rsidR="00693EE4" w:rsidRPr="00DF5B4A" w:rsidTr="00ED5FDE">
        <w:trPr>
          <w:trHeight w:val="309"/>
          <w:jc w:val="center"/>
        </w:trPr>
        <w:tc>
          <w:tcPr>
            <w:tcW w:w="2312" w:type="dxa"/>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$500,001 to $750,000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5.00%</w:t>
            </w:r>
          </w:p>
        </w:tc>
        <w:tc>
          <w:tcPr>
            <w:tcW w:w="1233"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5.00%</w:t>
            </w:r>
          </w:p>
        </w:tc>
        <w:tc>
          <w:tcPr>
            <w:tcW w:w="1388"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5.00%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5.00%</w:t>
            </w:r>
          </w:p>
        </w:tc>
      </w:tr>
      <w:tr w:rsidR="00693EE4" w:rsidRPr="00DF5B4A" w:rsidTr="00ED5FDE">
        <w:trPr>
          <w:trHeight w:val="309"/>
          <w:jc w:val="center"/>
        </w:trPr>
        <w:tc>
          <w:tcPr>
            <w:tcW w:w="2312" w:type="dxa"/>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$750,001 to $1,000,000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6.50%</w:t>
            </w:r>
          </w:p>
        </w:tc>
        <w:tc>
          <w:tcPr>
            <w:tcW w:w="1233"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6.50%</w:t>
            </w:r>
          </w:p>
        </w:tc>
        <w:tc>
          <w:tcPr>
            <w:tcW w:w="1388"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6.50%</w:t>
            </w:r>
          </w:p>
        </w:tc>
        <w:tc>
          <w:tcPr>
            <w:tcW w:w="1389" w:type="dxa"/>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
                <w:bCs/>
                <w:color w:val="000000"/>
                <w:sz w:val="20"/>
              </w:rPr>
            </w:pPr>
            <w:r w:rsidRPr="00DF5B4A">
              <w:rPr>
                <w:rFonts w:cs="Calibri"/>
                <w:color w:val="000000"/>
                <w:sz w:val="20"/>
              </w:rPr>
              <w:t>6.50%</w:t>
            </w:r>
          </w:p>
        </w:tc>
      </w:tr>
      <w:tr w:rsidR="00693EE4" w:rsidRPr="00DF5B4A" w:rsidTr="00ED5FDE">
        <w:trPr>
          <w:trHeight w:val="304"/>
          <w:jc w:val="center"/>
        </w:trPr>
        <w:tc>
          <w:tcPr>
            <w:tcW w:w="2312" w:type="dxa"/>
            <w:tcBorders>
              <w:top w:val="nil"/>
              <w:left w:val="nil"/>
              <w:right w:val="nil"/>
            </w:tcBorders>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$1,000,001 to $1,649,999</w:t>
            </w:r>
          </w:p>
        </w:tc>
        <w:tc>
          <w:tcPr>
            <w:tcW w:w="1389" w:type="dxa"/>
            <w:tcBorders>
              <w:top w:val="nil"/>
              <w:left w:val="nil"/>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color w:val="000000"/>
                <w:sz w:val="20"/>
              </w:rPr>
            </w:pPr>
            <w:r w:rsidRPr="00DF5B4A">
              <w:rPr>
                <w:rFonts w:cs="Calibri"/>
                <w:color w:val="000000"/>
                <w:sz w:val="20"/>
              </w:rPr>
              <w:t>7.00%</w:t>
            </w:r>
          </w:p>
        </w:tc>
        <w:tc>
          <w:tcPr>
            <w:tcW w:w="1233" w:type="dxa"/>
            <w:tcBorders>
              <w:top w:val="nil"/>
              <w:left w:val="nil"/>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color w:val="000000"/>
                <w:sz w:val="20"/>
              </w:rPr>
            </w:pPr>
            <w:r w:rsidRPr="00DF5B4A">
              <w:rPr>
                <w:rFonts w:cs="Calibri"/>
                <w:color w:val="000000"/>
                <w:sz w:val="20"/>
              </w:rPr>
              <w:t>7.00%</w:t>
            </w:r>
          </w:p>
        </w:tc>
        <w:tc>
          <w:tcPr>
            <w:tcW w:w="1388" w:type="dxa"/>
            <w:tcBorders>
              <w:top w:val="nil"/>
              <w:left w:val="nil"/>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color w:val="000000"/>
                <w:sz w:val="20"/>
              </w:rPr>
            </w:pPr>
            <w:r w:rsidRPr="00DF5B4A">
              <w:rPr>
                <w:rFonts w:cs="Calibri"/>
                <w:color w:val="000000"/>
                <w:sz w:val="20"/>
              </w:rPr>
              <w:t>7.00%</w:t>
            </w:r>
          </w:p>
        </w:tc>
        <w:tc>
          <w:tcPr>
            <w:tcW w:w="1389" w:type="dxa"/>
            <w:tcBorders>
              <w:top w:val="nil"/>
              <w:left w:val="nil"/>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color w:val="000000"/>
                <w:sz w:val="20"/>
              </w:rPr>
            </w:pPr>
            <w:r w:rsidRPr="00DF5B4A">
              <w:rPr>
                <w:rFonts w:cs="Calibri"/>
                <w:color w:val="000000"/>
                <w:sz w:val="20"/>
              </w:rPr>
              <w:t>7.00%</w:t>
            </w:r>
          </w:p>
        </w:tc>
      </w:tr>
      <w:tr w:rsidR="00693EE4" w:rsidRPr="00DF5B4A" w:rsidTr="00ED5FDE">
        <w:trPr>
          <w:trHeight w:val="304"/>
          <w:jc w:val="center"/>
        </w:trPr>
        <w:tc>
          <w:tcPr>
            <w:tcW w:w="2312" w:type="dxa"/>
            <w:tcBorders>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TableTextLeftBold-BP3"/>
              <w:spacing w:before="20" w:after="20"/>
              <w:rPr>
                <w:b w:val="0"/>
              </w:rPr>
            </w:pPr>
            <w:r w:rsidRPr="00DF5B4A">
              <w:rPr>
                <w:b w:val="0"/>
              </w:rPr>
              <w:t>$1,650,000 and above</w:t>
            </w:r>
          </w:p>
        </w:tc>
        <w:tc>
          <w:tcPr>
            <w:tcW w:w="1389" w:type="dxa"/>
            <w:tcBorders>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Cs/>
                <w:color w:val="000000"/>
                <w:sz w:val="20"/>
              </w:rPr>
            </w:pPr>
            <w:r w:rsidRPr="00DF5B4A">
              <w:rPr>
                <w:rFonts w:cs="Calibri"/>
                <w:bCs/>
                <w:color w:val="000000"/>
                <w:sz w:val="20"/>
              </w:rPr>
              <w:t>5.5%*</w:t>
            </w:r>
          </w:p>
        </w:tc>
        <w:tc>
          <w:tcPr>
            <w:tcW w:w="1233" w:type="dxa"/>
            <w:tcBorders>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Cs/>
                <w:color w:val="000000"/>
                <w:sz w:val="20"/>
              </w:rPr>
            </w:pPr>
            <w:r w:rsidRPr="00DF5B4A">
              <w:rPr>
                <w:rFonts w:cs="Calibri"/>
                <w:bCs/>
                <w:color w:val="000000"/>
                <w:sz w:val="20"/>
              </w:rPr>
              <w:t>5.5%*</w:t>
            </w:r>
          </w:p>
        </w:tc>
        <w:tc>
          <w:tcPr>
            <w:tcW w:w="1388" w:type="dxa"/>
            <w:tcBorders>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Cs/>
                <w:color w:val="000000"/>
                <w:sz w:val="20"/>
              </w:rPr>
            </w:pPr>
            <w:r w:rsidRPr="00DF5B4A">
              <w:rPr>
                <w:rFonts w:cs="Calibri"/>
                <w:bCs/>
                <w:color w:val="000000"/>
                <w:sz w:val="20"/>
              </w:rPr>
              <w:t>5.5%*</w:t>
            </w:r>
          </w:p>
        </w:tc>
        <w:tc>
          <w:tcPr>
            <w:tcW w:w="1389" w:type="dxa"/>
            <w:tcBorders>
              <w:left w:val="nil"/>
              <w:bottom w:val="single" w:sz="4" w:space="0" w:color="auto"/>
              <w:right w:val="nil"/>
            </w:tcBorders>
            <w:tcMar>
              <w:top w:w="0" w:type="dxa"/>
              <w:left w:w="108" w:type="dxa"/>
              <w:bottom w:w="0" w:type="dxa"/>
              <w:right w:w="108" w:type="dxa"/>
            </w:tcMar>
            <w:hideMark/>
          </w:tcPr>
          <w:p w:rsidR="00693EE4" w:rsidRPr="00DF5B4A" w:rsidRDefault="00693EE4" w:rsidP="00ED5FDE">
            <w:pPr>
              <w:pStyle w:val="ListBullet"/>
              <w:numPr>
                <w:ilvl w:val="0"/>
                <w:numId w:val="0"/>
              </w:numPr>
              <w:spacing w:line="276" w:lineRule="auto"/>
              <w:ind w:left="360"/>
              <w:jc w:val="right"/>
              <w:rPr>
                <w:rFonts w:cs="Calibri"/>
                <w:bCs/>
                <w:color w:val="000000"/>
                <w:sz w:val="20"/>
              </w:rPr>
            </w:pPr>
            <w:r w:rsidRPr="00DF5B4A">
              <w:rPr>
                <w:rFonts w:cs="Calibri"/>
                <w:bCs/>
                <w:color w:val="000000"/>
                <w:sz w:val="20"/>
              </w:rPr>
              <w:t>5.5%*</w:t>
            </w:r>
          </w:p>
        </w:tc>
      </w:tr>
    </w:tbl>
    <w:p w:rsidR="00693EE4" w:rsidRPr="00ED5FDE" w:rsidRDefault="00693EE4" w:rsidP="00693EE4">
      <w:pPr>
        <w:pStyle w:val="BodyText"/>
        <w:keepNext w:val="0"/>
        <w:keepLines w:val="0"/>
        <w:rPr>
          <w:sz w:val="16"/>
          <w:szCs w:val="16"/>
        </w:rPr>
      </w:pPr>
      <w:r w:rsidRPr="00ED5FDE">
        <w:rPr>
          <w:b/>
          <w:sz w:val="16"/>
          <w:szCs w:val="16"/>
        </w:rPr>
        <w:t>* Note:</w:t>
      </w:r>
      <w:r w:rsidRPr="00ED5FDE">
        <w:rPr>
          <w:sz w:val="16"/>
          <w:szCs w:val="16"/>
        </w:rPr>
        <w:t xml:space="preserve"> the 5.5% rate is a flat rate.</w:t>
      </w:r>
    </w:p>
    <w:p w:rsidR="00693EE4" w:rsidRPr="00DF5B4A" w:rsidRDefault="00693EE4" w:rsidP="00693EE4">
      <w:pPr>
        <w:pStyle w:val="BodyText"/>
        <w:keepNext w:val="0"/>
        <w:keepLines w:val="0"/>
      </w:pPr>
      <w:r w:rsidRPr="00ED5FDE">
        <w:lastRenderedPageBreak/>
        <w:t xml:space="preserve">A new </w:t>
      </w:r>
      <w:r w:rsidRPr="00D45AEA">
        <w:t>threshold of $1.65</w:t>
      </w:r>
      <w:r w:rsidR="00785490">
        <w:t>0</w:t>
      </w:r>
      <w:r w:rsidRPr="00D45AEA">
        <w:t> million</w:t>
      </w:r>
      <w:r w:rsidRPr="00ED5FDE">
        <w:t xml:space="preserve"> will be introduced</w:t>
      </w:r>
      <w:r w:rsidR="003C17CC">
        <w:t xml:space="preserve">, </w:t>
      </w:r>
      <w:r w:rsidR="00D45AEA">
        <w:t>effective 5 June </w:t>
      </w:r>
      <w:r w:rsidRPr="00ED5FDE">
        <w:t>2013.  Properties valued</w:t>
      </w:r>
      <w:r w:rsidRPr="00DF5B4A">
        <w:t xml:space="preserve"> at and above $1.65</w:t>
      </w:r>
      <w:r w:rsidR="00785490">
        <w:t>0</w:t>
      </w:r>
      <w:r w:rsidRPr="00DF5B4A">
        <w:t xml:space="preserve"> million will have duty determined at a flat rate of 5.5 per cent.  The progressive rate scale will continue to apply to properties below $1.65</w:t>
      </w:r>
      <w:r w:rsidR="00785490">
        <w:t>0</w:t>
      </w:r>
      <w:r w:rsidRPr="00DF5B4A">
        <w:t> million.</w:t>
      </w:r>
    </w:p>
    <w:p w:rsidR="00D25DF4" w:rsidRDefault="006654C8" w:rsidP="00693EE4">
      <w:pPr>
        <w:pStyle w:val="BodyText"/>
        <w:keepNext w:val="0"/>
        <w:keepLines w:val="0"/>
      </w:pPr>
      <w:r w:rsidRPr="00BD38E0">
        <w:t>With this change, the ACT will go from having the highest top rate for large properties in Australia to an effective rate aligned to other jurisdictions.  This will ensure the Territory is competitive with other jurisdictions.</w:t>
      </w:r>
    </w:p>
    <w:p w:rsidR="00693EE4" w:rsidRPr="00DF5B4A" w:rsidRDefault="00693EE4" w:rsidP="00693EE4">
      <w:pPr>
        <w:pStyle w:val="BodyText"/>
        <w:keepNext w:val="0"/>
        <w:keepLines w:val="0"/>
      </w:pPr>
      <w:r w:rsidRPr="00DF5B4A">
        <w:t xml:space="preserve">The duty rates are generally applied to the transfer value of the property.  A concessional rate applies for persons qualifying under the ACT Home Buyer Concession Scheme and for pensioners </w:t>
      </w:r>
      <w:r w:rsidRPr="00785490">
        <w:t xml:space="preserve">qualifying under the ACT Pensioner Duty Concession Scheme.  For changes to the Home Buyer Concession Scheme, see Chapter </w:t>
      </w:r>
      <w:r w:rsidR="00785490" w:rsidRPr="00785490">
        <w:t>3.3</w:t>
      </w:r>
      <w:r w:rsidRPr="00785490">
        <w:t>.</w:t>
      </w:r>
    </w:p>
    <w:p w:rsidR="00693EE4" w:rsidRPr="00DF5B4A" w:rsidRDefault="00693EE4" w:rsidP="00BD38E0">
      <w:pPr>
        <w:pStyle w:val="BodyText"/>
        <w:keepNext w:val="0"/>
      </w:pPr>
      <w:r w:rsidRPr="00DF5B4A">
        <w:t xml:space="preserve">The estimated outcome for 2012-13 </w:t>
      </w:r>
      <w:r w:rsidR="00D45AEA">
        <w:t xml:space="preserve">has </w:t>
      </w:r>
      <w:r w:rsidR="00D45AEA" w:rsidRPr="00DF5B4A">
        <w:t>decrease</w:t>
      </w:r>
      <w:r w:rsidR="00D45AEA">
        <w:t>d from the original budget</w:t>
      </w:r>
      <w:r w:rsidR="00D45AEA" w:rsidRPr="00DF5B4A">
        <w:t xml:space="preserve"> </w:t>
      </w:r>
      <w:r w:rsidR="00D45AEA">
        <w:t>of $272.6 </w:t>
      </w:r>
      <w:r w:rsidR="00D45AEA" w:rsidRPr="00DF5B4A">
        <w:t xml:space="preserve">million </w:t>
      </w:r>
      <w:r w:rsidR="00D45AEA">
        <w:t>by</w:t>
      </w:r>
      <w:r w:rsidR="00D45AEA" w:rsidRPr="00DF5B4A">
        <w:t xml:space="preserve"> $4</w:t>
      </w:r>
      <w:r w:rsidR="00D45AEA">
        <w:t>7</w:t>
      </w:r>
      <w:r w:rsidR="00D45AEA" w:rsidRPr="00DF5B4A">
        <w:t xml:space="preserve"> million </w:t>
      </w:r>
      <w:r w:rsidR="00D45AEA">
        <w:t>to</w:t>
      </w:r>
      <w:r w:rsidRPr="00DF5B4A">
        <w:t xml:space="preserve"> $225.7 million</w:t>
      </w:r>
      <w:r w:rsidR="00D45AEA">
        <w:t xml:space="preserve"> which </w:t>
      </w:r>
      <w:r w:rsidRPr="00DF5B4A">
        <w:t xml:space="preserve">reflects a softening in the property market. </w:t>
      </w:r>
    </w:p>
    <w:p w:rsidR="004A7E42" w:rsidRPr="00BD38E0" w:rsidRDefault="000D5F0C" w:rsidP="00BD38E0">
      <w:pPr>
        <w:pStyle w:val="BodyText"/>
        <w:keepNext w:val="0"/>
      </w:pPr>
      <w:r w:rsidRPr="000D5F0C">
        <w:t>Since the 2012-13 Budget Review expected revenue in 2012-13 has decreased by $59.7 million.  This variance is mainly dr</w:t>
      </w:r>
      <w:r>
        <w:t xml:space="preserve">iven by a forecast decrease in </w:t>
      </w:r>
      <w:r w:rsidRPr="000D5F0C">
        <w:t xml:space="preserve">conveyance revenue of $47 million.  </w:t>
      </w:r>
      <w:r w:rsidR="00BD38E0">
        <w:t xml:space="preserve">This is due to continued </w:t>
      </w:r>
      <w:r w:rsidR="006654C8" w:rsidRPr="00BD38E0">
        <w:t>softness in the property market and implementation of the new flat rate of 5.5 per cent on transactions above $1.650 million.  The Government is not seeking to recover th</w:t>
      </w:r>
      <w:r w:rsidR="005F7677" w:rsidRPr="00BD38E0">
        <w:t>e</w:t>
      </w:r>
      <w:r w:rsidR="006654C8" w:rsidRPr="00BD38E0">
        <w:t xml:space="preserve"> loss in revenue which has arisen because of current </w:t>
      </w:r>
      <w:r w:rsidR="005F7677" w:rsidRPr="00BD38E0">
        <w:t xml:space="preserve">conditions </w:t>
      </w:r>
      <w:r w:rsidR="006654C8" w:rsidRPr="00BD38E0">
        <w:t>in the property market.  Future increase</w:t>
      </w:r>
      <w:r w:rsidR="005F7677" w:rsidRPr="00BD38E0">
        <w:t>s</w:t>
      </w:r>
      <w:r w:rsidR="006654C8" w:rsidRPr="00BD38E0">
        <w:t xml:space="preserve"> in conveyance revenue are anticipated as turnover in the property market increases </w:t>
      </w:r>
      <w:r w:rsidR="005F7677" w:rsidRPr="00BD38E0">
        <w:t xml:space="preserve">in response to the </w:t>
      </w:r>
      <w:r w:rsidR="006654C8" w:rsidRPr="00BD38E0">
        <w:t>duty cuts and as market conditions improve</w:t>
      </w:r>
      <w:r w:rsidR="005F7677" w:rsidRPr="00BD38E0">
        <w:t xml:space="preserve"> more generally</w:t>
      </w:r>
      <w:r w:rsidR="006654C8" w:rsidRPr="00BD38E0">
        <w:t>.</w:t>
      </w:r>
    </w:p>
    <w:p w:rsidR="00693EE4" w:rsidRPr="00BD38E0" w:rsidRDefault="00693EE4" w:rsidP="00BD38E0">
      <w:pPr>
        <w:pStyle w:val="Heading4"/>
      </w:pPr>
      <w:r w:rsidRPr="00BD38E0">
        <w:t xml:space="preserve">Duty on General Insurance </w:t>
      </w:r>
    </w:p>
    <w:p w:rsidR="00693EE4" w:rsidRPr="00DF5B4A" w:rsidRDefault="00693EE4" w:rsidP="00BD38E0">
      <w:pPr>
        <w:pStyle w:val="BodyText"/>
        <w:keepNext w:val="0"/>
      </w:pPr>
      <w:r w:rsidRPr="00DF5B4A">
        <w:t>From 1 October 2012, general insurance premiums incur duty at the rate of 8 per cent of the net premiums received.  The duty rate will reduce to 6 per cent from 1 July 2013.  The estimated outcome for 2012-13 is $44.9 million and the forecast for 2013-14 is $35.4 million.</w:t>
      </w:r>
    </w:p>
    <w:p w:rsidR="00D45AEA" w:rsidRPr="00BD38E0" w:rsidRDefault="00693EE4" w:rsidP="00BD38E0">
      <w:pPr>
        <w:pStyle w:val="Heading4"/>
      </w:pPr>
      <w:r w:rsidRPr="00BD38E0">
        <w:t xml:space="preserve">Duty on Life Insurance </w:t>
      </w:r>
    </w:p>
    <w:p w:rsidR="00693EE4" w:rsidRPr="00D45AEA" w:rsidRDefault="00693EE4" w:rsidP="00BD38E0">
      <w:pPr>
        <w:pStyle w:val="Heading4"/>
        <w:keepNext w:val="0"/>
        <w:spacing w:before="0"/>
        <w:rPr>
          <w:i w:val="0"/>
        </w:rPr>
      </w:pPr>
      <w:r w:rsidRPr="00D45AEA">
        <w:rPr>
          <w:i w:val="0"/>
        </w:rPr>
        <w:t>Duty on life insurance contracts (including term, temporary or insurance rider policies) will be calculated until 30 June 2013 at the rate of 4 per cent of the first year's premium.  The duty rate will reduce to 3 per cent from 1 July 2013.</w:t>
      </w:r>
    </w:p>
    <w:p w:rsidR="00D45AEA" w:rsidRDefault="00693EE4" w:rsidP="00BD38E0">
      <w:pPr>
        <w:pStyle w:val="BodyText"/>
        <w:keepNext w:val="0"/>
      </w:pPr>
      <w:r w:rsidRPr="00DF5B4A">
        <w:t xml:space="preserve">Duty on all other life insurance contracts will be calculated until 30 June 2013 at the rate of 0.08 per cent of the total sum insured where the sum insured is greater than $2,000, and $0.80 for each contract where the sum insured is $2,000 or less.  </w:t>
      </w:r>
    </w:p>
    <w:p w:rsidR="00693EE4" w:rsidRPr="00DF5B4A" w:rsidRDefault="00693EE4" w:rsidP="00BD38E0">
      <w:pPr>
        <w:pStyle w:val="BodyText"/>
        <w:keepNext w:val="0"/>
      </w:pPr>
      <w:r w:rsidRPr="00DF5B4A">
        <w:t>From 1 July 2013 duty on all other life insurance contracts will reduce to 0.06 per cent of the total sum insured where the sum insured is greater than $2,000, and $0.60 for each contract where the sum insured is $2,000 or less.  Life insurance annuities are exempt from duty.</w:t>
      </w:r>
    </w:p>
    <w:p w:rsidR="00693EE4" w:rsidRPr="00DF5B4A" w:rsidRDefault="00693EE4" w:rsidP="00BD38E0">
      <w:pPr>
        <w:pStyle w:val="BodyText"/>
        <w:keepNext w:val="0"/>
      </w:pPr>
      <w:r w:rsidRPr="00DF5B4A">
        <w:t>The estimated outcome for 2012-13 is $2.1 million with $1.7 million forecast for 2013-14.</w:t>
      </w:r>
    </w:p>
    <w:p w:rsidR="00693EE4" w:rsidRPr="00BD38E0" w:rsidRDefault="00693EE4" w:rsidP="00BD38E0">
      <w:pPr>
        <w:pStyle w:val="Heading4"/>
      </w:pPr>
      <w:r w:rsidRPr="00BD38E0">
        <w:t>Duty on Motor Vehicle Registrations and Transfers</w:t>
      </w:r>
    </w:p>
    <w:p w:rsidR="00693EE4" w:rsidRPr="00DF5B4A" w:rsidRDefault="00693EE4" w:rsidP="00BD38E0">
      <w:pPr>
        <w:pStyle w:val="BodyText"/>
        <w:keepNext w:val="0"/>
        <w:keepLines w:val="0"/>
      </w:pPr>
      <w:r w:rsidRPr="00DF5B4A">
        <w:t>Duty is payable on an application to register a motor vehicle or to transfer its registration.</w:t>
      </w:r>
    </w:p>
    <w:p w:rsidR="00693EE4" w:rsidRPr="00DF5B4A" w:rsidRDefault="00693EE4" w:rsidP="00BD38E0">
      <w:pPr>
        <w:pStyle w:val="BodyText"/>
        <w:keepNext w:val="0"/>
        <w:keepLines w:val="0"/>
        <w:rPr>
          <w:color w:val="000000"/>
        </w:rPr>
      </w:pPr>
      <w:r w:rsidRPr="00DF5B4A">
        <w:lastRenderedPageBreak/>
        <w:t xml:space="preserve">The 2012-13 estimated </w:t>
      </w:r>
      <w:proofErr w:type="gramStart"/>
      <w:r w:rsidRPr="00DF5B4A">
        <w:t>outcome</w:t>
      </w:r>
      <w:proofErr w:type="gramEnd"/>
      <w:r w:rsidRPr="00DF5B4A">
        <w:t xml:space="preserve"> </w:t>
      </w:r>
      <w:r w:rsidR="00994B47" w:rsidRPr="00DF5B4A">
        <w:t>is $29.1 million</w:t>
      </w:r>
      <w:r w:rsidR="00994B47">
        <w:t>, a decrease of $2.1 million</w:t>
      </w:r>
      <w:r w:rsidR="00B46BCB">
        <w:t xml:space="preserve"> from the original budget </w:t>
      </w:r>
      <w:r w:rsidR="00B46BCB" w:rsidRPr="00DF5B4A">
        <w:t>reflect</w:t>
      </w:r>
      <w:r w:rsidR="00B46BCB">
        <w:t>ing</w:t>
      </w:r>
      <w:r w:rsidR="00B46BCB" w:rsidRPr="00DF5B4A">
        <w:t xml:space="preserve"> a softening in vehicle </w:t>
      </w:r>
      <w:r w:rsidR="00B46BCB" w:rsidRPr="00DF5B4A">
        <w:rPr>
          <w:color w:val="000000"/>
        </w:rPr>
        <w:t>sales</w:t>
      </w:r>
      <w:r w:rsidR="00B46BCB">
        <w:rPr>
          <w:color w:val="000000"/>
        </w:rPr>
        <w:t>,</w:t>
      </w:r>
      <w:r w:rsidR="00B46BCB">
        <w:t xml:space="preserve"> with the 2013</w:t>
      </w:r>
      <w:r w:rsidR="00B46BCB">
        <w:noBreakHyphen/>
        <w:t>14 Budget expecting to remain stable</w:t>
      </w:r>
      <w:r w:rsidRPr="00DF5B4A">
        <w:rPr>
          <w:color w:val="000000"/>
        </w:rPr>
        <w:t>.</w:t>
      </w:r>
    </w:p>
    <w:p w:rsidR="00F84A16" w:rsidRPr="003D0B87" w:rsidRDefault="00F84A16" w:rsidP="00BD38E0">
      <w:pPr>
        <w:pStyle w:val="Heading4"/>
        <w:keepNext w:val="0"/>
        <w:spacing w:before="0"/>
      </w:pPr>
      <w:r w:rsidRPr="00F84A16">
        <w:t xml:space="preserve"> </w:t>
      </w:r>
      <w:r w:rsidRPr="003D0B87">
        <w:t xml:space="preserve">ACTTAB Licence Fee </w:t>
      </w:r>
    </w:p>
    <w:p w:rsidR="00500EEF" w:rsidRDefault="00500EEF" w:rsidP="00BD38E0">
      <w:pPr>
        <w:pStyle w:val="BodyText"/>
        <w:keepNext w:val="0"/>
      </w:pPr>
      <w:r>
        <w:t>ACTTAB pays a licence fee for its totalisator and sports betting licences. </w:t>
      </w:r>
      <w:r w:rsidR="004C72D7">
        <w:t xml:space="preserve"> </w:t>
      </w:r>
      <w:r>
        <w:t>Revenue from the licence fees for 2012</w:t>
      </w:r>
      <w:r>
        <w:noBreakHyphen/>
        <w:t xml:space="preserve">13 is estimated at </w:t>
      </w:r>
      <w:r w:rsidRPr="00500EEF">
        <w:t>$1.7 million</w:t>
      </w:r>
      <w:r>
        <w:t xml:space="preserve"> and the forecast for 2013</w:t>
      </w:r>
      <w:r>
        <w:noBreakHyphen/>
        <w:t xml:space="preserve">14 is </w:t>
      </w:r>
      <w:r w:rsidRPr="00500EEF">
        <w:t>$1.</w:t>
      </w:r>
      <w:r w:rsidR="00837DB7">
        <w:t>9</w:t>
      </w:r>
      <w:r w:rsidRPr="00500EEF">
        <w:t> million</w:t>
      </w:r>
      <w:r>
        <w:t>.</w:t>
      </w:r>
    </w:p>
    <w:p w:rsidR="00F84A16" w:rsidRPr="00BD38E0" w:rsidRDefault="00F84A16" w:rsidP="00BD38E0">
      <w:pPr>
        <w:pStyle w:val="Heading4"/>
      </w:pPr>
      <w:r w:rsidRPr="00BD38E0">
        <w:t xml:space="preserve">Gaming Tax </w:t>
      </w:r>
    </w:p>
    <w:p w:rsidR="00F84A16" w:rsidRPr="003D0B87" w:rsidRDefault="00F84A16" w:rsidP="00BD38E0">
      <w:pPr>
        <w:pStyle w:val="BodyText"/>
        <w:keepNext w:val="0"/>
      </w:pPr>
      <w:r w:rsidRPr="003D0B87">
        <w:t>Gaming tax revenue incorporates gaming machine taxes and interactive gaming taxes.  Gaming machines are taxed on the basis of monthly gross revenue, which is defined as monthly gaming machine revenue less amounts paid out in prize money.  Estimated tot</w:t>
      </w:r>
      <w:r>
        <w:t>al gaming tax revenue for 2012-13 is $34.9</w:t>
      </w:r>
      <w:r w:rsidRPr="003D0B87">
        <w:t> mil</w:t>
      </w:r>
      <w:r>
        <w:t>lion and the forecast for 2013-14 is $35.7 m</w:t>
      </w:r>
      <w:r w:rsidRPr="003D0B87">
        <w:t xml:space="preserve">illion.  </w:t>
      </w:r>
    </w:p>
    <w:p w:rsidR="00F84A16" w:rsidRPr="00BD38E0" w:rsidRDefault="00F84A16" w:rsidP="00BD38E0">
      <w:pPr>
        <w:pStyle w:val="Heading4"/>
      </w:pPr>
      <w:r w:rsidRPr="00BD38E0">
        <w:t xml:space="preserve">Casino Tax </w:t>
      </w:r>
    </w:p>
    <w:p w:rsidR="00F84A16" w:rsidRPr="009D3A56" w:rsidRDefault="00F84A16" w:rsidP="00F84A16">
      <w:pPr>
        <w:pStyle w:val="BodyText"/>
        <w:keepNext w:val="0"/>
        <w:keepLines w:val="0"/>
      </w:pPr>
      <w:r w:rsidRPr="00F272FA">
        <w:t>The tax applyin</w:t>
      </w:r>
      <w:r>
        <w:t>g to Casino Canberra is 10.9</w:t>
      </w:r>
      <w:r w:rsidRPr="00F272FA">
        <w:t xml:space="preserve"> per cent of gross profit from general gaming operations.  </w:t>
      </w:r>
      <w:r>
        <w:t>Estimated revenue for 2012-13</w:t>
      </w:r>
      <w:r w:rsidR="00837DB7">
        <w:t xml:space="preserve"> and 2013</w:t>
      </w:r>
      <w:r w:rsidR="00837DB7">
        <w:noBreakHyphen/>
        <w:t>14</w:t>
      </w:r>
      <w:r>
        <w:t xml:space="preserve"> is $1.9</w:t>
      </w:r>
      <w:r w:rsidR="00D92D51">
        <w:t> million</w:t>
      </w:r>
      <w:r w:rsidRPr="003D0B87">
        <w:t>.</w:t>
      </w:r>
    </w:p>
    <w:p w:rsidR="004F130E" w:rsidRPr="00BD38E0" w:rsidRDefault="00F84A16" w:rsidP="00BD38E0">
      <w:pPr>
        <w:pStyle w:val="Heading4"/>
      </w:pPr>
      <w:r w:rsidRPr="00BD38E0">
        <w:t xml:space="preserve">Interstate Lotteries </w:t>
      </w:r>
    </w:p>
    <w:p w:rsidR="00F84A16" w:rsidRPr="009C3BE7" w:rsidRDefault="00F84A16" w:rsidP="004F130E">
      <w:pPr>
        <w:pStyle w:val="BodyText"/>
        <w:keepNext w:val="0"/>
        <w:keepLines w:val="0"/>
      </w:pPr>
      <w:r w:rsidRPr="009C3BE7">
        <w:t>The ACT receives revenue based on the value of NSW and Victorian Lotteries tickets purchased in the ACT.  Estimated revenue for 2012</w:t>
      </w:r>
      <w:r w:rsidRPr="009C3BE7">
        <w:noBreakHyphen/>
        <w:t>13 is $15 million and the forecast for 2013</w:t>
      </w:r>
      <w:r w:rsidRPr="009C3BE7">
        <w:noBreakHyphen/>
        <w:t>14 is $13.8 million.</w:t>
      </w:r>
    </w:p>
    <w:p w:rsidR="0034652C" w:rsidRPr="00BD38E0" w:rsidRDefault="0034652C" w:rsidP="00BD38E0">
      <w:pPr>
        <w:pStyle w:val="Heading4"/>
      </w:pPr>
      <w:r w:rsidRPr="00BD38E0">
        <w:t xml:space="preserve">Motor Vehicle Registration Fees </w:t>
      </w:r>
    </w:p>
    <w:p w:rsidR="0034652C" w:rsidRPr="009C3BE7" w:rsidRDefault="0034652C" w:rsidP="0034652C">
      <w:pPr>
        <w:pStyle w:val="BodyText"/>
      </w:pPr>
      <w:r w:rsidRPr="009C3BE7">
        <w:t>The estimated revenue from motor</w:t>
      </w:r>
      <w:r w:rsidR="003D0B87" w:rsidRPr="009C3BE7">
        <w:t xml:space="preserve"> vehicle registrations in 201</w:t>
      </w:r>
      <w:r w:rsidR="00ED5397" w:rsidRPr="009C3BE7">
        <w:t>2</w:t>
      </w:r>
      <w:r w:rsidR="003D0B87" w:rsidRPr="009C3BE7">
        <w:t>-1</w:t>
      </w:r>
      <w:r w:rsidR="00ED5397" w:rsidRPr="009C3BE7">
        <w:t>3</w:t>
      </w:r>
      <w:r w:rsidR="003D0B87" w:rsidRPr="009C3BE7">
        <w:t xml:space="preserve"> is $</w:t>
      </w:r>
      <w:r w:rsidR="00ED5397" w:rsidRPr="009C3BE7">
        <w:t>100.6</w:t>
      </w:r>
      <w:r w:rsidRPr="009C3BE7">
        <w:t> mil</w:t>
      </w:r>
      <w:r w:rsidR="003D0B87" w:rsidRPr="009C3BE7">
        <w:t>lion and the forecast for 201</w:t>
      </w:r>
      <w:r w:rsidR="00ED5397" w:rsidRPr="009C3BE7">
        <w:t>3</w:t>
      </w:r>
      <w:r w:rsidR="003D0B87" w:rsidRPr="009C3BE7">
        <w:t>-1</w:t>
      </w:r>
      <w:r w:rsidR="00ED5397" w:rsidRPr="009C3BE7">
        <w:t>4</w:t>
      </w:r>
      <w:r w:rsidR="003D0B87" w:rsidRPr="009C3BE7">
        <w:t xml:space="preserve"> is $</w:t>
      </w:r>
      <w:r w:rsidR="00ED5397" w:rsidRPr="009C3BE7">
        <w:t>105.1</w:t>
      </w:r>
      <w:r w:rsidRPr="009C3BE7">
        <w:t> million.</w:t>
      </w:r>
      <w:r w:rsidRPr="00785490">
        <w:t xml:space="preserve">  The increase </w:t>
      </w:r>
      <w:r w:rsidR="009A0089" w:rsidRPr="00785490">
        <w:t>largely reflects annual indexation and population growth</w:t>
      </w:r>
      <w:r w:rsidRPr="00785490">
        <w:t>.</w:t>
      </w:r>
    </w:p>
    <w:p w:rsidR="0034652C" w:rsidRPr="00BD38E0" w:rsidRDefault="0034652C" w:rsidP="00BD38E0">
      <w:pPr>
        <w:pStyle w:val="Heading4"/>
      </w:pPr>
      <w:r w:rsidRPr="00BD38E0">
        <w:t xml:space="preserve">Ambulance Levy </w:t>
      </w:r>
    </w:p>
    <w:p w:rsidR="0034652C" w:rsidRPr="00B46BCB" w:rsidRDefault="0034652C" w:rsidP="0034652C">
      <w:pPr>
        <w:pStyle w:val="BodyText"/>
        <w:keepNext w:val="0"/>
        <w:keepLines w:val="0"/>
      </w:pPr>
      <w:r w:rsidRPr="00B46BCB">
        <w:t xml:space="preserve">The Ambulance Levy is payable each month by private health insurance companies to offset the cost of providing ambulance services in the Territory.  The levy is calculated on the number and type of private </w:t>
      </w:r>
      <w:r w:rsidR="003D021B" w:rsidRPr="00B46BCB">
        <w:t>health</w:t>
      </w:r>
      <w:r w:rsidRPr="00B46BCB">
        <w:t xml:space="preserve"> insurance contributions.</w:t>
      </w:r>
    </w:p>
    <w:p w:rsidR="0034652C" w:rsidRPr="00B46BCB" w:rsidRDefault="0034652C" w:rsidP="0034652C">
      <w:pPr>
        <w:pStyle w:val="BodyText"/>
        <w:keepNext w:val="0"/>
        <w:keepLines w:val="0"/>
      </w:pPr>
      <w:r w:rsidRPr="00B46BCB">
        <w:t>The funding for ambulance services is appropriated through the normal Budget process.</w:t>
      </w:r>
    </w:p>
    <w:p w:rsidR="0034652C" w:rsidRPr="00B46BCB" w:rsidRDefault="0034652C" w:rsidP="0034652C">
      <w:pPr>
        <w:pStyle w:val="BodyText"/>
        <w:keepNext w:val="0"/>
        <w:keepLines w:val="0"/>
      </w:pPr>
      <w:r w:rsidRPr="00B46BCB">
        <w:t xml:space="preserve">The estimated revenue </w:t>
      </w:r>
      <w:r w:rsidR="00B46BCB">
        <w:t>for 2012</w:t>
      </w:r>
      <w:r w:rsidR="00B46BCB" w:rsidRPr="00B46BCB">
        <w:noBreakHyphen/>
        <w:t>1</w:t>
      </w:r>
      <w:r w:rsidR="00B46BCB">
        <w:t xml:space="preserve">3 </w:t>
      </w:r>
      <w:r w:rsidRPr="00B46BCB">
        <w:t>is $</w:t>
      </w:r>
      <w:r w:rsidR="00B46BCB">
        <w:t>17.4</w:t>
      </w:r>
      <w:r w:rsidRPr="00B46BCB">
        <w:t> million.  The forecast</w:t>
      </w:r>
      <w:r w:rsidR="00B46BCB">
        <w:t xml:space="preserve"> for the 2013</w:t>
      </w:r>
      <w:r w:rsidR="00B46BCB">
        <w:noBreakHyphen/>
        <w:t>14 Budget</w:t>
      </w:r>
      <w:r w:rsidRPr="00B46BCB">
        <w:t xml:space="preserve"> is $1</w:t>
      </w:r>
      <w:r w:rsidR="00B46BCB">
        <w:t>8.3</w:t>
      </w:r>
      <w:r w:rsidRPr="00B46BCB">
        <w:t> million in 2012</w:t>
      </w:r>
      <w:r w:rsidRPr="00B46BCB">
        <w:noBreakHyphen/>
        <w:t xml:space="preserve">13.  </w:t>
      </w:r>
    </w:p>
    <w:p w:rsidR="004A4F80" w:rsidRPr="00DC3717" w:rsidRDefault="00963575" w:rsidP="00BD38E0">
      <w:pPr>
        <w:pStyle w:val="Heading4"/>
        <w:keepNext w:val="0"/>
      </w:pPr>
      <w:r w:rsidRPr="00DC3717">
        <w:t>Lease Variation Charge</w:t>
      </w:r>
    </w:p>
    <w:p w:rsidR="000D5F0C" w:rsidRDefault="00513D6B" w:rsidP="00BD38E0">
      <w:pPr>
        <w:pStyle w:val="BodyText"/>
        <w:keepNext w:val="0"/>
      </w:pPr>
      <w:r w:rsidRPr="00DC3717">
        <w:t>The 201</w:t>
      </w:r>
      <w:r w:rsidR="00ED5397" w:rsidRPr="00DC3717">
        <w:t>2</w:t>
      </w:r>
      <w:r w:rsidRPr="00DC3717">
        <w:t>-1</w:t>
      </w:r>
      <w:r w:rsidR="00ED5397" w:rsidRPr="00DC3717">
        <w:t>3</w:t>
      </w:r>
      <w:r w:rsidRPr="00DC3717">
        <w:t xml:space="preserve"> outcome is estimated at $</w:t>
      </w:r>
      <w:r w:rsidR="00971148">
        <w:t>17.</w:t>
      </w:r>
      <w:r w:rsidR="00837DB7">
        <w:t>7</w:t>
      </w:r>
      <w:r w:rsidR="004A4F80" w:rsidRPr="00DC3717">
        <w:t> </w:t>
      </w:r>
      <w:r w:rsidRPr="00DC3717">
        <w:t>million</w:t>
      </w:r>
      <w:r w:rsidR="003C1547">
        <w:t>,</w:t>
      </w:r>
      <w:r w:rsidR="00ED5397" w:rsidRPr="00DC3717">
        <w:t xml:space="preserve"> which i</w:t>
      </w:r>
      <w:r w:rsidR="00971148">
        <w:t xml:space="preserve">s lower than the </w:t>
      </w:r>
      <w:r w:rsidR="000F3DF8">
        <w:t>original b</w:t>
      </w:r>
      <w:r w:rsidR="00971148">
        <w:t>udget of $23.</w:t>
      </w:r>
      <w:r w:rsidR="00837DB7">
        <w:t>5</w:t>
      </w:r>
      <w:r w:rsidR="00ED5397" w:rsidRPr="00DC3717">
        <w:t> million</w:t>
      </w:r>
      <w:r w:rsidR="00DC3717" w:rsidRPr="00DC3717">
        <w:t xml:space="preserve">. </w:t>
      </w:r>
      <w:r w:rsidR="00ED5397" w:rsidRPr="00DC3717">
        <w:t xml:space="preserve"> </w:t>
      </w:r>
      <w:r w:rsidR="00DC3717" w:rsidRPr="00DC3717">
        <w:t>In 201</w:t>
      </w:r>
      <w:r w:rsidR="00837DB7">
        <w:t>3</w:t>
      </w:r>
      <w:r w:rsidR="00DC3717" w:rsidRPr="00DC3717">
        <w:t>-1</w:t>
      </w:r>
      <w:r w:rsidR="00837DB7">
        <w:t>4</w:t>
      </w:r>
      <w:r w:rsidR="00DC3717" w:rsidRPr="00DC3717">
        <w:t>, this is forecast to remain stable at $17.</w:t>
      </w:r>
      <w:r w:rsidR="00837DB7">
        <w:t>7</w:t>
      </w:r>
      <w:r w:rsidR="00DC3717" w:rsidRPr="00DC3717">
        <w:t xml:space="preserve"> million, </w:t>
      </w:r>
      <w:r w:rsidR="00BA02D8" w:rsidRPr="00DC3717">
        <w:t>reflecting expected activity levels in the residential and commercial redevelopment sectors.</w:t>
      </w:r>
      <w:r w:rsidR="004A4F80" w:rsidRPr="00DC3717">
        <w:t xml:space="preserve"> </w:t>
      </w:r>
      <w:r w:rsidR="00ED5397" w:rsidRPr="00DC3717">
        <w:t xml:space="preserve"> </w:t>
      </w:r>
    </w:p>
    <w:p w:rsidR="000D5F0C" w:rsidRDefault="000D5F0C">
      <w:r>
        <w:br w:type="page"/>
      </w:r>
    </w:p>
    <w:p w:rsidR="00693EE4" w:rsidRPr="00DF5B4A" w:rsidRDefault="00693EE4" w:rsidP="000D5F0C">
      <w:pPr>
        <w:pStyle w:val="Heading4"/>
        <w:keepNext w:val="0"/>
        <w:spacing w:before="0"/>
      </w:pPr>
      <w:r w:rsidRPr="00DF5B4A">
        <w:lastRenderedPageBreak/>
        <w:t>Utilities (Network Facilities) Tax</w:t>
      </w:r>
    </w:p>
    <w:p w:rsidR="00BD38E0" w:rsidRDefault="00693EE4" w:rsidP="00BD38E0">
      <w:pPr>
        <w:pStyle w:val="BodyText"/>
        <w:keepNext w:val="0"/>
      </w:pPr>
      <w:r w:rsidRPr="00DF5B4A">
        <w:t xml:space="preserve">The Utilities (Network Facilities) Tax applies to the owner of a utility network facility that is installed on or under land in the ACT.  The tax rate for 2012-13 is $921 per kilometre of network route length, indexed to WPI in future years.  The 2012-13 estimated </w:t>
      </w:r>
      <w:proofErr w:type="gramStart"/>
      <w:r w:rsidRPr="00DF5B4A">
        <w:t>outcome</w:t>
      </w:r>
      <w:proofErr w:type="gramEnd"/>
      <w:r w:rsidRPr="00DF5B4A">
        <w:t xml:space="preserve"> is $23.4 million, with $24.4 million forecast in 2013-14 rising slightly across the forward estimates.</w:t>
      </w:r>
    </w:p>
    <w:p w:rsidR="00693EE4" w:rsidRPr="00DF5B4A" w:rsidRDefault="00693EE4" w:rsidP="00BD38E0">
      <w:pPr>
        <w:pStyle w:val="Heading4"/>
        <w:keepNext w:val="0"/>
        <w:spacing w:before="0"/>
      </w:pPr>
      <w:r w:rsidRPr="00DF5B4A">
        <w:t xml:space="preserve">Fire and Emergency Services Levy </w:t>
      </w:r>
    </w:p>
    <w:p w:rsidR="00693EE4" w:rsidRPr="00DF5B4A" w:rsidRDefault="00693EE4" w:rsidP="00BD38E0">
      <w:pPr>
        <w:pStyle w:val="BodyText"/>
        <w:keepNext w:val="0"/>
      </w:pPr>
      <w:r w:rsidRPr="00DF5B4A">
        <w:t>A FESL is charged on all rateable properties in the ACT.  Revenue from the levy provides funding to offset the cost of providing fire and emergency services in the Territory.  FESL revenue from existing properties will increase in 2013-14 from 2012-13 levels by the WPI growth of 4.27 per cent (over the year to the December quarter 2012).  In addition, FESL in 2013-14 will be subject to a general increase of approximately 10 per cent.  This will result in an annual increase of $15.2 in the fixed charge for residential and rural properties and an average increase of $357.60 for commercial properties.</w:t>
      </w:r>
    </w:p>
    <w:p w:rsidR="00693EE4" w:rsidRPr="00DF5B4A" w:rsidRDefault="00693EE4" w:rsidP="00BD38E0">
      <w:pPr>
        <w:pStyle w:val="BodyText"/>
        <w:keepNext w:val="0"/>
      </w:pPr>
      <w:r w:rsidRPr="00DF5B4A">
        <w:t>The estimates for FESL revenue include expected revenue from both existing and new properties, and represent the net amount after allowing for pensioner rebates and discounts for early payment.  The estimated outcome from FESL revenue is $29 million in 2012-13, which is expected to increase to $34.4 million in 2013-14.</w:t>
      </w:r>
    </w:p>
    <w:p w:rsidR="00693EE4" w:rsidRPr="00DF5B4A" w:rsidRDefault="00693EE4" w:rsidP="00BD38E0">
      <w:pPr>
        <w:pStyle w:val="BodyText"/>
        <w:keepNext w:val="0"/>
      </w:pPr>
      <w:r w:rsidRPr="00DF5B4A">
        <w:t>The FESL in 2013-14 will have the following elements:</w:t>
      </w:r>
    </w:p>
    <w:p w:rsidR="00693EE4" w:rsidRPr="007D17CA" w:rsidRDefault="00693EE4" w:rsidP="007D17CA">
      <w:pPr>
        <w:pStyle w:val="BodyTextIndent"/>
      </w:pPr>
      <w:r w:rsidRPr="007D17CA">
        <w:t>a fixed charge of $120 for residential and rural properties;</w:t>
      </w:r>
    </w:p>
    <w:p w:rsidR="00693EE4" w:rsidRPr="007D17CA" w:rsidRDefault="00693EE4" w:rsidP="007D17CA">
      <w:pPr>
        <w:pStyle w:val="BodyTextIndent"/>
      </w:pPr>
      <w:r w:rsidRPr="007D17CA">
        <w:t xml:space="preserve">a pensioner rebate of 50 per cent; and </w:t>
      </w:r>
    </w:p>
    <w:p w:rsidR="00693EE4" w:rsidRPr="007D17CA" w:rsidRDefault="00693EE4" w:rsidP="007D17CA">
      <w:pPr>
        <w:pStyle w:val="BodyTextIndent"/>
      </w:pPr>
      <w:proofErr w:type="gramStart"/>
      <w:r w:rsidRPr="007D17CA">
        <w:t>a</w:t>
      </w:r>
      <w:proofErr w:type="gramEnd"/>
      <w:r w:rsidRPr="007D17CA">
        <w:t xml:space="preserve"> valuation-based charge for commercial properties with a rating factor of 0.5041 per cent applied to the average of the 2010, 2011 and 2012 unimproved land values.</w:t>
      </w:r>
    </w:p>
    <w:p w:rsidR="00B46BCB" w:rsidRPr="007D17CA" w:rsidRDefault="00693EE4" w:rsidP="007D17CA">
      <w:pPr>
        <w:pStyle w:val="Heading4"/>
      </w:pPr>
      <w:r w:rsidRPr="007D17CA">
        <w:t xml:space="preserve">City Centre Marketing and Improvements Levy (CCMIL) </w:t>
      </w:r>
    </w:p>
    <w:p w:rsidR="00693EE4" w:rsidRPr="00B46BCB" w:rsidRDefault="00693EE4" w:rsidP="007D17CA">
      <w:pPr>
        <w:pStyle w:val="BodyText"/>
      </w:pPr>
      <w:r w:rsidRPr="00B46BCB">
        <w:t>The revenue collected from the CCMIL is used to promote, maintain and improve the amenities of the City Centre area.  The estimated outcome for 2012-13 is $2 million and the forecast for 2013-14 is $1.9 million.</w:t>
      </w:r>
    </w:p>
    <w:p w:rsidR="00693EE4" w:rsidRPr="00DF5B4A" w:rsidRDefault="00693EE4" w:rsidP="007D17CA">
      <w:pPr>
        <w:pStyle w:val="BodyText"/>
      </w:pPr>
      <w:r w:rsidRPr="00DF5B4A">
        <w:t>The CCMIL applies to all rateable commercial properties in the City and selected areas in Braddon and Turner, adjacent to the City Centre.  The collection area is divided into two zones and the levy is applied on the AUV of each property at the rate of 0.2992 per cent for the retail core and the rate of 0.2161 per cent for the non-retail core.</w:t>
      </w:r>
    </w:p>
    <w:p w:rsidR="00693EE4" w:rsidRPr="007D17CA" w:rsidRDefault="00693EE4" w:rsidP="007D17CA">
      <w:pPr>
        <w:pStyle w:val="Heading4"/>
      </w:pPr>
      <w:r w:rsidRPr="007D17CA">
        <w:t>Energy Industry Levy</w:t>
      </w:r>
    </w:p>
    <w:p w:rsidR="00693EE4" w:rsidRPr="007D17CA" w:rsidRDefault="00693EE4" w:rsidP="007D17CA">
      <w:pPr>
        <w:pStyle w:val="BodyText"/>
      </w:pPr>
      <w:bookmarkStart w:id="0" w:name="OLE_LINK1"/>
      <w:r w:rsidRPr="007D17CA">
        <w:t>An Energy Industry Levy was introduced in 2007</w:t>
      </w:r>
      <w:r w:rsidRPr="007D17CA">
        <w:noBreakHyphen/>
        <w:t xml:space="preserve">08 via amendments to the </w:t>
      </w:r>
      <w:r w:rsidRPr="007D17CA">
        <w:rPr>
          <w:i/>
        </w:rPr>
        <w:t>Utilities Act 2000</w:t>
      </w:r>
      <w:r w:rsidRPr="007D17CA">
        <w:t xml:space="preserve"> to fund:</w:t>
      </w:r>
    </w:p>
    <w:p w:rsidR="00693EE4" w:rsidRPr="00DF5B4A" w:rsidRDefault="00693EE4" w:rsidP="00BD38E0">
      <w:pPr>
        <w:pStyle w:val="BodyTextIndent"/>
        <w:keepNext w:val="0"/>
      </w:pPr>
      <w:r w:rsidRPr="00DF5B4A">
        <w:t>the Territory’s national regulatory obligations and costs for the Australian Energy Market Commission and the Ministerial Council on Energy’s responsibilities under the Australian Energy Market Agreement; and</w:t>
      </w:r>
    </w:p>
    <w:p w:rsidR="00693EE4" w:rsidRPr="00DF5B4A" w:rsidRDefault="00693EE4" w:rsidP="00BD38E0">
      <w:pPr>
        <w:pStyle w:val="BodyTextIndent"/>
        <w:keepNext w:val="0"/>
      </w:pPr>
      <w:proofErr w:type="gramStart"/>
      <w:r w:rsidRPr="00DF5B4A">
        <w:t>local</w:t>
      </w:r>
      <w:proofErr w:type="gramEnd"/>
      <w:r w:rsidRPr="00DF5B4A">
        <w:t xml:space="preserve"> regulatory costs incurred by the Territory in relation to energy utility services.  </w:t>
      </w:r>
    </w:p>
    <w:p w:rsidR="007D17CA" w:rsidRDefault="00693EE4" w:rsidP="00BD38E0">
      <w:pPr>
        <w:pStyle w:val="BodyText"/>
        <w:keepNext w:val="0"/>
      </w:pPr>
      <w:r w:rsidRPr="00DF5B4A">
        <w:lastRenderedPageBreak/>
        <w:t>Introduction of the levy anticipated the transfer, over time, of agreed regulatory responsibilities for energy sector distribution and retail utilities to the Australian Energy Regulator commencing in 2007</w:t>
      </w:r>
      <w:r w:rsidRPr="00DF5B4A">
        <w:noBreakHyphen/>
        <w:t>08.  From that year, agencies providing local regulatory services (the Independent Competition and Regulatory Commission (ICRC), the ACT Planning and Land Authority, and the ACT Civil and Administrative Tribunal) have received budget funding for regulatory costs.  The levy was first determined for national regulatory obligations and costs in 2007-08 and for local regulatory costs in 2008-09.  Until 2008</w:t>
      </w:r>
      <w:r w:rsidRPr="00DF5B4A">
        <w:noBreakHyphen/>
        <w:t>09, these activities were funded through the collection of annual utility licence fees by the ICRC</w:t>
      </w:r>
      <w:bookmarkEnd w:id="0"/>
      <w:r w:rsidRPr="00DF5B4A">
        <w:t>.  The estimated outcome</w:t>
      </w:r>
      <w:r w:rsidR="00527739">
        <w:t xml:space="preserve"> and</w:t>
      </w:r>
      <w:r w:rsidRPr="00DF5B4A">
        <w:t xml:space="preserve"> </w:t>
      </w:r>
      <w:r w:rsidR="00527739" w:rsidRPr="00DF5B4A">
        <w:t xml:space="preserve">the forecast for 2013-14 </w:t>
      </w:r>
      <w:r w:rsidRPr="00DF5B4A">
        <w:t>is $2.1 million.</w:t>
      </w:r>
    </w:p>
    <w:p w:rsidR="007D17CA" w:rsidRDefault="007D17CA">
      <w:r>
        <w:br w:type="page"/>
      </w:r>
    </w:p>
    <w:p w:rsidR="00693EE4" w:rsidRPr="00DF5B4A" w:rsidRDefault="00693EE4" w:rsidP="007D17CA">
      <w:pPr>
        <w:pStyle w:val="Heading4"/>
        <w:spacing w:before="0"/>
        <w:rPr>
          <w:iCs/>
        </w:rPr>
      </w:pPr>
      <w:r w:rsidRPr="00DF5B4A">
        <w:rPr>
          <w:iCs/>
        </w:rPr>
        <w:lastRenderedPageBreak/>
        <w:t>ACT Taxes Compared to NSW</w:t>
      </w:r>
    </w:p>
    <w:p w:rsidR="00693EE4" w:rsidRPr="00901605" w:rsidRDefault="00693EE4" w:rsidP="00693EE4">
      <w:pPr>
        <w:pStyle w:val="BodyText"/>
      </w:pPr>
      <w:r w:rsidRPr="00DF5B4A">
        <w:t>Table </w:t>
      </w:r>
      <w:r w:rsidR="00712351">
        <w:t>3</w:t>
      </w:r>
      <w:r w:rsidRPr="00DF5B4A">
        <w:t xml:space="preserve">.1.8 shows the comparative rates of tax between the ACT and NSW for major taxation items. Please note that </w:t>
      </w:r>
      <w:r w:rsidRPr="00901605">
        <w:t>NSW Budget on 18 June may change the information below.</w:t>
      </w:r>
    </w:p>
    <w:p w:rsidR="00693EE4" w:rsidRPr="00901605" w:rsidRDefault="00693EE4" w:rsidP="00693EE4">
      <w:pPr>
        <w:pStyle w:val="TableNumber"/>
      </w:pPr>
      <w:r w:rsidRPr="00901605">
        <w:t xml:space="preserve">Table </w:t>
      </w:r>
      <w:r w:rsidR="009D0A93">
        <w:t>3</w:t>
      </w:r>
      <w:r w:rsidRPr="00901605">
        <w:t>.1.8</w:t>
      </w:r>
    </w:p>
    <w:p w:rsidR="00693EE4" w:rsidRPr="00901605" w:rsidRDefault="00693EE4" w:rsidP="00693EE4">
      <w:pPr>
        <w:pStyle w:val="TableName"/>
      </w:pPr>
      <w:r w:rsidRPr="00901605">
        <w:t xml:space="preserve">Major ACT Taxes compared with NSW </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8"/>
        <w:gridCol w:w="3766"/>
        <w:gridCol w:w="3766"/>
      </w:tblGrid>
      <w:tr w:rsidR="00693EE4" w:rsidRPr="00901605" w:rsidTr="00ED5FDE">
        <w:trPr>
          <w:trHeight w:val="170"/>
          <w:tblHeader/>
          <w:jc w:val="center"/>
        </w:trPr>
        <w:tc>
          <w:tcPr>
            <w:tcW w:w="862" w:type="pct"/>
          </w:tcPr>
          <w:p w:rsidR="00693EE4" w:rsidRPr="00901605" w:rsidRDefault="00693EE4" w:rsidP="00ED5FDE">
            <w:pPr>
              <w:pStyle w:val="TableTextLeftBold"/>
              <w:rPr>
                <w:rFonts w:cs="Calibri"/>
              </w:rPr>
            </w:pPr>
            <w:r w:rsidRPr="00901605">
              <w:rPr>
                <w:rFonts w:cs="Calibri"/>
              </w:rPr>
              <w:t>Tax Type</w:t>
            </w:r>
          </w:p>
        </w:tc>
        <w:tc>
          <w:tcPr>
            <w:tcW w:w="2069" w:type="pct"/>
          </w:tcPr>
          <w:p w:rsidR="00693EE4" w:rsidRPr="00901605" w:rsidRDefault="00693EE4" w:rsidP="00ED5FDE">
            <w:pPr>
              <w:pStyle w:val="StyleTableTextLeftBoldCentered"/>
              <w:rPr>
                <w:rFonts w:cs="Calibri"/>
              </w:rPr>
            </w:pPr>
            <w:r w:rsidRPr="00901605">
              <w:rPr>
                <w:rFonts w:cs="Calibri"/>
              </w:rPr>
              <w:t>ACT</w:t>
            </w:r>
          </w:p>
        </w:tc>
        <w:tc>
          <w:tcPr>
            <w:tcW w:w="2069" w:type="pct"/>
          </w:tcPr>
          <w:p w:rsidR="00693EE4" w:rsidRPr="00901605" w:rsidRDefault="00693EE4" w:rsidP="00ED5FDE">
            <w:pPr>
              <w:pStyle w:val="StyleTableTextLeftBoldCentered"/>
              <w:rPr>
                <w:rFonts w:cs="Calibri"/>
              </w:rPr>
            </w:pPr>
            <w:r w:rsidRPr="00901605">
              <w:rPr>
                <w:rFonts w:cs="Calibri"/>
              </w:rPr>
              <w:t>NSW (as of 24 May 2013)</w:t>
            </w:r>
          </w:p>
        </w:tc>
      </w:tr>
      <w:tr w:rsidR="00693EE4" w:rsidRPr="00901605" w:rsidTr="00ED5FDE">
        <w:trPr>
          <w:trHeight w:val="170"/>
          <w:jc w:val="center"/>
        </w:trPr>
        <w:tc>
          <w:tcPr>
            <w:tcW w:w="862" w:type="pct"/>
          </w:tcPr>
          <w:p w:rsidR="00693EE4" w:rsidRPr="00901605" w:rsidRDefault="00693EE4" w:rsidP="00ED5FDE">
            <w:pPr>
              <w:rPr>
                <w:rFonts w:cs="Calibri"/>
                <w:b/>
                <w:sz w:val="20"/>
              </w:rPr>
            </w:pPr>
            <w:r w:rsidRPr="00901605">
              <w:rPr>
                <w:rFonts w:cs="Calibri"/>
                <w:b/>
                <w:sz w:val="20"/>
              </w:rPr>
              <w:t>Payroll Tax</w:t>
            </w:r>
          </w:p>
        </w:tc>
        <w:tc>
          <w:tcPr>
            <w:tcW w:w="2069" w:type="pct"/>
          </w:tcPr>
          <w:p w:rsidR="00693EE4" w:rsidRPr="00901605" w:rsidRDefault="00712351" w:rsidP="00ED5FDE">
            <w:pPr>
              <w:rPr>
                <w:rFonts w:cs="Calibri"/>
                <w:sz w:val="20"/>
              </w:rPr>
            </w:pPr>
            <w:r>
              <w:rPr>
                <w:rFonts w:cs="Calibri"/>
                <w:sz w:val="20"/>
              </w:rPr>
              <w:t>6.85 per cent</w:t>
            </w:r>
          </w:p>
          <w:p w:rsidR="00693EE4" w:rsidRPr="00901605" w:rsidRDefault="00693EE4" w:rsidP="00ED5FDE">
            <w:pPr>
              <w:rPr>
                <w:rFonts w:cs="Calibri"/>
                <w:i/>
                <w:iCs/>
                <w:sz w:val="20"/>
              </w:rPr>
            </w:pPr>
            <w:r w:rsidRPr="00901605">
              <w:rPr>
                <w:rFonts w:cs="Calibri"/>
                <w:sz w:val="20"/>
              </w:rPr>
              <w:t>From 1 July 2013, first $1,750,000 exempt.</w:t>
            </w:r>
          </w:p>
        </w:tc>
        <w:tc>
          <w:tcPr>
            <w:tcW w:w="2069" w:type="pct"/>
          </w:tcPr>
          <w:p w:rsidR="00693EE4" w:rsidRPr="00901605" w:rsidRDefault="00693EE4" w:rsidP="00ED5FDE">
            <w:pPr>
              <w:keepNext/>
              <w:keepLines/>
              <w:outlineLvl w:val="2"/>
              <w:rPr>
                <w:rFonts w:cs="Calibri"/>
                <w:i/>
                <w:iCs/>
                <w:sz w:val="20"/>
              </w:rPr>
            </w:pPr>
            <w:r w:rsidRPr="00901605">
              <w:rPr>
                <w:rFonts w:cs="Calibri"/>
                <w:sz w:val="20"/>
              </w:rPr>
              <w:t>5.45</w:t>
            </w:r>
            <w:r w:rsidR="00712351">
              <w:rPr>
                <w:rFonts w:cs="Calibri"/>
                <w:sz w:val="20"/>
              </w:rPr>
              <w:t xml:space="preserve"> per cent</w:t>
            </w:r>
            <w:r w:rsidRPr="00901605">
              <w:rPr>
                <w:rFonts w:cs="Calibri"/>
                <w:sz w:val="20"/>
              </w:rPr>
              <w:t xml:space="preserve"> from 1 July 2012.</w:t>
            </w:r>
          </w:p>
          <w:p w:rsidR="00693EE4" w:rsidRPr="00901605" w:rsidRDefault="00693EE4" w:rsidP="00ED5FDE">
            <w:pPr>
              <w:rPr>
                <w:rFonts w:cs="Calibri"/>
                <w:sz w:val="20"/>
              </w:rPr>
            </w:pPr>
            <w:r w:rsidRPr="00901605">
              <w:rPr>
                <w:rFonts w:cs="Calibri"/>
                <w:sz w:val="20"/>
              </w:rPr>
              <w:t>From 1 July 2012, first $689,000 exempt</w:t>
            </w:r>
          </w:p>
        </w:tc>
      </w:tr>
      <w:tr w:rsidR="00693EE4" w:rsidRPr="00901605" w:rsidTr="00ED5FDE">
        <w:trPr>
          <w:trHeight w:val="170"/>
          <w:jc w:val="center"/>
        </w:trPr>
        <w:tc>
          <w:tcPr>
            <w:tcW w:w="862" w:type="pct"/>
          </w:tcPr>
          <w:p w:rsidR="00693EE4" w:rsidRPr="00901605" w:rsidRDefault="00693EE4" w:rsidP="00ED5FDE">
            <w:pPr>
              <w:rPr>
                <w:rFonts w:cs="Calibri"/>
                <w:b/>
                <w:sz w:val="20"/>
              </w:rPr>
            </w:pPr>
            <w:r w:rsidRPr="00901605">
              <w:rPr>
                <w:rFonts w:cs="Calibri"/>
                <w:b/>
                <w:sz w:val="20"/>
              </w:rPr>
              <w:t xml:space="preserve">Land Tax </w:t>
            </w:r>
          </w:p>
        </w:tc>
        <w:tc>
          <w:tcPr>
            <w:tcW w:w="2069" w:type="pct"/>
          </w:tcPr>
          <w:p w:rsidR="00693EE4" w:rsidRPr="00712351" w:rsidRDefault="00693EE4" w:rsidP="00ED5FDE">
            <w:pPr>
              <w:pStyle w:val="PlainText"/>
              <w:keepNext/>
              <w:keepLines/>
              <w:outlineLvl w:val="2"/>
              <w:rPr>
                <w:rFonts w:cs="Calibri"/>
                <w:lang w:val="en-AU"/>
              </w:rPr>
            </w:pPr>
            <w:r w:rsidRPr="00712351">
              <w:rPr>
                <w:rFonts w:cs="Calibri"/>
                <w:lang w:val="en-AU"/>
              </w:rPr>
              <w:t>Applied quarterly on three year Average Unimproved Value (AUV).</w:t>
            </w:r>
          </w:p>
          <w:p w:rsidR="00693EE4" w:rsidRPr="00901605" w:rsidRDefault="00693EE4" w:rsidP="00ED5FDE">
            <w:pPr>
              <w:keepNext/>
              <w:keepLines/>
              <w:outlineLvl w:val="2"/>
              <w:rPr>
                <w:rFonts w:cs="Calibri"/>
                <w:sz w:val="8"/>
                <w:szCs w:val="8"/>
              </w:rPr>
            </w:pPr>
          </w:p>
          <w:p w:rsidR="00693EE4" w:rsidRPr="00901605" w:rsidRDefault="00693EE4" w:rsidP="00ED5FDE">
            <w:pPr>
              <w:keepNext/>
              <w:keepLines/>
              <w:outlineLvl w:val="2"/>
              <w:rPr>
                <w:rFonts w:cs="Calibri"/>
                <w:sz w:val="20"/>
              </w:rPr>
            </w:pPr>
            <w:r w:rsidRPr="00901605">
              <w:rPr>
                <w:rFonts w:cs="Calibri"/>
                <w:b/>
                <w:sz w:val="20"/>
              </w:rPr>
              <w:t>Residential</w:t>
            </w:r>
            <w:r w:rsidRPr="00901605">
              <w:rPr>
                <w:rFonts w:cs="Calibri"/>
                <w:sz w:val="20"/>
              </w:rPr>
              <w:t xml:space="preserve"> </w:t>
            </w:r>
            <w:r w:rsidR="00712351">
              <w:rPr>
                <w:rFonts w:cs="Calibri"/>
                <w:sz w:val="20"/>
              </w:rPr>
              <w:t>–</w:t>
            </w:r>
            <w:r w:rsidRPr="00901605">
              <w:rPr>
                <w:rFonts w:cs="Calibri"/>
                <w:sz w:val="20"/>
              </w:rPr>
              <w:t xml:space="preserve"> applied</w:t>
            </w:r>
            <w:r w:rsidR="00712351">
              <w:rPr>
                <w:rFonts w:cs="Calibri"/>
                <w:sz w:val="20"/>
              </w:rPr>
              <w:t xml:space="preserve"> </w:t>
            </w:r>
            <w:r w:rsidRPr="00901605">
              <w:rPr>
                <w:rFonts w:cs="Calibri"/>
                <w:sz w:val="20"/>
              </w:rPr>
              <w:t>on rateable properties that are rented, or owned by a trust or a corporation even if they are not rented (excluding land owned by a building or development company).</w:t>
            </w:r>
          </w:p>
          <w:p w:rsidR="00693EE4" w:rsidRPr="00901605" w:rsidRDefault="00693EE4" w:rsidP="00ED5FDE">
            <w:pPr>
              <w:keepNext/>
              <w:keepLines/>
              <w:outlineLvl w:val="2"/>
              <w:rPr>
                <w:rFonts w:cs="Calibri"/>
                <w:sz w:val="8"/>
                <w:szCs w:val="8"/>
              </w:rPr>
            </w:pPr>
          </w:p>
          <w:p w:rsidR="00693EE4" w:rsidRPr="00901605" w:rsidRDefault="00693EE4" w:rsidP="00ED5FDE">
            <w:pPr>
              <w:keepNext/>
              <w:keepLines/>
              <w:outlineLvl w:val="2"/>
              <w:rPr>
                <w:rFonts w:cs="Calibri"/>
                <w:sz w:val="20"/>
              </w:rPr>
            </w:pPr>
            <w:r w:rsidRPr="00901605">
              <w:rPr>
                <w:rFonts w:cs="Calibri"/>
                <w:sz w:val="20"/>
              </w:rPr>
              <w:t>From 1 July 2013, the marginal rates are as follows:</w:t>
            </w:r>
          </w:p>
          <w:p w:rsidR="00693EE4" w:rsidRPr="00901605" w:rsidRDefault="00693EE4" w:rsidP="00077859">
            <w:pPr>
              <w:keepNext/>
              <w:keepLines/>
              <w:numPr>
                <w:ilvl w:val="0"/>
                <w:numId w:val="14"/>
              </w:numPr>
              <w:outlineLvl w:val="2"/>
              <w:rPr>
                <w:rFonts w:cs="Calibri"/>
                <w:sz w:val="20"/>
              </w:rPr>
            </w:pPr>
            <w:r w:rsidRPr="00901605">
              <w:rPr>
                <w:rFonts w:cs="Calibri"/>
                <w:sz w:val="20"/>
              </w:rPr>
              <w:t>AUV up to $75,000 – 0.60%</w:t>
            </w:r>
          </w:p>
          <w:p w:rsidR="00693EE4" w:rsidRPr="00901605" w:rsidRDefault="00693EE4" w:rsidP="00077859">
            <w:pPr>
              <w:keepNext/>
              <w:keepLines/>
              <w:numPr>
                <w:ilvl w:val="0"/>
                <w:numId w:val="14"/>
              </w:numPr>
              <w:outlineLvl w:val="2"/>
              <w:rPr>
                <w:rFonts w:cs="Calibri"/>
                <w:sz w:val="20"/>
              </w:rPr>
            </w:pPr>
            <w:r w:rsidRPr="00901605">
              <w:rPr>
                <w:rFonts w:cs="Calibri"/>
                <w:sz w:val="20"/>
              </w:rPr>
              <w:t>AUV $75,001 – $150,000 – 0.70%</w:t>
            </w:r>
          </w:p>
          <w:p w:rsidR="00693EE4" w:rsidRPr="00901605" w:rsidRDefault="00693EE4" w:rsidP="00077859">
            <w:pPr>
              <w:keepNext/>
              <w:keepLines/>
              <w:numPr>
                <w:ilvl w:val="0"/>
                <w:numId w:val="14"/>
              </w:numPr>
              <w:outlineLvl w:val="2"/>
              <w:rPr>
                <w:rFonts w:cs="Calibri"/>
                <w:sz w:val="20"/>
              </w:rPr>
            </w:pPr>
            <w:r w:rsidRPr="00901605">
              <w:rPr>
                <w:rFonts w:cs="Calibri"/>
                <w:sz w:val="20"/>
              </w:rPr>
              <w:t>AUV  $150,001 – $275,000 – 0.89%</w:t>
            </w:r>
          </w:p>
          <w:p w:rsidR="00693EE4" w:rsidRPr="00901605" w:rsidRDefault="00693EE4" w:rsidP="00077859">
            <w:pPr>
              <w:keepNext/>
              <w:keepLines/>
              <w:numPr>
                <w:ilvl w:val="0"/>
                <w:numId w:val="14"/>
              </w:numPr>
              <w:outlineLvl w:val="2"/>
              <w:rPr>
                <w:rFonts w:cs="Calibri"/>
                <w:sz w:val="20"/>
              </w:rPr>
            </w:pPr>
            <w:r w:rsidRPr="00901605">
              <w:rPr>
                <w:rFonts w:cs="Calibri"/>
                <w:sz w:val="20"/>
              </w:rPr>
              <w:t>AUV  $275,001 and above – 1.80%</w:t>
            </w:r>
          </w:p>
          <w:p w:rsidR="00693EE4" w:rsidRPr="00901605" w:rsidRDefault="00693EE4" w:rsidP="00ED5FDE">
            <w:pPr>
              <w:keepNext/>
              <w:keepLines/>
              <w:outlineLvl w:val="2"/>
              <w:rPr>
                <w:rFonts w:cs="Calibri"/>
                <w:sz w:val="8"/>
                <w:szCs w:val="8"/>
              </w:rPr>
            </w:pPr>
          </w:p>
          <w:p w:rsidR="00693EE4" w:rsidRPr="00901605" w:rsidRDefault="00693EE4" w:rsidP="00ED5FDE">
            <w:pPr>
              <w:keepNext/>
              <w:keepLines/>
              <w:outlineLvl w:val="2"/>
              <w:rPr>
                <w:rFonts w:cs="Calibri"/>
                <w:sz w:val="8"/>
                <w:szCs w:val="8"/>
              </w:rPr>
            </w:pPr>
            <w:r w:rsidRPr="00901605">
              <w:rPr>
                <w:rFonts w:cs="Calibri"/>
                <w:b/>
                <w:sz w:val="20"/>
              </w:rPr>
              <w:t>Commercial</w:t>
            </w:r>
            <w:r w:rsidRPr="00901605">
              <w:rPr>
                <w:rFonts w:cs="Calibri"/>
                <w:sz w:val="20"/>
              </w:rPr>
              <w:t xml:space="preserve"> – Effective 1 July 2012, commercial properties will not be subject to land tax due to the ACT Government’s Taxation Reforms. </w:t>
            </w:r>
          </w:p>
          <w:p w:rsidR="00693EE4" w:rsidRPr="00901605" w:rsidRDefault="00693EE4" w:rsidP="00ED5FDE">
            <w:pPr>
              <w:keepNext/>
              <w:keepLines/>
              <w:outlineLvl w:val="2"/>
              <w:rPr>
                <w:rFonts w:cs="Calibri"/>
                <w:sz w:val="20"/>
              </w:rPr>
            </w:pPr>
            <w:r w:rsidRPr="00901605">
              <w:rPr>
                <w:rFonts w:cs="Calibri"/>
                <w:sz w:val="20"/>
              </w:rPr>
              <w:t xml:space="preserve">Land used for </w:t>
            </w:r>
            <w:r w:rsidRPr="00901605">
              <w:rPr>
                <w:rFonts w:cs="Calibri"/>
                <w:b/>
                <w:sz w:val="20"/>
              </w:rPr>
              <w:t>primary production</w:t>
            </w:r>
            <w:r w:rsidRPr="00901605">
              <w:rPr>
                <w:rFonts w:cs="Calibri"/>
                <w:sz w:val="20"/>
              </w:rPr>
              <w:t xml:space="preserve"> is exempt from land tax.</w:t>
            </w:r>
          </w:p>
        </w:tc>
        <w:tc>
          <w:tcPr>
            <w:tcW w:w="2069" w:type="pct"/>
          </w:tcPr>
          <w:p w:rsidR="00693EE4" w:rsidRPr="00901605" w:rsidRDefault="00693EE4" w:rsidP="00ED5FDE">
            <w:pPr>
              <w:keepNext/>
              <w:keepLines/>
              <w:outlineLvl w:val="2"/>
              <w:rPr>
                <w:rFonts w:cs="Calibri"/>
                <w:sz w:val="20"/>
              </w:rPr>
            </w:pPr>
            <w:r w:rsidRPr="00901605">
              <w:rPr>
                <w:rFonts w:cs="Calibri"/>
                <w:sz w:val="20"/>
              </w:rPr>
              <w:t xml:space="preserve">Applied annually on aggregated unimproved land value of all property except the principal place of residence or land used for primary production.  </w:t>
            </w:r>
          </w:p>
          <w:p w:rsidR="00693EE4" w:rsidRPr="00901605" w:rsidRDefault="00693EE4" w:rsidP="00ED5FDE">
            <w:pPr>
              <w:keepNext/>
              <w:keepLines/>
              <w:outlineLvl w:val="2"/>
              <w:rPr>
                <w:rFonts w:cs="Calibri"/>
                <w:sz w:val="8"/>
                <w:szCs w:val="8"/>
              </w:rPr>
            </w:pPr>
          </w:p>
          <w:p w:rsidR="00693EE4" w:rsidRPr="00901605" w:rsidRDefault="00693EE4" w:rsidP="00ED5FDE">
            <w:pPr>
              <w:keepNext/>
              <w:keepLines/>
              <w:outlineLvl w:val="2"/>
              <w:rPr>
                <w:rFonts w:cs="Calibri"/>
                <w:sz w:val="20"/>
              </w:rPr>
            </w:pPr>
            <w:r w:rsidRPr="00901605">
              <w:rPr>
                <w:rFonts w:cs="Calibri"/>
                <w:sz w:val="20"/>
              </w:rPr>
              <w:t>Rate is $100 plus 1.6</w:t>
            </w:r>
            <w:r w:rsidR="00712351">
              <w:rPr>
                <w:rFonts w:cs="Calibri"/>
                <w:sz w:val="20"/>
              </w:rPr>
              <w:t> per cent</w:t>
            </w:r>
            <w:r w:rsidRPr="00901605">
              <w:rPr>
                <w:rFonts w:cs="Calibri"/>
                <w:sz w:val="20"/>
              </w:rPr>
              <w:t xml:space="preserve"> of the land value between the threshold $406,000 (three year average) and the premium rate threshold of $2,482,000.  A further premium rate of 2</w:t>
            </w:r>
            <w:r w:rsidR="00712351">
              <w:rPr>
                <w:rFonts w:cs="Calibri"/>
                <w:sz w:val="20"/>
              </w:rPr>
              <w:t> per cent</w:t>
            </w:r>
            <w:r w:rsidRPr="00901605">
              <w:rPr>
                <w:rFonts w:cs="Calibri"/>
                <w:sz w:val="20"/>
              </w:rPr>
              <w:t xml:space="preserve"> applies if the land value is above $2,482,000.</w:t>
            </w:r>
          </w:p>
          <w:p w:rsidR="00693EE4" w:rsidRPr="00901605" w:rsidRDefault="00693EE4" w:rsidP="00ED5FDE">
            <w:pPr>
              <w:keepNext/>
              <w:keepLines/>
              <w:outlineLvl w:val="2"/>
              <w:rPr>
                <w:rFonts w:cs="Calibri"/>
                <w:sz w:val="8"/>
                <w:szCs w:val="8"/>
              </w:rPr>
            </w:pPr>
          </w:p>
          <w:p w:rsidR="00693EE4" w:rsidRPr="00901605" w:rsidRDefault="00693EE4" w:rsidP="00ED5FDE">
            <w:pPr>
              <w:keepNext/>
              <w:keepLines/>
              <w:outlineLvl w:val="2"/>
              <w:rPr>
                <w:rFonts w:cs="Calibri"/>
                <w:sz w:val="20"/>
              </w:rPr>
            </w:pPr>
            <w:r w:rsidRPr="00901605">
              <w:rPr>
                <w:rFonts w:cs="Calibri"/>
                <w:sz w:val="20"/>
              </w:rPr>
              <w:t>For land owned by a trustee of a special trust, flat rate of 1.6</w:t>
            </w:r>
            <w:r w:rsidR="00712351">
              <w:rPr>
                <w:rFonts w:cs="Calibri"/>
                <w:sz w:val="20"/>
              </w:rPr>
              <w:t> per cent</w:t>
            </w:r>
            <w:r w:rsidRPr="00901605">
              <w:rPr>
                <w:rFonts w:cs="Calibri"/>
                <w:sz w:val="20"/>
              </w:rPr>
              <w:t xml:space="preserve"> without any land value threshold applies; then 2</w:t>
            </w:r>
            <w:r w:rsidR="00712351">
              <w:rPr>
                <w:rFonts w:cs="Calibri"/>
                <w:sz w:val="20"/>
              </w:rPr>
              <w:t> per cent</w:t>
            </w:r>
            <w:r w:rsidRPr="00901605">
              <w:rPr>
                <w:rFonts w:cs="Calibri"/>
                <w:sz w:val="20"/>
              </w:rPr>
              <w:t xml:space="preserve"> after the premium threshold.</w:t>
            </w:r>
          </w:p>
          <w:p w:rsidR="00693EE4" w:rsidRPr="00901605" w:rsidRDefault="00693EE4" w:rsidP="00ED5FDE">
            <w:pPr>
              <w:keepNext/>
              <w:keepLines/>
              <w:outlineLvl w:val="2"/>
              <w:rPr>
                <w:rFonts w:cs="Calibri"/>
                <w:sz w:val="8"/>
                <w:szCs w:val="8"/>
              </w:rPr>
            </w:pPr>
          </w:p>
          <w:p w:rsidR="00693EE4" w:rsidRPr="00901605" w:rsidRDefault="00693EE4" w:rsidP="00712351">
            <w:pPr>
              <w:rPr>
                <w:rFonts w:cs="Calibri"/>
                <w:sz w:val="20"/>
              </w:rPr>
            </w:pPr>
            <w:r w:rsidRPr="00901605">
              <w:rPr>
                <w:rFonts w:cs="Calibri"/>
                <w:sz w:val="20"/>
              </w:rPr>
              <w:t>For land owned by a company, 1.6</w:t>
            </w:r>
            <w:r w:rsidR="00712351">
              <w:rPr>
                <w:rFonts w:cs="Calibri"/>
                <w:sz w:val="20"/>
              </w:rPr>
              <w:t> per cent</w:t>
            </w:r>
            <w:r w:rsidRPr="00901605">
              <w:rPr>
                <w:rFonts w:cs="Calibri"/>
                <w:sz w:val="20"/>
              </w:rPr>
              <w:t xml:space="preserve"> of the land value between the threshold $406,000 and the premium rate threshold $2,482,000; then 2</w:t>
            </w:r>
            <w:r w:rsidR="00712351">
              <w:rPr>
                <w:rFonts w:cs="Calibri"/>
                <w:sz w:val="20"/>
              </w:rPr>
              <w:t> per cent</w:t>
            </w:r>
            <w:r w:rsidRPr="00901605">
              <w:rPr>
                <w:rFonts w:cs="Calibri"/>
                <w:sz w:val="20"/>
              </w:rPr>
              <w:t xml:space="preserve"> in excess of the premium threshold.</w:t>
            </w:r>
          </w:p>
        </w:tc>
      </w:tr>
      <w:tr w:rsidR="00693EE4" w:rsidRPr="00DF5B4A" w:rsidTr="00ED5FDE">
        <w:trPr>
          <w:trHeight w:val="170"/>
          <w:jc w:val="center"/>
        </w:trPr>
        <w:tc>
          <w:tcPr>
            <w:tcW w:w="862" w:type="pct"/>
          </w:tcPr>
          <w:p w:rsidR="00693EE4" w:rsidRPr="00BD38E0" w:rsidRDefault="00693EE4" w:rsidP="00ED5FDE">
            <w:pPr>
              <w:rPr>
                <w:rFonts w:cs="Calibri"/>
                <w:b/>
                <w:sz w:val="20"/>
              </w:rPr>
            </w:pPr>
            <w:r w:rsidRPr="00BD38E0">
              <w:rPr>
                <w:rFonts w:cs="Calibri"/>
                <w:b/>
                <w:sz w:val="20"/>
              </w:rPr>
              <w:t>Duty on Conveyances</w:t>
            </w:r>
          </w:p>
        </w:tc>
        <w:tc>
          <w:tcPr>
            <w:tcW w:w="2069" w:type="pct"/>
          </w:tcPr>
          <w:p w:rsidR="00693EE4" w:rsidRPr="00BD38E0" w:rsidRDefault="00693EE4" w:rsidP="00ED5FDE">
            <w:pPr>
              <w:rPr>
                <w:rFonts w:cs="Calibri"/>
                <w:b/>
                <w:sz w:val="20"/>
              </w:rPr>
            </w:pPr>
            <w:r w:rsidRPr="00BD38E0">
              <w:rPr>
                <w:rFonts w:cs="Calibri"/>
                <w:b/>
                <w:sz w:val="20"/>
              </w:rPr>
              <w:t>Residential Conveyance</w:t>
            </w:r>
          </w:p>
          <w:p w:rsidR="00693EE4" w:rsidRPr="00BD38E0" w:rsidRDefault="00693EE4" w:rsidP="00ED5FDE">
            <w:pPr>
              <w:rPr>
                <w:rFonts w:cs="Calibri"/>
                <w:sz w:val="20"/>
              </w:rPr>
            </w:pPr>
            <w:r w:rsidRPr="00BD38E0">
              <w:rPr>
                <w:rFonts w:cs="Calibri"/>
                <w:sz w:val="20"/>
              </w:rPr>
              <w:t xml:space="preserve">The greater of $20 or the amount resulting from applying the rates of $2.40 </w:t>
            </w:r>
            <w:r w:rsidRPr="00BD38E0">
              <w:rPr>
                <w:rFonts w:cs="Calibri"/>
                <w:sz w:val="20"/>
              </w:rPr>
              <w:noBreakHyphen/>
              <w:t xml:space="preserve"> $7.25 per $100 or part thereof for transactions dated from 6 June 2012 to 4 June 2013.</w:t>
            </w:r>
          </w:p>
          <w:p w:rsidR="00693EE4" w:rsidRPr="00BD38E0" w:rsidRDefault="00693EE4" w:rsidP="00ED5FDE">
            <w:pPr>
              <w:rPr>
                <w:rFonts w:cs="Calibri"/>
                <w:sz w:val="20"/>
              </w:rPr>
            </w:pPr>
            <w:r w:rsidRPr="00BD38E0">
              <w:rPr>
                <w:rFonts w:cs="Calibri"/>
                <w:sz w:val="20"/>
              </w:rPr>
              <w:t xml:space="preserve">The greater of $20 or the amount resulting from applying the rates of $2.20 </w:t>
            </w:r>
            <w:r w:rsidRPr="00BD38E0">
              <w:rPr>
                <w:rFonts w:cs="Calibri"/>
                <w:sz w:val="20"/>
              </w:rPr>
              <w:noBreakHyphen/>
              <w:t xml:space="preserve"> $7.00 per $100 or part thereof for transactions dated from 5 June 2013.</w:t>
            </w:r>
          </w:p>
          <w:p w:rsidR="00785490" w:rsidRPr="00BD38E0" w:rsidRDefault="00785490" w:rsidP="00ED5FDE">
            <w:pPr>
              <w:rPr>
                <w:rFonts w:cs="Calibri"/>
                <w:b/>
                <w:sz w:val="20"/>
              </w:rPr>
            </w:pPr>
          </w:p>
          <w:p w:rsidR="00693EE4" w:rsidRPr="00BD38E0" w:rsidRDefault="006654C8" w:rsidP="00ED5FDE">
            <w:pPr>
              <w:rPr>
                <w:rFonts w:cs="Calibri"/>
                <w:b/>
                <w:sz w:val="20"/>
              </w:rPr>
            </w:pPr>
            <w:r w:rsidRPr="00BD38E0">
              <w:rPr>
                <w:rFonts w:cs="Calibri"/>
                <w:b/>
                <w:sz w:val="20"/>
              </w:rPr>
              <w:t>New Flat Rate</w:t>
            </w:r>
          </w:p>
          <w:p w:rsidR="00693EE4" w:rsidRPr="00BD38E0" w:rsidRDefault="00693EE4" w:rsidP="00785490">
            <w:pPr>
              <w:rPr>
                <w:rFonts w:cs="Calibri"/>
                <w:sz w:val="20"/>
              </w:rPr>
            </w:pPr>
            <w:r w:rsidRPr="00BD38E0">
              <w:rPr>
                <w:rFonts w:cs="Calibri"/>
                <w:sz w:val="20"/>
              </w:rPr>
              <w:t>The new rate will be effective 5 June 2013.  Prope</w:t>
            </w:r>
            <w:r w:rsidR="00712351" w:rsidRPr="00BD38E0">
              <w:rPr>
                <w:rFonts w:cs="Calibri"/>
                <w:sz w:val="20"/>
              </w:rPr>
              <w:t>rties valued at and above $1.65</w:t>
            </w:r>
            <w:r w:rsidR="00785490" w:rsidRPr="00BD38E0">
              <w:rPr>
                <w:rFonts w:cs="Calibri"/>
                <w:sz w:val="20"/>
              </w:rPr>
              <w:t>0</w:t>
            </w:r>
            <w:r w:rsidR="00712351" w:rsidRPr="00BD38E0">
              <w:rPr>
                <w:rFonts w:cs="Calibri"/>
                <w:sz w:val="20"/>
              </w:rPr>
              <w:t> </w:t>
            </w:r>
            <w:r w:rsidRPr="00BD38E0">
              <w:rPr>
                <w:rFonts w:cs="Calibri"/>
                <w:sz w:val="20"/>
              </w:rPr>
              <w:t>million will have duty determined at a flat rate of 5.5 per cent while properties valued below $1.65</w:t>
            </w:r>
            <w:r w:rsidR="00785490" w:rsidRPr="00BD38E0">
              <w:rPr>
                <w:rFonts w:cs="Calibri"/>
                <w:sz w:val="20"/>
              </w:rPr>
              <w:t>0</w:t>
            </w:r>
            <w:r w:rsidRPr="00BD38E0">
              <w:rPr>
                <w:rFonts w:cs="Calibri"/>
                <w:sz w:val="20"/>
              </w:rPr>
              <w:t xml:space="preserve"> million will continue to use the progressive rates system as indicated in residential conveyance.</w:t>
            </w:r>
          </w:p>
        </w:tc>
        <w:tc>
          <w:tcPr>
            <w:tcW w:w="2069" w:type="pct"/>
          </w:tcPr>
          <w:p w:rsidR="00693EE4" w:rsidRPr="00DF5B4A" w:rsidRDefault="00693EE4" w:rsidP="00ED5FDE">
            <w:pPr>
              <w:rPr>
                <w:rFonts w:cs="Calibri"/>
                <w:sz w:val="20"/>
              </w:rPr>
            </w:pPr>
            <w:r w:rsidRPr="00DF5B4A">
              <w:rPr>
                <w:rFonts w:cs="Calibri"/>
                <w:sz w:val="20"/>
              </w:rPr>
              <w:t xml:space="preserve">The greater of $10 or the amount resulting from applying the rates of $1.25 </w:t>
            </w:r>
            <w:r w:rsidRPr="00DF5B4A">
              <w:rPr>
                <w:rFonts w:cs="Calibri"/>
                <w:sz w:val="20"/>
              </w:rPr>
              <w:noBreakHyphen/>
              <w:t xml:space="preserve"> $5.50 per $100 or part thereof.</w:t>
            </w:r>
          </w:p>
          <w:p w:rsidR="00693EE4" w:rsidRPr="00DF5B4A" w:rsidRDefault="00693EE4" w:rsidP="00ED5FDE">
            <w:pPr>
              <w:rPr>
                <w:rFonts w:cs="Calibri"/>
                <w:sz w:val="8"/>
                <w:szCs w:val="8"/>
              </w:rPr>
            </w:pPr>
          </w:p>
          <w:p w:rsidR="00693EE4" w:rsidRPr="00DF5B4A" w:rsidRDefault="00693EE4" w:rsidP="00ED5FDE">
            <w:pPr>
              <w:rPr>
                <w:rFonts w:cs="Calibri"/>
                <w:sz w:val="20"/>
              </w:rPr>
            </w:pPr>
            <w:r w:rsidRPr="00DF5B4A">
              <w:rPr>
                <w:rFonts w:cs="Calibri"/>
                <w:sz w:val="20"/>
              </w:rPr>
              <w:t>For residential properties above $3,000,000, the duty payable is $150,490 plus the rate of $7.00 per $100 or part thereof that exceeds $3,000,000.</w:t>
            </w:r>
          </w:p>
          <w:p w:rsidR="00693EE4" w:rsidRPr="00DF5B4A" w:rsidRDefault="00693EE4" w:rsidP="00ED5FDE">
            <w:pPr>
              <w:pStyle w:val="FootnoteText"/>
              <w:keepNext/>
              <w:keepLines/>
              <w:spacing w:after="120"/>
              <w:outlineLvl w:val="2"/>
              <w:rPr>
                <w:rFonts w:cs="Calibri"/>
              </w:rPr>
            </w:pPr>
          </w:p>
        </w:tc>
      </w:tr>
    </w:tbl>
    <w:p w:rsidR="00D51F49" w:rsidRPr="000102AB" w:rsidRDefault="00D51F49">
      <w:pPr>
        <w:rPr>
          <w:highlight w:val="lightGray"/>
        </w:rPr>
      </w:pPr>
      <w:r w:rsidRPr="000102AB">
        <w:rPr>
          <w:highlight w:val="lightGray"/>
        </w:rPr>
        <w:br w:type="page"/>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8"/>
        <w:gridCol w:w="3766"/>
        <w:gridCol w:w="3766"/>
      </w:tblGrid>
      <w:tr w:rsidR="00693EE4" w:rsidRPr="00DF5B4A" w:rsidTr="00ED5FDE">
        <w:trPr>
          <w:trHeight w:val="170"/>
          <w:jc w:val="center"/>
        </w:trPr>
        <w:tc>
          <w:tcPr>
            <w:tcW w:w="862" w:type="pct"/>
          </w:tcPr>
          <w:p w:rsidR="00693EE4" w:rsidRPr="00DF5B4A" w:rsidRDefault="00693EE4" w:rsidP="00ED5FDE">
            <w:pPr>
              <w:pStyle w:val="TableTextLeftBold"/>
              <w:rPr>
                <w:rFonts w:cs="Calibri"/>
              </w:rPr>
            </w:pPr>
            <w:r w:rsidRPr="00DF5B4A">
              <w:rPr>
                <w:rFonts w:cs="Calibri"/>
              </w:rPr>
              <w:lastRenderedPageBreak/>
              <w:t>Tax Type</w:t>
            </w:r>
          </w:p>
        </w:tc>
        <w:tc>
          <w:tcPr>
            <w:tcW w:w="2069" w:type="pct"/>
          </w:tcPr>
          <w:p w:rsidR="00693EE4" w:rsidRPr="00DF5B4A" w:rsidRDefault="00693EE4" w:rsidP="00ED5FDE">
            <w:pPr>
              <w:pStyle w:val="StyleTableTextLeftBoldCentered"/>
              <w:rPr>
                <w:rFonts w:cs="Calibri"/>
              </w:rPr>
            </w:pPr>
            <w:r w:rsidRPr="00DF5B4A">
              <w:rPr>
                <w:rFonts w:cs="Calibri"/>
              </w:rPr>
              <w:t>ACT</w:t>
            </w:r>
          </w:p>
        </w:tc>
        <w:tc>
          <w:tcPr>
            <w:tcW w:w="2069" w:type="pct"/>
          </w:tcPr>
          <w:p w:rsidR="00693EE4" w:rsidRPr="00DF5B4A" w:rsidRDefault="00693EE4" w:rsidP="00ED5FDE">
            <w:pPr>
              <w:pStyle w:val="StyleTableTextLeftBoldCentered"/>
              <w:rPr>
                <w:rFonts w:cs="Calibri"/>
              </w:rPr>
            </w:pPr>
            <w:r w:rsidRPr="00DF5B4A">
              <w:rPr>
                <w:rFonts w:cs="Calibri"/>
              </w:rPr>
              <w:t>NSW (as of 24 May 2013)</w:t>
            </w:r>
          </w:p>
        </w:tc>
      </w:tr>
      <w:tr w:rsidR="00693EE4" w:rsidRPr="00DF5B4A" w:rsidTr="00ED5FDE">
        <w:trPr>
          <w:trHeight w:val="170"/>
          <w:jc w:val="center"/>
        </w:trPr>
        <w:tc>
          <w:tcPr>
            <w:tcW w:w="862" w:type="pct"/>
          </w:tcPr>
          <w:p w:rsidR="00693EE4" w:rsidRPr="00DF5B4A" w:rsidRDefault="00693EE4" w:rsidP="00ED5FDE">
            <w:pPr>
              <w:rPr>
                <w:rFonts w:cs="Calibri"/>
                <w:b/>
                <w:sz w:val="20"/>
              </w:rPr>
            </w:pPr>
            <w:r w:rsidRPr="00DF5B4A">
              <w:rPr>
                <w:rFonts w:cs="Calibri"/>
                <w:b/>
                <w:sz w:val="20"/>
              </w:rPr>
              <w:t>Duty on Conveyances cont.</w:t>
            </w:r>
          </w:p>
        </w:tc>
        <w:tc>
          <w:tcPr>
            <w:tcW w:w="2069" w:type="pct"/>
          </w:tcPr>
          <w:p w:rsidR="00693EE4" w:rsidRPr="00DF5B4A" w:rsidRDefault="00693EE4" w:rsidP="00ED5FDE">
            <w:pPr>
              <w:rPr>
                <w:rFonts w:cs="Calibri"/>
                <w:b/>
                <w:sz w:val="20"/>
              </w:rPr>
            </w:pPr>
            <w:r w:rsidRPr="00DF5B4A">
              <w:rPr>
                <w:rFonts w:cs="Calibri"/>
                <w:b/>
                <w:sz w:val="20"/>
              </w:rPr>
              <w:t>Home Buyers Concession Scheme</w:t>
            </w:r>
          </w:p>
          <w:p w:rsidR="00693EE4" w:rsidRPr="00DF5B4A" w:rsidRDefault="00693EE4" w:rsidP="00ED5FDE">
            <w:pPr>
              <w:rPr>
                <w:rFonts w:cs="Calibri"/>
                <w:b/>
                <w:sz w:val="20"/>
              </w:rPr>
            </w:pPr>
            <w:r w:rsidRPr="00DF5B4A">
              <w:rPr>
                <w:rFonts w:cs="Calibri"/>
                <w:b/>
                <w:sz w:val="20"/>
              </w:rPr>
              <w:t>Existing properties</w:t>
            </w:r>
          </w:p>
          <w:p w:rsidR="00693EE4" w:rsidRPr="00DF5B4A" w:rsidRDefault="00693EE4" w:rsidP="00ED5FDE">
            <w:pPr>
              <w:rPr>
                <w:rFonts w:cs="Calibri"/>
                <w:sz w:val="20"/>
              </w:rPr>
            </w:pPr>
            <w:r w:rsidRPr="00DF5B4A">
              <w:rPr>
                <w:rFonts w:cs="Calibri"/>
                <w:sz w:val="20"/>
              </w:rPr>
              <w:t>The Home Buyers Concession Scheme ceased for existing properties from 1 September 2012.</w:t>
            </w:r>
          </w:p>
          <w:p w:rsidR="00693EE4" w:rsidRPr="00DF5B4A" w:rsidRDefault="00693EE4" w:rsidP="00ED5FDE">
            <w:pPr>
              <w:pStyle w:val="Heading3"/>
              <w:spacing w:before="0" w:after="0"/>
              <w:rPr>
                <w:rFonts w:ascii="Calibri" w:hAnsi="Calibri" w:cs="Calibri"/>
                <w:b w:val="0"/>
                <w:bCs w:val="0"/>
                <w:sz w:val="8"/>
                <w:szCs w:val="8"/>
              </w:rPr>
            </w:pPr>
          </w:p>
          <w:p w:rsidR="00693EE4" w:rsidRPr="00DF5B4A" w:rsidRDefault="00693EE4" w:rsidP="00ED5FDE">
            <w:pPr>
              <w:rPr>
                <w:rFonts w:cs="Calibri"/>
                <w:b/>
                <w:sz w:val="20"/>
              </w:rPr>
            </w:pPr>
            <w:r w:rsidRPr="00DF5B4A">
              <w:rPr>
                <w:rFonts w:cs="Calibri"/>
                <w:b/>
                <w:sz w:val="20"/>
              </w:rPr>
              <w:t>New or substantially renovated properties</w:t>
            </w:r>
          </w:p>
          <w:p w:rsidR="00693EE4" w:rsidRPr="00DF5B4A" w:rsidRDefault="00693EE4" w:rsidP="00ED5FDE">
            <w:r w:rsidRPr="00DF5B4A">
              <w:rPr>
                <w:rFonts w:cs="Calibri"/>
                <w:sz w:val="20"/>
              </w:rPr>
              <w:t>The Home Buyers Concession Scheme only applies to new or substantially renovated properties and vacant blocks for transactions dated on or after 5 June 2013.</w:t>
            </w:r>
          </w:p>
          <w:p w:rsidR="00693EE4" w:rsidRPr="00DF5B4A" w:rsidRDefault="00693EE4" w:rsidP="00077859">
            <w:pPr>
              <w:keepNext/>
              <w:keepLines/>
              <w:numPr>
                <w:ilvl w:val="0"/>
                <w:numId w:val="14"/>
              </w:numPr>
              <w:tabs>
                <w:tab w:val="num" w:pos="330"/>
              </w:tabs>
              <w:outlineLvl w:val="2"/>
              <w:rPr>
                <w:rFonts w:cs="Calibri"/>
                <w:sz w:val="20"/>
              </w:rPr>
            </w:pPr>
            <w:r w:rsidRPr="00DF5B4A">
              <w:rPr>
                <w:rFonts w:cs="Calibri"/>
                <w:sz w:val="20"/>
              </w:rPr>
              <w:t>income threshold of $160,000 (plus further allowance for children);</w:t>
            </w:r>
          </w:p>
          <w:p w:rsidR="00693EE4" w:rsidRPr="00DF5B4A" w:rsidRDefault="00693EE4" w:rsidP="00077859">
            <w:pPr>
              <w:keepNext/>
              <w:keepLines/>
              <w:numPr>
                <w:ilvl w:val="0"/>
                <w:numId w:val="14"/>
              </w:numPr>
              <w:tabs>
                <w:tab w:val="num" w:pos="330"/>
              </w:tabs>
              <w:outlineLvl w:val="2"/>
              <w:rPr>
                <w:rFonts w:cs="Calibri"/>
                <w:sz w:val="20"/>
              </w:rPr>
            </w:pPr>
            <w:r w:rsidRPr="00DF5B4A">
              <w:rPr>
                <w:rFonts w:cs="Calibri"/>
                <w:sz w:val="20"/>
              </w:rPr>
              <w:t>concession for house and land value up to $525,000; and</w:t>
            </w:r>
          </w:p>
          <w:p w:rsidR="00693EE4" w:rsidRPr="00DF5B4A" w:rsidRDefault="00693EE4" w:rsidP="00077859">
            <w:pPr>
              <w:keepNext/>
              <w:keepLines/>
              <w:numPr>
                <w:ilvl w:val="0"/>
                <w:numId w:val="14"/>
              </w:numPr>
              <w:tabs>
                <w:tab w:val="num" w:pos="330"/>
              </w:tabs>
              <w:outlineLvl w:val="2"/>
              <w:rPr>
                <w:rFonts w:cs="Calibri"/>
                <w:sz w:val="20"/>
              </w:rPr>
            </w:pPr>
            <w:r w:rsidRPr="00DF5B4A">
              <w:rPr>
                <w:rFonts w:cs="Calibri"/>
                <w:sz w:val="20"/>
              </w:rPr>
              <w:t>concession for vacant land value of up to $290,000.</w:t>
            </w:r>
          </w:p>
          <w:p w:rsidR="00693EE4" w:rsidRPr="00DF5B4A" w:rsidRDefault="00693EE4" w:rsidP="00ED5FDE">
            <w:pPr>
              <w:keepNext/>
              <w:keepLines/>
              <w:outlineLvl w:val="2"/>
              <w:rPr>
                <w:rFonts w:cs="Calibri"/>
                <w:sz w:val="20"/>
              </w:rPr>
            </w:pPr>
            <w:r w:rsidRPr="00DF5B4A">
              <w:rPr>
                <w:rFonts w:cs="Calibri"/>
                <w:sz w:val="20"/>
              </w:rPr>
              <w:t>The property value thresholds are determined biannually of each year, taking into account movements in the market.</w:t>
            </w:r>
          </w:p>
          <w:p w:rsidR="00693EE4" w:rsidRPr="00DF5B4A" w:rsidRDefault="00693EE4" w:rsidP="00ED5FDE">
            <w:pPr>
              <w:keepNext/>
              <w:keepLines/>
              <w:outlineLvl w:val="2"/>
              <w:rPr>
                <w:rFonts w:cs="Calibri"/>
                <w:sz w:val="20"/>
              </w:rPr>
            </w:pPr>
          </w:p>
          <w:p w:rsidR="00693EE4" w:rsidRPr="00DF5B4A" w:rsidRDefault="00693EE4" w:rsidP="00ED5FDE">
            <w:pPr>
              <w:keepNext/>
              <w:keepLines/>
              <w:outlineLvl w:val="2"/>
              <w:rPr>
                <w:rFonts w:cs="Calibri"/>
                <w:sz w:val="20"/>
              </w:rPr>
            </w:pPr>
            <w:r w:rsidRPr="00DF5B4A">
              <w:rPr>
                <w:rFonts w:cs="Calibri"/>
                <w:b/>
                <w:sz w:val="20"/>
              </w:rPr>
              <w:t>Pensioner Duty Concession Scheme</w:t>
            </w:r>
            <w:r w:rsidRPr="00DF5B4A">
              <w:rPr>
                <w:rFonts w:cs="Calibri"/>
                <w:sz w:val="20"/>
              </w:rPr>
              <w:t xml:space="preserve">: </w:t>
            </w:r>
          </w:p>
          <w:p w:rsidR="00693EE4" w:rsidRPr="00DF5B4A" w:rsidRDefault="00693EE4" w:rsidP="00ED5FDE">
            <w:pPr>
              <w:keepNext/>
              <w:keepLines/>
              <w:spacing w:before="120" w:after="120"/>
              <w:outlineLvl w:val="2"/>
              <w:rPr>
                <w:rFonts w:cs="Calibri"/>
                <w:sz w:val="20"/>
              </w:rPr>
            </w:pPr>
            <w:r w:rsidRPr="00DF5B4A">
              <w:rPr>
                <w:rFonts w:cs="Calibri"/>
                <w:sz w:val="20"/>
              </w:rPr>
              <w:t>For transactions dated from 1 July 2013:</w:t>
            </w:r>
          </w:p>
          <w:p w:rsidR="00693EE4" w:rsidRPr="00DF5B4A" w:rsidRDefault="00693EE4" w:rsidP="00077859">
            <w:pPr>
              <w:keepNext/>
              <w:keepLines/>
              <w:numPr>
                <w:ilvl w:val="0"/>
                <w:numId w:val="14"/>
              </w:numPr>
              <w:tabs>
                <w:tab w:val="num" w:pos="330"/>
              </w:tabs>
              <w:outlineLvl w:val="2"/>
              <w:rPr>
                <w:rFonts w:cs="Calibri"/>
                <w:sz w:val="20"/>
              </w:rPr>
            </w:pPr>
            <w:r w:rsidRPr="00DF5B4A">
              <w:rPr>
                <w:rFonts w:cs="Calibri"/>
                <w:sz w:val="20"/>
              </w:rPr>
              <w:t>concession for house and land value up to $733,000.</w:t>
            </w:r>
          </w:p>
          <w:p w:rsidR="00693EE4" w:rsidRPr="00DF5B4A" w:rsidRDefault="00693EE4" w:rsidP="00077859">
            <w:pPr>
              <w:keepNext/>
              <w:keepLines/>
              <w:numPr>
                <w:ilvl w:val="0"/>
                <w:numId w:val="14"/>
              </w:numPr>
              <w:tabs>
                <w:tab w:val="num" w:pos="330"/>
              </w:tabs>
              <w:outlineLvl w:val="2"/>
              <w:rPr>
                <w:rFonts w:cs="Calibri"/>
                <w:sz w:val="20"/>
              </w:rPr>
            </w:pPr>
            <w:r w:rsidRPr="00DF5B4A">
              <w:rPr>
                <w:rFonts w:cs="Calibri"/>
                <w:sz w:val="20"/>
              </w:rPr>
              <w:t>concession for vacant land value up to $350,000.</w:t>
            </w:r>
          </w:p>
          <w:p w:rsidR="00693EE4" w:rsidRPr="00DF5B4A" w:rsidRDefault="00693EE4" w:rsidP="00ED5FDE">
            <w:pPr>
              <w:keepNext/>
              <w:keepLines/>
              <w:outlineLvl w:val="2"/>
              <w:rPr>
                <w:rFonts w:cs="Calibri"/>
                <w:sz w:val="8"/>
                <w:szCs w:val="8"/>
              </w:rPr>
            </w:pPr>
          </w:p>
          <w:p w:rsidR="00693EE4" w:rsidRPr="00DF5B4A" w:rsidRDefault="00693EE4" w:rsidP="00785490">
            <w:pPr>
              <w:keepNext/>
              <w:keepLines/>
              <w:outlineLvl w:val="2"/>
              <w:rPr>
                <w:rFonts w:cs="Calibri"/>
                <w:sz w:val="20"/>
              </w:rPr>
            </w:pPr>
            <w:r w:rsidRPr="00DF5B4A">
              <w:rPr>
                <w:rFonts w:cs="Calibri"/>
                <w:sz w:val="20"/>
              </w:rPr>
              <w:t>The property value thresholds are determined biannually of each year, taking into account movements in the market.</w:t>
            </w:r>
          </w:p>
        </w:tc>
        <w:tc>
          <w:tcPr>
            <w:tcW w:w="2069" w:type="pct"/>
          </w:tcPr>
          <w:p w:rsidR="00693EE4" w:rsidRPr="00DF5B4A" w:rsidRDefault="00693EE4" w:rsidP="00ED5FDE">
            <w:pPr>
              <w:outlineLvl w:val="2"/>
              <w:rPr>
                <w:rFonts w:cs="Calibri"/>
                <w:b/>
                <w:bCs/>
                <w:sz w:val="20"/>
              </w:rPr>
            </w:pPr>
            <w:r w:rsidRPr="00DF5B4A">
              <w:rPr>
                <w:rFonts w:cs="Calibri"/>
                <w:b/>
                <w:bCs/>
                <w:sz w:val="20"/>
              </w:rPr>
              <w:t>First Home – New Home Scheme</w:t>
            </w:r>
          </w:p>
          <w:p w:rsidR="00693EE4" w:rsidRPr="00DF5B4A" w:rsidRDefault="00693EE4" w:rsidP="00ED5FDE">
            <w:pPr>
              <w:keepNext/>
              <w:keepLines/>
              <w:spacing w:after="120"/>
              <w:outlineLvl w:val="2"/>
              <w:rPr>
                <w:rFonts w:cs="Calibri"/>
                <w:sz w:val="20"/>
              </w:rPr>
            </w:pPr>
            <w:r w:rsidRPr="00DF5B4A">
              <w:rPr>
                <w:rFonts w:cs="Calibri"/>
                <w:sz w:val="20"/>
              </w:rPr>
              <w:t>The First Home – New Home Scheme provides exemptions on the transfer of new homes valued at or below $550,000 and concessions on the transfer of new homes valued between $550,000 and $650,000 from 1 July 2012.  With respect to vacant land, no duty for value up to $350,000 and concessions on the transfer of vacant land valued between $350,000 and $450,000 from 1 July 2012.</w:t>
            </w:r>
          </w:p>
          <w:p w:rsidR="00693EE4" w:rsidRPr="00DF5B4A" w:rsidRDefault="00693EE4" w:rsidP="00ED5FDE">
            <w:pPr>
              <w:rPr>
                <w:rFonts w:cs="Calibri"/>
                <w:sz w:val="20"/>
              </w:rPr>
            </w:pPr>
          </w:p>
        </w:tc>
      </w:tr>
      <w:tr w:rsidR="00693EE4" w:rsidRPr="00DF5B4A" w:rsidTr="00ED5FDE">
        <w:trPr>
          <w:trHeight w:val="1820"/>
          <w:jc w:val="center"/>
        </w:trPr>
        <w:tc>
          <w:tcPr>
            <w:tcW w:w="862" w:type="pct"/>
          </w:tcPr>
          <w:p w:rsidR="00693EE4" w:rsidRPr="00DF5B4A" w:rsidRDefault="00693EE4" w:rsidP="00ED5FDE">
            <w:pPr>
              <w:rPr>
                <w:rFonts w:cs="Calibri"/>
                <w:b/>
                <w:bCs/>
                <w:sz w:val="20"/>
              </w:rPr>
            </w:pPr>
            <w:r w:rsidRPr="00DF5B4A">
              <w:rPr>
                <w:rFonts w:cs="Calibri"/>
                <w:b/>
                <w:bCs/>
                <w:sz w:val="20"/>
              </w:rPr>
              <w:t>Mortgages and Loan Security Duty</w:t>
            </w:r>
          </w:p>
        </w:tc>
        <w:tc>
          <w:tcPr>
            <w:tcW w:w="2069" w:type="pct"/>
          </w:tcPr>
          <w:p w:rsidR="00693EE4" w:rsidRPr="00DF5B4A" w:rsidRDefault="00693EE4" w:rsidP="00ED5FDE">
            <w:pPr>
              <w:outlineLvl w:val="2"/>
              <w:rPr>
                <w:rFonts w:cs="Calibri"/>
                <w:sz w:val="20"/>
              </w:rPr>
            </w:pPr>
            <w:r w:rsidRPr="00DF5B4A">
              <w:rPr>
                <w:rFonts w:cs="Calibri"/>
                <w:sz w:val="20"/>
              </w:rPr>
              <w:t>Not applied in the ACT.</w:t>
            </w:r>
          </w:p>
        </w:tc>
        <w:tc>
          <w:tcPr>
            <w:tcW w:w="2069" w:type="pct"/>
          </w:tcPr>
          <w:p w:rsidR="00693EE4" w:rsidRPr="00DF5B4A" w:rsidRDefault="00693EE4" w:rsidP="00ED5FDE">
            <w:pPr>
              <w:rPr>
                <w:rFonts w:cs="Calibri"/>
                <w:sz w:val="20"/>
              </w:rPr>
            </w:pPr>
            <w:r w:rsidRPr="00DF5B4A">
              <w:rPr>
                <w:rFonts w:cs="Calibri"/>
                <w:sz w:val="20"/>
              </w:rPr>
              <w:t xml:space="preserve">$0 </w:t>
            </w:r>
            <w:r w:rsidRPr="00DF5B4A">
              <w:rPr>
                <w:rFonts w:cs="Calibri"/>
                <w:sz w:val="20"/>
              </w:rPr>
              <w:noBreakHyphen/>
              <w:t xml:space="preserve"> $16,000:  $5.00</w:t>
            </w:r>
            <w:r w:rsidRPr="00DF5B4A">
              <w:rPr>
                <w:rFonts w:cs="Calibri"/>
                <w:sz w:val="20"/>
              </w:rPr>
              <w:br/>
              <w:t>above $16,000:  $5.00 plus $4.00 per $1,000 or part thereof in excess of $16,000</w:t>
            </w:r>
          </w:p>
          <w:p w:rsidR="00693EE4" w:rsidRPr="00DF5B4A" w:rsidRDefault="00693EE4" w:rsidP="00ED5FDE">
            <w:pPr>
              <w:rPr>
                <w:rFonts w:cs="Calibri"/>
                <w:sz w:val="20"/>
              </w:rPr>
            </w:pPr>
            <w:r w:rsidRPr="00DF5B4A">
              <w:rPr>
                <w:rFonts w:cs="Calibri"/>
                <w:sz w:val="20"/>
              </w:rPr>
              <w:t>Not chargeable on advances made to natural persons for owner occupied housing or investment housing.</w:t>
            </w:r>
          </w:p>
          <w:p w:rsidR="00693EE4" w:rsidRPr="00DF5B4A" w:rsidRDefault="00693EE4" w:rsidP="0037085C">
            <w:pPr>
              <w:rPr>
                <w:rFonts w:cs="Calibri"/>
                <w:sz w:val="20"/>
              </w:rPr>
            </w:pPr>
            <w:r w:rsidRPr="00DF5B4A">
              <w:rPr>
                <w:rFonts w:cs="Calibri"/>
                <w:sz w:val="20"/>
              </w:rPr>
              <w:t>Mortgage D</w:t>
            </w:r>
            <w:r w:rsidR="0037085C">
              <w:rPr>
                <w:rFonts w:cs="Calibri"/>
                <w:sz w:val="20"/>
              </w:rPr>
              <w:t>uty will be abolished on 1 July </w:t>
            </w:r>
            <w:r w:rsidRPr="00DF5B4A">
              <w:rPr>
                <w:rFonts w:cs="Calibri"/>
                <w:sz w:val="20"/>
              </w:rPr>
              <w:t>2013.</w:t>
            </w:r>
          </w:p>
        </w:tc>
      </w:tr>
    </w:tbl>
    <w:p w:rsidR="00AF2CAB" w:rsidRPr="000102AB" w:rsidRDefault="00AF2CAB">
      <w:pPr>
        <w:rPr>
          <w:highlight w:val="lightGray"/>
        </w:rPr>
      </w:pPr>
      <w:r w:rsidRPr="000102AB">
        <w:rPr>
          <w:highlight w:val="lightGray"/>
        </w:rPr>
        <w:br w:type="page"/>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8"/>
        <w:gridCol w:w="3766"/>
        <w:gridCol w:w="3766"/>
      </w:tblGrid>
      <w:tr w:rsidR="00693EE4" w:rsidRPr="00DF5B4A" w:rsidTr="00ED5FDE">
        <w:trPr>
          <w:trHeight w:val="170"/>
          <w:jc w:val="center"/>
        </w:trPr>
        <w:tc>
          <w:tcPr>
            <w:tcW w:w="862" w:type="pct"/>
          </w:tcPr>
          <w:p w:rsidR="00693EE4" w:rsidRPr="00DF5B4A" w:rsidRDefault="00693EE4" w:rsidP="00ED5FDE">
            <w:pPr>
              <w:pStyle w:val="TableTextLeftBold"/>
              <w:rPr>
                <w:rFonts w:cs="Calibri"/>
              </w:rPr>
            </w:pPr>
            <w:r w:rsidRPr="00DF5B4A">
              <w:rPr>
                <w:rFonts w:cs="Calibri"/>
              </w:rPr>
              <w:lastRenderedPageBreak/>
              <w:t>Tax Type</w:t>
            </w:r>
          </w:p>
        </w:tc>
        <w:tc>
          <w:tcPr>
            <w:tcW w:w="2069" w:type="pct"/>
          </w:tcPr>
          <w:p w:rsidR="00693EE4" w:rsidRPr="00DF5B4A" w:rsidRDefault="00693EE4" w:rsidP="00ED5FDE">
            <w:pPr>
              <w:pStyle w:val="StyleTableTextLeftBoldCentered"/>
              <w:rPr>
                <w:rFonts w:cs="Calibri"/>
              </w:rPr>
            </w:pPr>
            <w:r w:rsidRPr="00DF5B4A">
              <w:rPr>
                <w:rFonts w:cs="Calibri"/>
              </w:rPr>
              <w:t>ACT</w:t>
            </w:r>
          </w:p>
        </w:tc>
        <w:tc>
          <w:tcPr>
            <w:tcW w:w="2069" w:type="pct"/>
          </w:tcPr>
          <w:p w:rsidR="00693EE4" w:rsidRPr="00DF5B4A" w:rsidRDefault="00693EE4" w:rsidP="00ED5FDE">
            <w:pPr>
              <w:pStyle w:val="StyleTableTextLeftBoldCentered"/>
              <w:rPr>
                <w:rFonts w:cs="Calibri"/>
              </w:rPr>
            </w:pPr>
            <w:r w:rsidRPr="00DF5B4A">
              <w:rPr>
                <w:rFonts w:cs="Calibri"/>
              </w:rPr>
              <w:t>NSW (as of 24 May 2013)</w:t>
            </w:r>
          </w:p>
        </w:tc>
      </w:tr>
      <w:tr w:rsidR="00693EE4" w:rsidRPr="00DF5B4A" w:rsidTr="00ED5FDE">
        <w:trPr>
          <w:trHeight w:val="170"/>
          <w:jc w:val="center"/>
        </w:trPr>
        <w:tc>
          <w:tcPr>
            <w:tcW w:w="862" w:type="pct"/>
          </w:tcPr>
          <w:p w:rsidR="00693EE4" w:rsidRPr="00DF5B4A" w:rsidRDefault="00693EE4" w:rsidP="00ED5FDE">
            <w:pPr>
              <w:rPr>
                <w:rFonts w:cs="Calibri"/>
                <w:b/>
                <w:bCs/>
                <w:sz w:val="20"/>
              </w:rPr>
            </w:pPr>
            <w:r w:rsidRPr="00DF5B4A">
              <w:rPr>
                <w:rFonts w:cs="Calibri"/>
                <w:b/>
                <w:bCs/>
                <w:sz w:val="20"/>
              </w:rPr>
              <w:t>Duty on Motor Vehicle Registrations</w:t>
            </w:r>
          </w:p>
        </w:tc>
        <w:tc>
          <w:tcPr>
            <w:tcW w:w="2069" w:type="pct"/>
          </w:tcPr>
          <w:p w:rsidR="00693EE4" w:rsidRPr="00DF5B4A" w:rsidRDefault="00693EE4" w:rsidP="00ED5FDE">
            <w:pPr>
              <w:outlineLvl w:val="2"/>
              <w:rPr>
                <w:rFonts w:cs="Calibri"/>
                <w:b/>
                <w:bCs/>
                <w:sz w:val="20"/>
              </w:rPr>
            </w:pPr>
            <w:r w:rsidRPr="00DF5B4A">
              <w:rPr>
                <w:rFonts w:cs="Calibri"/>
                <w:b/>
                <w:bCs/>
                <w:sz w:val="20"/>
              </w:rPr>
              <w:t>No green vehicle rating</w:t>
            </w:r>
          </w:p>
          <w:p w:rsidR="00693EE4" w:rsidRPr="00DF5B4A" w:rsidRDefault="00693EE4" w:rsidP="00ED5FDE">
            <w:pPr>
              <w:outlineLvl w:val="2"/>
              <w:rPr>
                <w:rFonts w:cs="Calibri"/>
                <w:sz w:val="20"/>
              </w:rPr>
            </w:pPr>
            <w:r w:rsidRPr="00DF5B4A">
              <w:rPr>
                <w:rFonts w:cs="Calibri"/>
                <w:sz w:val="20"/>
              </w:rPr>
              <w:t>Valued at $45,000 or less</w:t>
            </w:r>
          </w:p>
          <w:p w:rsidR="00693EE4" w:rsidRPr="00DF5B4A" w:rsidRDefault="00693EE4" w:rsidP="00ED5FDE">
            <w:pPr>
              <w:outlineLvl w:val="2"/>
              <w:rPr>
                <w:rFonts w:cs="Calibri"/>
                <w:sz w:val="20"/>
              </w:rPr>
            </w:pPr>
            <w:r w:rsidRPr="00DF5B4A">
              <w:rPr>
                <w:rFonts w:cs="Calibri"/>
                <w:sz w:val="20"/>
              </w:rPr>
              <w:t>$3 per $100</w:t>
            </w:r>
          </w:p>
          <w:p w:rsidR="00693EE4" w:rsidRPr="00DF5B4A" w:rsidRDefault="00693EE4" w:rsidP="00ED5FDE">
            <w:pPr>
              <w:outlineLvl w:val="2"/>
              <w:rPr>
                <w:rFonts w:cs="Calibri"/>
                <w:sz w:val="8"/>
                <w:szCs w:val="8"/>
              </w:rPr>
            </w:pPr>
          </w:p>
          <w:p w:rsidR="00693EE4" w:rsidRPr="00DF5B4A" w:rsidRDefault="00693EE4" w:rsidP="00ED5FDE">
            <w:pPr>
              <w:outlineLvl w:val="2"/>
              <w:rPr>
                <w:rFonts w:cs="Calibri"/>
                <w:sz w:val="20"/>
              </w:rPr>
            </w:pPr>
            <w:r w:rsidRPr="00DF5B4A">
              <w:rPr>
                <w:rFonts w:cs="Calibri"/>
                <w:sz w:val="20"/>
              </w:rPr>
              <w:t>Valued at more than $45,000</w:t>
            </w:r>
          </w:p>
          <w:p w:rsidR="00693EE4" w:rsidRPr="00DF5B4A" w:rsidRDefault="00693EE4" w:rsidP="00ED5FDE">
            <w:pPr>
              <w:outlineLvl w:val="2"/>
              <w:rPr>
                <w:rFonts w:cs="Calibri"/>
                <w:sz w:val="20"/>
              </w:rPr>
            </w:pPr>
            <w:r w:rsidRPr="00DF5B4A">
              <w:rPr>
                <w:rFonts w:cs="Calibri"/>
                <w:sz w:val="20"/>
              </w:rPr>
              <w:t>$1,350+$5 per $100 or part thereof over $45,000</w:t>
            </w:r>
          </w:p>
          <w:p w:rsidR="00693EE4" w:rsidRPr="00DF5B4A" w:rsidRDefault="00693EE4" w:rsidP="00ED5FDE">
            <w:pPr>
              <w:outlineLvl w:val="2"/>
              <w:rPr>
                <w:rFonts w:cs="Calibri"/>
                <w:bCs/>
                <w:sz w:val="8"/>
                <w:szCs w:val="8"/>
              </w:rPr>
            </w:pPr>
          </w:p>
          <w:p w:rsidR="00693EE4" w:rsidRPr="00DF5B4A" w:rsidRDefault="00693EE4" w:rsidP="00ED5FDE">
            <w:pPr>
              <w:outlineLvl w:val="2"/>
              <w:rPr>
                <w:rFonts w:cs="Calibri"/>
                <w:b/>
                <w:bCs/>
                <w:sz w:val="20"/>
              </w:rPr>
            </w:pPr>
            <w:r w:rsidRPr="00DF5B4A">
              <w:rPr>
                <w:rFonts w:cs="Calibri"/>
                <w:b/>
                <w:bCs/>
                <w:sz w:val="20"/>
              </w:rPr>
              <w:t>Green vehicle rating</w:t>
            </w:r>
          </w:p>
          <w:p w:rsidR="00693EE4" w:rsidRPr="00DF5B4A" w:rsidRDefault="00693EE4" w:rsidP="00ED5FDE">
            <w:pPr>
              <w:outlineLvl w:val="2"/>
              <w:rPr>
                <w:rFonts w:cs="Calibri"/>
                <w:sz w:val="20"/>
              </w:rPr>
            </w:pPr>
            <w:r w:rsidRPr="00DF5B4A">
              <w:rPr>
                <w:rFonts w:cs="Calibri"/>
                <w:sz w:val="20"/>
              </w:rPr>
              <w:t>Applies to new motor vehicles not previously registered.  Rates depend on green vehicle rating (environmental performance score) and value.</w:t>
            </w:r>
          </w:p>
          <w:p w:rsidR="00693EE4" w:rsidRPr="00DF5B4A" w:rsidRDefault="00693EE4" w:rsidP="00ED5FDE">
            <w:pPr>
              <w:outlineLvl w:val="2"/>
              <w:rPr>
                <w:rFonts w:cs="Calibri"/>
                <w:sz w:val="8"/>
                <w:szCs w:val="8"/>
              </w:rPr>
            </w:pPr>
          </w:p>
          <w:p w:rsidR="00693EE4" w:rsidRPr="00DF5B4A" w:rsidRDefault="00693EE4" w:rsidP="00ED5FDE">
            <w:pPr>
              <w:outlineLvl w:val="2"/>
              <w:rPr>
                <w:rFonts w:cs="Calibri"/>
                <w:sz w:val="20"/>
              </w:rPr>
            </w:pPr>
            <w:r w:rsidRPr="00DF5B4A">
              <w:rPr>
                <w:rFonts w:cs="Calibri"/>
                <w:sz w:val="20"/>
              </w:rPr>
              <w:t>Valued at $45,000 or less</w:t>
            </w:r>
          </w:p>
          <w:p w:rsidR="00693EE4" w:rsidRPr="00DF5B4A" w:rsidRDefault="00693EE4" w:rsidP="00ED5FDE">
            <w:pPr>
              <w:outlineLvl w:val="2"/>
              <w:rPr>
                <w:rFonts w:cs="Calibri"/>
                <w:sz w:val="20"/>
              </w:rPr>
            </w:pPr>
            <w:r w:rsidRPr="00DF5B4A">
              <w:rPr>
                <w:rFonts w:cs="Calibri"/>
                <w:sz w:val="20"/>
              </w:rPr>
              <w:t>A rated (16 or more) = nil</w:t>
            </w:r>
            <w:r w:rsidRPr="00DF5B4A">
              <w:rPr>
                <w:rFonts w:cs="Calibri"/>
                <w:sz w:val="20"/>
              </w:rPr>
              <w:br/>
              <w:t>B rated (14 or more but &lt; 16) = $2 per $100</w:t>
            </w:r>
            <w:r w:rsidRPr="00DF5B4A">
              <w:rPr>
                <w:rFonts w:cs="Calibri"/>
                <w:sz w:val="20"/>
              </w:rPr>
              <w:br/>
              <w:t>C rated (9.5 or more but &lt; 14) = $3 per $100</w:t>
            </w:r>
            <w:r w:rsidRPr="00DF5B4A">
              <w:rPr>
                <w:rFonts w:cs="Calibri"/>
                <w:sz w:val="20"/>
              </w:rPr>
              <w:br/>
              <w:t xml:space="preserve">D rated (less than 9.5) = $4 per $100  </w:t>
            </w:r>
          </w:p>
          <w:p w:rsidR="00693EE4" w:rsidRPr="00DF5B4A" w:rsidRDefault="00693EE4" w:rsidP="00ED5FDE">
            <w:pPr>
              <w:outlineLvl w:val="2"/>
              <w:rPr>
                <w:rFonts w:cs="Calibri"/>
                <w:sz w:val="8"/>
                <w:szCs w:val="8"/>
              </w:rPr>
            </w:pPr>
          </w:p>
          <w:p w:rsidR="00693EE4" w:rsidRPr="00DF5B4A" w:rsidRDefault="00693EE4" w:rsidP="00ED5FDE">
            <w:pPr>
              <w:outlineLvl w:val="2"/>
              <w:rPr>
                <w:rFonts w:cs="Calibri"/>
                <w:sz w:val="20"/>
              </w:rPr>
            </w:pPr>
            <w:r w:rsidRPr="00DF5B4A">
              <w:rPr>
                <w:rFonts w:cs="Calibri"/>
                <w:sz w:val="20"/>
              </w:rPr>
              <w:t>Valued at more than $45,000</w:t>
            </w:r>
          </w:p>
          <w:p w:rsidR="00693EE4" w:rsidRPr="00DF5B4A" w:rsidRDefault="00693EE4" w:rsidP="00ED5FDE">
            <w:pPr>
              <w:outlineLvl w:val="2"/>
              <w:rPr>
                <w:rFonts w:cs="Calibri"/>
                <w:sz w:val="20"/>
              </w:rPr>
            </w:pPr>
            <w:r w:rsidRPr="00DF5B4A">
              <w:rPr>
                <w:rFonts w:cs="Calibri"/>
                <w:sz w:val="20"/>
              </w:rPr>
              <w:t>A rated (16 or more) = nil</w:t>
            </w:r>
            <w:r w:rsidRPr="00DF5B4A">
              <w:rPr>
                <w:rFonts w:cs="Calibri"/>
                <w:sz w:val="20"/>
              </w:rPr>
              <w:br/>
              <w:t>B rated (14 or more but &lt; 16) = $900 plus $4 per $100 above $45,000</w:t>
            </w:r>
            <w:r w:rsidRPr="00DF5B4A">
              <w:rPr>
                <w:rFonts w:cs="Calibri"/>
                <w:sz w:val="20"/>
              </w:rPr>
              <w:br/>
              <w:t>C rated (9.5 or more but &lt; 14) = $1,350 plus $5 per $100 above $45,000</w:t>
            </w:r>
            <w:r w:rsidRPr="00DF5B4A">
              <w:rPr>
                <w:rFonts w:cs="Calibri"/>
                <w:sz w:val="20"/>
              </w:rPr>
              <w:br/>
              <w:t>D rated (less than 9.5) = $1,800 plus $6 per $100 above $45,000</w:t>
            </w:r>
          </w:p>
        </w:tc>
        <w:tc>
          <w:tcPr>
            <w:tcW w:w="2069" w:type="pct"/>
          </w:tcPr>
          <w:p w:rsidR="00693EE4" w:rsidRPr="00DF5B4A" w:rsidRDefault="00693EE4" w:rsidP="00ED5FDE">
            <w:pPr>
              <w:outlineLvl w:val="2"/>
              <w:rPr>
                <w:rFonts w:cs="Calibri"/>
                <w:sz w:val="20"/>
              </w:rPr>
            </w:pPr>
            <w:r w:rsidRPr="00DF5B4A">
              <w:rPr>
                <w:rFonts w:cs="Calibri"/>
                <w:sz w:val="20"/>
              </w:rPr>
              <w:t>Under $45,000 = $3 per $100</w:t>
            </w:r>
          </w:p>
          <w:p w:rsidR="00693EE4" w:rsidRPr="00DF5B4A" w:rsidRDefault="00693EE4" w:rsidP="00ED5FDE">
            <w:pPr>
              <w:outlineLvl w:val="2"/>
              <w:rPr>
                <w:rFonts w:cs="Calibri"/>
                <w:sz w:val="20"/>
              </w:rPr>
            </w:pPr>
            <w:r w:rsidRPr="00DF5B4A">
              <w:rPr>
                <w:rFonts w:cs="Calibri"/>
                <w:sz w:val="20"/>
              </w:rPr>
              <w:t>Over $45,000 = $1,350+$5 per $100 or part thereof over $45,000</w:t>
            </w:r>
          </w:p>
        </w:tc>
      </w:tr>
      <w:tr w:rsidR="00693EE4" w:rsidRPr="00DF5B4A" w:rsidTr="00ED5FDE">
        <w:trPr>
          <w:trHeight w:val="170"/>
          <w:jc w:val="center"/>
        </w:trPr>
        <w:tc>
          <w:tcPr>
            <w:tcW w:w="862" w:type="pct"/>
          </w:tcPr>
          <w:p w:rsidR="00693EE4" w:rsidRPr="00DF5B4A" w:rsidRDefault="00693EE4" w:rsidP="00ED5FDE">
            <w:pPr>
              <w:rPr>
                <w:rFonts w:cs="Calibri"/>
                <w:b/>
                <w:bCs/>
                <w:sz w:val="20"/>
              </w:rPr>
            </w:pPr>
            <w:r w:rsidRPr="00DF5B4A">
              <w:rPr>
                <w:rFonts w:cs="Calibri"/>
                <w:b/>
                <w:bCs/>
                <w:sz w:val="20"/>
              </w:rPr>
              <w:t>Duty on General Insurance</w:t>
            </w:r>
          </w:p>
        </w:tc>
        <w:tc>
          <w:tcPr>
            <w:tcW w:w="2069" w:type="pct"/>
          </w:tcPr>
          <w:p w:rsidR="00693EE4" w:rsidRPr="00DF5B4A" w:rsidRDefault="00693EE4" w:rsidP="0037085C">
            <w:pPr>
              <w:rPr>
                <w:rFonts w:cs="Calibri"/>
                <w:sz w:val="20"/>
              </w:rPr>
            </w:pPr>
            <w:r w:rsidRPr="00DF5B4A">
              <w:rPr>
                <w:rFonts w:cs="Calibri"/>
                <w:bCs/>
                <w:sz w:val="20"/>
              </w:rPr>
              <w:t>6</w:t>
            </w:r>
            <w:r w:rsidR="0037085C">
              <w:rPr>
                <w:rFonts w:cs="Calibri"/>
                <w:sz w:val="20"/>
              </w:rPr>
              <w:t> per cent</w:t>
            </w:r>
            <w:r w:rsidRPr="00DF5B4A">
              <w:rPr>
                <w:rFonts w:cs="Calibri"/>
                <w:bCs/>
                <w:sz w:val="20"/>
              </w:rPr>
              <w:t xml:space="preserve"> </w:t>
            </w:r>
            <w:r w:rsidR="0037085C">
              <w:rPr>
                <w:rFonts w:cs="Calibri"/>
                <w:bCs/>
                <w:sz w:val="20"/>
              </w:rPr>
              <w:t>of value of premium from 1 July </w:t>
            </w:r>
            <w:r w:rsidRPr="00DF5B4A">
              <w:rPr>
                <w:rFonts w:cs="Calibri"/>
                <w:bCs/>
                <w:sz w:val="20"/>
              </w:rPr>
              <w:t>2013.</w:t>
            </w:r>
          </w:p>
        </w:tc>
        <w:tc>
          <w:tcPr>
            <w:tcW w:w="2069" w:type="pct"/>
          </w:tcPr>
          <w:p w:rsidR="00693EE4" w:rsidRPr="00DF5B4A" w:rsidRDefault="00693EE4" w:rsidP="0037085C">
            <w:pPr>
              <w:rPr>
                <w:rFonts w:cs="Calibri"/>
                <w:sz w:val="20"/>
              </w:rPr>
            </w:pPr>
            <w:r w:rsidRPr="00DF5B4A">
              <w:rPr>
                <w:rFonts w:cs="Calibri"/>
                <w:sz w:val="20"/>
              </w:rPr>
              <w:t>2.5</w:t>
            </w:r>
            <w:r w:rsidR="0037085C">
              <w:rPr>
                <w:rFonts w:cs="Calibri"/>
                <w:sz w:val="20"/>
              </w:rPr>
              <w:t> per cent</w:t>
            </w:r>
            <w:r w:rsidRPr="00DF5B4A">
              <w:rPr>
                <w:rFonts w:cs="Calibri"/>
                <w:sz w:val="20"/>
              </w:rPr>
              <w:t xml:space="preserve"> to 9</w:t>
            </w:r>
            <w:r w:rsidR="0037085C">
              <w:rPr>
                <w:rFonts w:cs="Calibri"/>
                <w:sz w:val="20"/>
              </w:rPr>
              <w:t> per cent</w:t>
            </w:r>
            <w:r w:rsidRPr="00DF5B4A">
              <w:rPr>
                <w:rFonts w:cs="Calibri"/>
                <w:sz w:val="20"/>
              </w:rPr>
              <w:t xml:space="preserve"> of the premium, depending on the type of insurance.</w:t>
            </w:r>
          </w:p>
        </w:tc>
      </w:tr>
      <w:tr w:rsidR="00693EE4" w:rsidRPr="00795F2E" w:rsidTr="00ED5FDE">
        <w:trPr>
          <w:trHeight w:val="170"/>
          <w:jc w:val="center"/>
        </w:trPr>
        <w:tc>
          <w:tcPr>
            <w:tcW w:w="862" w:type="pct"/>
          </w:tcPr>
          <w:p w:rsidR="00693EE4" w:rsidRPr="00DF5B4A" w:rsidRDefault="00693EE4" w:rsidP="00ED5FDE">
            <w:pPr>
              <w:rPr>
                <w:rFonts w:cs="Calibri"/>
                <w:b/>
                <w:bCs/>
                <w:sz w:val="20"/>
              </w:rPr>
            </w:pPr>
            <w:r w:rsidRPr="00DF5B4A">
              <w:rPr>
                <w:rFonts w:cs="Calibri"/>
                <w:b/>
                <w:bCs/>
                <w:sz w:val="20"/>
              </w:rPr>
              <w:t>Duty on Life Insurance</w:t>
            </w:r>
          </w:p>
        </w:tc>
        <w:tc>
          <w:tcPr>
            <w:tcW w:w="2069" w:type="pct"/>
          </w:tcPr>
          <w:p w:rsidR="00693EE4" w:rsidRPr="00DF5B4A" w:rsidRDefault="00693EE4" w:rsidP="00ED5FDE">
            <w:pPr>
              <w:pStyle w:val="Heading3"/>
              <w:numPr>
                <w:ilvl w:val="12"/>
                <w:numId w:val="0"/>
              </w:numPr>
              <w:spacing w:before="0" w:after="0"/>
              <w:rPr>
                <w:rFonts w:ascii="Calibri" w:hAnsi="Calibri" w:cs="Calibri"/>
                <w:bCs w:val="0"/>
                <w:sz w:val="20"/>
                <w:szCs w:val="20"/>
              </w:rPr>
            </w:pPr>
            <w:r w:rsidRPr="00DF5B4A">
              <w:rPr>
                <w:rFonts w:ascii="Calibri" w:hAnsi="Calibri" w:cs="Calibri"/>
                <w:bCs w:val="0"/>
                <w:sz w:val="20"/>
                <w:szCs w:val="20"/>
              </w:rPr>
              <w:t>Term, temporary or insurance rider policies</w:t>
            </w:r>
          </w:p>
          <w:p w:rsidR="00693EE4" w:rsidRPr="00DF5B4A" w:rsidRDefault="00693EE4" w:rsidP="00ED5FDE">
            <w:pPr>
              <w:rPr>
                <w:rFonts w:cs="Calibri"/>
                <w:b/>
                <w:sz w:val="8"/>
                <w:szCs w:val="8"/>
              </w:rPr>
            </w:pPr>
          </w:p>
          <w:p w:rsidR="00693EE4" w:rsidRPr="00DF5B4A" w:rsidRDefault="00693EE4" w:rsidP="00ED5FDE">
            <w:pPr>
              <w:rPr>
                <w:rFonts w:cs="Calibri"/>
                <w:sz w:val="20"/>
              </w:rPr>
            </w:pPr>
            <w:r w:rsidRPr="00DF5B4A">
              <w:rPr>
                <w:rFonts w:cs="Calibri"/>
                <w:sz w:val="20"/>
              </w:rPr>
              <w:t>3</w:t>
            </w:r>
            <w:r w:rsidR="0037085C">
              <w:rPr>
                <w:rFonts w:cs="Calibri"/>
                <w:sz w:val="20"/>
              </w:rPr>
              <w:t> per cent</w:t>
            </w:r>
            <w:r w:rsidRPr="00DF5B4A">
              <w:rPr>
                <w:rFonts w:cs="Calibri"/>
                <w:sz w:val="20"/>
              </w:rPr>
              <w:t xml:space="preserve"> of the first year’s premium from 1 July  2013.</w:t>
            </w:r>
          </w:p>
          <w:p w:rsidR="00693EE4" w:rsidRPr="00DF5B4A" w:rsidRDefault="00693EE4" w:rsidP="00ED5FDE">
            <w:pPr>
              <w:rPr>
                <w:rFonts w:cs="Calibri"/>
                <w:b/>
                <w:sz w:val="8"/>
                <w:szCs w:val="8"/>
              </w:rPr>
            </w:pPr>
          </w:p>
          <w:p w:rsidR="00693EE4" w:rsidRPr="00DF5B4A" w:rsidRDefault="00693EE4" w:rsidP="00ED5FDE">
            <w:pPr>
              <w:rPr>
                <w:rFonts w:cs="Calibri"/>
                <w:b/>
                <w:sz w:val="20"/>
              </w:rPr>
            </w:pPr>
            <w:r w:rsidRPr="00DF5B4A">
              <w:rPr>
                <w:rFonts w:cs="Calibri"/>
                <w:b/>
                <w:sz w:val="20"/>
              </w:rPr>
              <w:t>All other</w:t>
            </w:r>
          </w:p>
          <w:p w:rsidR="00693EE4" w:rsidRPr="00DF5B4A" w:rsidRDefault="00693EE4" w:rsidP="00ED5FDE">
            <w:pPr>
              <w:rPr>
                <w:rFonts w:cs="Calibri"/>
                <w:b/>
                <w:sz w:val="8"/>
                <w:szCs w:val="8"/>
              </w:rPr>
            </w:pPr>
          </w:p>
          <w:p w:rsidR="00693EE4" w:rsidRPr="00DF5B4A" w:rsidRDefault="00693EE4" w:rsidP="00ED5FDE">
            <w:pPr>
              <w:pStyle w:val="Heading3"/>
              <w:numPr>
                <w:ilvl w:val="12"/>
                <w:numId w:val="0"/>
              </w:numPr>
              <w:spacing w:before="0" w:after="0"/>
              <w:rPr>
                <w:rFonts w:ascii="Calibri" w:hAnsi="Calibri" w:cs="Calibri"/>
                <w:b w:val="0"/>
                <w:bCs w:val="0"/>
                <w:sz w:val="20"/>
                <w:szCs w:val="20"/>
              </w:rPr>
            </w:pPr>
            <w:r w:rsidRPr="00DF5B4A">
              <w:rPr>
                <w:rFonts w:ascii="Calibri" w:hAnsi="Calibri" w:cs="Calibri"/>
                <w:b w:val="0"/>
                <w:bCs w:val="0"/>
                <w:sz w:val="20"/>
                <w:szCs w:val="20"/>
              </w:rPr>
              <w:t>From 1 July 2013:</w:t>
            </w:r>
          </w:p>
          <w:p w:rsidR="00693EE4" w:rsidRPr="00DF5B4A" w:rsidRDefault="00693EE4" w:rsidP="00ED5FDE">
            <w:pPr>
              <w:pStyle w:val="Heading3"/>
              <w:numPr>
                <w:ilvl w:val="12"/>
                <w:numId w:val="0"/>
              </w:numPr>
              <w:spacing w:before="0" w:after="0"/>
              <w:rPr>
                <w:rFonts w:ascii="Calibri" w:hAnsi="Calibri" w:cs="Calibri"/>
              </w:rPr>
            </w:pPr>
            <w:r w:rsidRPr="00DF5B4A">
              <w:rPr>
                <w:rFonts w:ascii="Calibri" w:hAnsi="Calibri" w:cs="Calibri"/>
                <w:b w:val="0"/>
                <w:bCs w:val="0"/>
                <w:sz w:val="20"/>
                <w:szCs w:val="20"/>
              </w:rPr>
              <w:t xml:space="preserve">Sum insured $0 to $2,000 </w:t>
            </w:r>
            <w:r w:rsidRPr="00DF5B4A">
              <w:rPr>
                <w:rFonts w:ascii="Calibri" w:hAnsi="Calibri" w:cs="Calibri"/>
                <w:b w:val="0"/>
                <w:bCs w:val="0"/>
                <w:sz w:val="20"/>
                <w:szCs w:val="20"/>
              </w:rPr>
              <w:noBreakHyphen/>
              <w:t xml:space="preserve"> $0.60</w:t>
            </w:r>
          </w:p>
          <w:p w:rsidR="00693EE4" w:rsidRPr="00DF5B4A" w:rsidRDefault="00693EE4" w:rsidP="0037085C">
            <w:pPr>
              <w:rPr>
                <w:rFonts w:cs="Calibri"/>
              </w:rPr>
            </w:pPr>
            <w:r w:rsidRPr="00DF5B4A">
              <w:rPr>
                <w:rFonts w:cs="Calibri"/>
                <w:bCs/>
                <w:sz w:val="20"/>
              </w:rPr>
              <w:t xml:space="preserve">Sum insured Over $2,000 </w:t>
            </w:r>
            <w:r w:rsidRPr="00DF5B4A">
              <w:rPr>
                <w:rFonts w:cs="Calibri"/>
                <w:bCs/>
                <w:sz w:val="20"/>
              </w:rPr>
              <w:noBreakHyphen/>
              <w:t xml:space="preserve"> $0.60 plus $0.12 per $200 or part thereof in excess of $2,000</w:t>
            </w:r>
            <w:r w:rsidR="0037085C">
              <w:rPr>
                <w:rFonts w:cs="Calibri"/>
                <w:bCs/>
                <w:sz w:val="20"/>
              </w:rPr>
              <w:t>.</w:t>
            </w:r>
          </w:p>
        </w:tc>
        <w:tc>
          <w:tcPr>
            <w:tcW w:w="2069" w:type="pct"/>
          </w:tcPr>
          <w:p w:rsidR="00693EE4" w:rsidRPr="00DF5B4A" w:rsidRDefault="00693EE4" w:rsidP="00ED5FDE">
            <w:pPr>
              <w:pStyle w:val="Heading3"/>
              <w:numPr>
                <w:ilvl w:val="12"/>
                <w:numId w:val="0"/>
              </w:numPr>
              <w:spacing w:before="0" w:after="0"/>
              <w:rPr>
                <w:rFonts w:ascii="Calibri" w:hAnsi="Calibri" w:cs="Calibri"/>
                <w:bCs w:val="0"/>
                <w:sz w:val="20"/>
                <w:szCs w:val="20"/>
              </w:rPr>
            </w:pPr>
            <w:r w:rsidRPr="00DF5B4A">
              <w:rPr>
                <w:rFonts w:ascii="Calibri" w:hAnsi="Calibri" w:cs="Calibri"/>
                <w:bCs w:val="0"/>
                <w:sz w:val="20"/>
                <w:szCs w:val="20"/>
              </w:rPr>
              <w:t>Term, temporary or insurance rider policies</w:t>
            </w:r>
          </w:p>
          <w:p w:rsidR="00693EE4" w:rsidRPr="00DF5B4A" w:rsidRDefault="00693EE4" w:rsidP="00ED5FDE">
            <w:pPr>
              <w:rPr>
                <w:rFonts w:cs="Calibri"/>
                <w:sz w:val="20"/>
              </w:rPr>
            </w:pPr>
            <w:r w:rsidRPr="00DF5B4A">
              <w:rPr>
                <w:rFonts w:cs="Calibri"/>
                <w:sz w:val="20"/>
              </w:rPr>
              <w:t>5</w:t>
            </w:r>
            <w:r w:rsidR="0037085C">
              <w:rPr>
                <w:rFonts w:cs="Calibri"/>
                <w:sz w:val="20"/>
              </w:rPr>
              <w:t> per cent</w:t>
            </w:r>
            <w:r w:rsidRPr="00DF5B4A">
              <w:rPr>
                <w:rFonts w:cs="Calibri"/>
                <w:sz w:val="20"/>
              </w:rPr>
              <w:t xml:space="preserve"> of the first year's premium</w:t>
            </w:r>
          </w:p>
          <w:p w:rsidR="0037085C" w:rsidRPr="0037085C" w:rsidRDefault="0037085C" w:rsidP="00ED5FDE">
            <w:pPr>
              <w:rPr>
                <w:rFonts w:cs="Calibri"/>
                <w:b/>
                <w:sz w:val="12"/>
                <w:szCs w:val="12"/>
              </w:rPr>
            </w:pPr>
          </w:p>
          <w:p w:rsidR="00693EE4" w:rsidRPr="00DF5B4A" w:rsidRDefault="00693EE4" w:rsidP="00ED5FDE">
            <w:pPr>
              <w:rPr>
                <w:rFonts w:cs="Calibri"/>
                <w:b/>
                <w:bCs/>
                <w:sz w:val="20"/>
              </w:rPr>
            </w:pPr>
            <w:r w:rsidRPr="00DF5B4A">
              <w:rPr>
                <w:rFonts w:cs="Calibri"/>
                <w:b/>
                <w:sz w:val="20"/>
              </w:rPr>
              <w:t xml:space="preserve">Trauma or disability </w:t>
            </w:r>
            <w:r w:rsidRPr="00DF5B4A">
              <w:rPr>
                <w:rFonts w:cs="Calibri"/>
                <w:b/>
                <w:bCs/>
                <w:sz w:val="20"/>
              </w:rPr>
              <w:t>policies</w:t>
            </w:r>
          </w:p>
          <w:p w:rsidR="00693EE4" w:rsidRPr="00DF5B4A" w:rsidRDefault="00693EE4" w:rsidP="00ED5FDE">
            <w:pPr>
              <w:rPr>
                <w:rFonts w:cs="Calibri"/>
                <w:b/>
                <w:sz w:val="20"/>
              </w:rPr>
            </w:pPr>
            <w:r w:rsidRPr="00DF5B4A">
              <w:rPr>
                <w:rFonts w:cs="Calibri"/>
                <w:sz w:val="20"/>
              </w:rPr>
              <w:t>5% of the premium paid</w:t>
            </w:r>
          </w:p>
          <w:p w:rsidR="00693EE4" w:rsidRPr="00DF5B4A" w:rsidRDefault="00693EE4" w:rsidP="00ED5FDE">
            <w:pPr>
              <w:pStyle w:val="Heading3"/>
              <w:numPr>
                <w:ilvl w:val="12"/>
                <w:numId w:val="0"/>
              </w:numPr>
              <w:spacing w:before="0" w:after="0"/>
              <w:rPr>
                <w:rFonts w:ascii="Calibri" w:hAnsi="Calibri" w:cs="Calibri"/>
                <w:b w:val="0"/>
                <w:bCs w:val="0"/>
                <w:sz w:val="8"/>
                <w:szCs w:val="8"/>
              </w:rPr>
            </w:pPr>
          </w:p>
          <w:p w:rsidR="00693EE4" w:rsidRPr="00DF5B4A" w:rsidRDefault="00693EE4" w:rsidP="00ED5FDE">
            <w:pPr>
              <w:rPr>
                <w:rFonts w:cs="Calibri"/>
              </w:rPr>
            </w:pPr>
            <w:r w:rsidRPr="00DF5B4A">
              <w:rPr>
                <w:rFonts w:cs="Calibri"/>
                <w:b/>
                <w:sz w:val="20"/>
              </w:rPr>
              <w:t>All other</w:t>
            </w:r>
          </w:p>
          <w:p w:rsidR="00693EE4" w:rsidRPr="00DF5B4A" w:rsidRDefault="00693EE4" w:rsidP="00ED5FDE">
            <w:pPr>
              <w:pStyle w:val="Heading3"/>
              <w:numPr>
                <w:ilvl w:val="12"/>
                <w:numId w:val="0"/>
              </w:numPr>
              <w:spacing w:before="0" w:after="0"/>
              <w:rPr>
                <w:rFonts w:ascii="Calibri" w:hAnsi="Calibri" w:cs="Calibri"/>
                <w:b w:val="0"/>
                <w:bCs w:val="0"/>
                <w:sz w:val="20"/>
                <w:szCs w:val="20"/>
              </w:rPr>
            </w:pPr>
            <w:r w:rsidRPr="00DF5B4A">
              <w:rPr>
                <w:rFonts w:ascii="Calibri" w:hAnsi="Calibri" w:cs="Calibri"/>
                <w:b w:val="0"/>
                <w:bCs w:val="0"/>
                <w:sz w:val="20"/>
                <w:szCs w:val="20"/>
              </w:rPr>
              <w:t xml:space="preserve">Sum insured $0 to $2,000 </w:t>
            </w:r>
            <w:r w:rsidRPr="00DF5B4A">
              <w:rPr>
                <w:rFonts w:ascii="Calibri" w:hAnsi="Calibri" w:cs="Calibri"/>
                <w:b w:val="0"/>
                <w:bCs w:val="0"/>
                <w:sz w:val="20"/>
                <w:szCs w:val="20"/>
              </w:rPr>
              <w:noBreakHyphen/>
              <w:t xml:space="preserve"> $1 </w:t>
            </w:r>
          </w:p>
          <w:p w:rsidR="00693EE4" w:rsidRPr="00DF5B4A" w:rsidRDefault="00693EE4" w:rsidP="00785490">
            <w:pPr>
              <w:pStyle w:val="Heading3"/>
              <w:numPr>
                <w:ilvl w:val="12"/>
                <w:numId w:val="0"/>
              </w:numPr>
              <w:spacing w:before="0" w:after="0"/>
              <w:rPr>
                <w:rFonts w:cs="Calibri"/>
              </w:rPr>
            </w:pPr>
            <w:r w:rsidRPr="00785490">
              <w:rPr>
                <w:rFonts w:ascii="Calibri" w:hAnsi="Calibri" w:cs="Calibri"/>
                <w:b w:val="0"/>
                <w:bCs w:val="0"/>
                <w:sz w:val="20"/>
                <w:szCs w:val="20"/>
              </w:rPr>
              <w:t xml:space="preserve">Sum insured Over $2,000 </w:t>
            </w:r>
            <w:r w:rsidRPr="00785490">
              <w:rPr>
                <w:rFonts w:ascii="Calibri" w:hAnsi="Calibri" w:cs="Calibri"/>
                <w:b w:val="0"/>
                <w:bCs w:val="0"/>
                <w:sz w:val="20"/>
                <w:szCs w:val="20"/>
              </w:rPr>
              <w:noBreakHyphen/>
              <w:t xml:space="preserve"> $1 plus $0.20 per $200 or part thereof in excess of $2,000</w:t>
            </w:r>
            <w:r w:rsidR="0037085C" w:rsidRPr="00785490">
              <w:rPr>
                <w:rFonts w:ascii="Calibri" w:hAnsi="Calibri" w:cs="Calibri"/>
                <w:b w:val="0"/>
                <w:bCs w:val="0"/>
                <w:sz w:val="20"/>
                <w:szCs w:val="20"/>
              </w:rPr>
              <w:t>.</w:t>
            </w:r>
          </w:p>
        </w:tc>
      </w:tr>
    </w:tbl>
    <w:p w:rsidR="0034652C" w:rsidRDefault="0034652C" w:rsidP="0034652C"/>
    <w:p w:rsidR="004A4F80" w:rsidRPr="007D17CA" w:rsidRDefault="002D0BE2" w:rsidP="007D17CA">
      <w:pPr>
        <w:pStyle w:val="Heading3TopofPage"/>
      </w:pPr>
      <w:r>
        <w:br w:type="page"/>
      </w:r>
      <w:r w:rsidR="004A4F80" w:rsidRPr="007D17CA">
        <w:lastRenderedPageBreak/>
        <w:t xml:space="preserve">Commonwealth Government Grants </w:t>
      </w:r>
    </w:p>
    <w:p w:rsidR="004A4F80" w:rsidRPr="007D17CA" w:rsidRDefault="004A4F80" w:rsidP="007D17CA">
      <w:pPr>
        <w:pStyle w:val="BodyText"/>
      </w:pPr>
      <w:r w:rsidRPr="007D17CA">
        <w:t xml:space="preserve">Total revenue received from Commonwealth Government </w:t>
      </w:r>
      <w:r w:rsidR="00AA781F" w:rsidRPr="007D17CA">
        <w:t>G</w:t>
      </w:r>
      <w:r w:rsidRPr="007D17CA">
        <w:t xml:space="preserve">rants </w:t>
      </w:r>
      <w:r w:rsidR="00C848C4" w:rsidRPr="007D17CA">
        <w:t>i</w:t>
      </w:r>
      <w:r w:rsidR="00312614" w:rsidRPr="007D17CA">
        <w:t xml:space="preserve">s forecast to </w:t>
      </w:r>
      <w:r w:rsidR="00624992" w:rsidRPr="007D17CA">
        <w:t>in</w:t>
      </w:r>
      <w:r w:rsidR="00312614" w:rsidRPr="007D17CA">
        <w:t>crease by $</w:t>
      </w:r>
      <w:r w:rsidR="00CB3B15" w:rsidRPr="007D17CA">
        <w:t>84.8</w:t>
      </w:r>
      <w:r w:rsidR="00312614" w:rsidRPr="007D17CA">
        <w:t xml:space="preserve"> </w:t>
      </w:r>
      <w:r w:rsidR="0049105A" w:rsidRPr="007D17CA">
        <w:t>m</w:t>
      </w:r>
      <w:r w:rsidR="00C848C4" w:rsidRPr="007D17CA">
        <w:t xml:space="preserve">illion from the </w:t>
      </w:r>
      <w:r w:rsidR="002717CE" w:rsidRPr="007D17CA">
        <w:t>2012-13</w:t>
      </w:r>
      <w:r w:rsidR="00315129" w:rsidRPr="007D17CA">
        <w:t xml:space="preserve"> </w:t>
      </w:r>
      <w:r w:rsidR="00624992" w:rsidRPr="007D17CA">
        <w:t>Budget</w:t>
      </w:r>
      <w:r w:rsidR="00F81D4E" w:rsidRPr="007D17CA">
        <w:t xml:space="preserve"> </w:t>
      </w:r>
      <w:proofErr w:type="gramStart"/>
      <w:r w:rsidR="00F81D4E" w:rsidRPr="007D17CA">
        <w:t>estimate</w:t>
      </w:r>
      <w:proofErr w:type="gramEnd"/>
      <w:r w:rsidR="00624992" w:rsidRPr="007D17CA">
        <w:t xml:space="preserve"> of $1.569 billion to the </w:t>
      </w:r>
      <w:r w:rsidR="00315129" w:rsidRPr="007D17CA">
        <w:t>estimated outcome</w:t>
      </w:r>
      <w:r w:rsidR="00624992" w:rsidRPr="007D17CA">
        <w:t xml:space="preserve"> of $1.</w:t>
      </w:r>
      <w:r w:rsidR="009C3BE7" w:rsidRPr="007D17CA">
        <w:t>65</w:t>
      </w:r>
      <w:r w:rsidR="00CB3B15" w:rsidRPr="007D17CA">
        <w:t>4</w:t>
      </w:r>
      <w:r w:rsidR="00624992" w:rsidRPr="007D17CA">
        <w:t> billion, and increase again by $</w:t>
      </w:r>
      <w:r w:rsidR="009C3BE7" w:rsidRPr="007D17CA">
        <w:t>140</w:t>
      </w:r>
      <w:r w:rsidR="00624992" w:rsidRPr="007D17CA">
        <w:t> million</w:t>
      </w:r>
      <w:r w:rsidR="00C848C4" w:rsidRPr="007D17CA">
        <w:t xml:space="preserve"> to the </w:t>
      </w:r>
      <w:r w:rsidR="002717CE" w:rsidRPr="007D17CA">
        <w:t>2013-14</w:t>
      </w:r>
      <w:r w:rsidR="00834256" w:rsidRPr="007D17CA">
        <w:t> Budget estimate of $1.</w:t>
      </w:r>
      <w:r w:rsidR="009C3BE7" w:rsidRPr="007D17CA">
        <w:t>79</w:t>
      </w:r>
      <w:r w:rsidR="00CB3B15" w:rsidRPr="007D17CA">
        <w:t>4</w:t>
      </w:r>
      <w:r w:rsidRPr="007D17CA">
        <w:t xml:space="preserve"> billion.  </w:t>
      </w:r>
      <w:r w:rsidR="00DF778F" w:rsidRPr="007D17CA">
        <w:t xml:space="preserve">This is largely attributable to the </w:t>
      </w:r>
      <w:r w:rsidR="00EB5275" w:rsidRPr="007D17CA">
        <w:t>increase in GST revenue and Commonwealth funding for the Majura Parkway as reflected in the 2012</w:t>
      </w:r>
      <w:r w:rsidR="00EB5275" w:rsidRPr="007D17CA">
        <w:noBreakHyphen/>
        <w:t>13 Budget</w:t>
      </w:r>
      <w:r w:rsidR="00CB3B15" w:rsidRPr="007D17CA">
        <w:t>.</w:t>
      </w:r>
      <w:r w:rsidR="00EC1604" w:rsidRPr="007D17CA">
        <w:t xml:space="preserve"> </w:t>
      </w:r>
      <w:r w:rsidR="00DF778F" w:rsidRPr="007D17CA">
        <w:t xml:space="preserve"> </w:t>
      </w:r>
      <w:r w:rsidRPr="007D17CA">
        <w:t>Further information on funding from the Commonwealth Gove</w:t>
      </w:r>
      <w:r w:rsidR="00244FB1" w:rsidRPr="007D17CA">
        <w:t>rnment can be found in Chapter </w:t>
      </w:r>
      <w:r w:rsidR="00BC5395" w:rsidRPr="007D17CA">
        <w:t>4</w:t>
      </w:r>
      <w:r w:rsidRPr="007D17CA">
        <w:t>.</w:t>
      </w:r>
      <w:r w:rsidR="00BC5395" w:rsidRPr="007D17CA">
        <w:t>1</w:t>
      </w:r>
      <w:r w:rsidRPr="007D17CA">
        <w:t>, Federal Financial Relations.</w:t>
      </w:r>
    </w:p>
    <w:p w:rsidR="004A4F80" w:rsidRPr="006F7BAF" w:rsidRDefault="00244FB1" w:rsidP="007D17CA">
      <w:pPr>
        <w:pStyle w:val="TableNumber"/>
        <w:spacing w:before="120"/>
      </w:pPr>
      <w:r>
        <w:t xml:space="preserve">Table </w:t>
      </w:r>
      <w:r w:rsidR="00451B47">
        <w:t>3</w:t>
      </w:r>
      <w:r w:rsidR="003F10B6">
        <w:t>.1.9</w:t>
      </w:r>
    </w:p>
    <w:p w:rsidR="004A4F80" w:rsidRPr="006F7BAF" w:rsidRDefault="004A4F80" w:rsidP="00C74C96">
      <w:pPr>
        <w:pStyle w:val="TableName"/>
      </w:pPr>
      <w:r w:rsidRPr="006F7BAF">
        <w:t xml:space="preserve">Commonwealth Government Grants </w:t>
      </w:r>
    </w:p>
    <w:tbl>
      <w:tblPr>
        <w:tblW w:w="9100" w:type="dxa"/>
        <w:jc w:val="center"/>
        <w:tblLook w:val="0000"/>
      </w:tblPr>
      <w:tblGrid>
        <w:gridCol w:w="1021"/>
        <w:gridCol w:w="2116"/>
        <w:gridCol w:w="1310"/>
        <w:gridCol w:w="1018"/>
        <w:gridCol w:w="581"/>
        <w:gridCol w:w="1018"/>
        <w:gridCol w:w="1018"/>
        <w:gridCol w:w="1018"/>
      </w:tblGrid>
      <w:tr w:rsidR="002717CE" w:rsidRPr="006F7BAF">
        <w:trPr>
          <w:trHeight w:val="170"/>
          <w:jc w:val="center"/>
        </w:trPr>
        <w:tc>
          <w:tcPr>
            <w:tcW w:w="1021" w:type="dxa"/>
            <w:tcBorders>
              <w:top w:val="single" w:sz="4" w:space="0" w:color="auto"/>
              <w:left w:val="nil"/>
              <w:bottom w:val="nil"/>
              <w:right w:val="nil"/>
            </w:tcBorders>
            <w:shd w:val="clear" w:color="auto" w:fill="auto"/>
            <w:noWrap/>
          </w:tcPr>
          <w:p w:rsidR="002717CE" w:rsidRPr="006F7BAF" w:rsidRDefault="002717CE" w:rsidP="00D90F82">
            <w:pPr>
              <w:pStyle w:val="StyleTableTextRightBold-BP3Before05ptAfter05pt"/>
            </w:pPr>
            <w:r w:rsidRPr="006F7BAF">
              <w:t>2</w:t>
            </w:r>
            <w:r>
              <w:t>0</w:t>
            </w:r>
            <w:r w:rsidRPr="006F7BAF">
              <w:t>12</w:t>
            </w:r>
            <w:r>
              <w:t>-13</w:t>
            </w:r>
          </w:p>
        </w:tc>
        <w:tc>
          <w:tcPr>
            <w:tcW w:w="2116" w:type="dxa"/>
            <w:tcBorders>
              <w:top w:val="single" w:sz="4" w:space="0" w:color="auto"/>
              <w:left w:val="nil"/>
              <w:bottom w:val="nil"/>
              <w:right w:val="nil"/>
            </w:tcBorders>
            <w:shd w:val="clear" w:color="auto" w:fill="auto"/>
          </w:tcPr>
          <w:p w:rsidR="002717CE" w:rsidRPr="006F7BAF" w:rsidRDefault="002717CE" w:rsidP="00D90F82">
            <w:pPr>
              <w:pStyle w:val="StyleTableTextRightBold-BP3Before05ptAfter05pt"/>
            </w:pPr>
            <w:r w:rsidRPr="006F7BAF">
              <w:t> </w:t>
            </w:r>
          </w:p>
        </w:tc>
        <w:tc>
          <w:tcPr>
            <w:tcW w:w="1310" w:type="dxa"/>
            <w:tcBorders>
              <w:top w:val="single" w:sz="4" w:space="0" w:color="auto"/>
              <w:left w:val="nil"/>
              <w:bottom w:val="nil"/>
              <w:right w:val="nil"/>
            </w:tcBorders>
            <w:shd w:val="clear" w:color="auto" w:fill="auto"/>
            <w:noWrap/>
          </w:tcPr>
          <w:p w:rsidR="002717CE" w:rsidRPr="006F7BAF" w:rsidRDefault="002717CE" w:rsidP="006F7BAF">
            <w:pPr>
              <w:pStyle w:val="StyleTableTextRightBold-BP3Before05ptAfter05pt"/>
            </w:pPr>
            <w:r w:rsidRPr="006F7BAF">
              <w:t>2</w:t>
            </w:r>
            <w:r>
              <w:t>0</w:t>
            </w:r>
            <w:r w:rsidRPr="006F7BAF">
              <w:t>12</w:t>
            </w:r>
            <w:r>
              <w:t>-13</w:t>
            </w:r>
          </w:p>
        </w:tc>
        <w:tc>
          <w:tcPr>
            <w:tcW w:w="1018" w:type="dxa"/>
            <w:tcBorders>
              <w:top w:val="single" w:sz="4" w:space="0" w:color="auto"/>
              <w:left w:val="nil"/>
              <w:bottom w:val="nil"/>
              <w:right w:val="nil"/>
            </w:tcBorders>
            <w:shd w:val="clear" w:color="auto" w:fill="auto"/>
            <w:noWrap/>
          </w:tcPr>
          <w:p w:rsidR="002717CE" w:rsidRPr="006F7BAF" w:rsidRDefault="002717CE" w:rsidP="00D90F82">
            <w:pPr>
              <w:pStyle w:val="StyleTableTextRightBold-BP3Before05ptAfter05pt"/>
            </w:pPr>
            <w:r w:rsidRPr="006F7BAF">
              <w:t>2013</w:t>
            </w:r>
            <w:r>
              <w:t>-14</w:t>
            </w:r>
          </w:p>
        </w:tc>
        <w:tc>
          <w:tcPr>
            <w:tcW w:w="581" w:type="dxa"/>
            <w:tcBorders>
              <w:top w:val="single" w:sz="4" w:space="0" w:color="auto"/>
              <w:left w:val="nil"/>
              <w:bottom w:val="nil"/>
              <w:right w:val="nil"/>
            </w:tcBorders>
            <w:shd w:val="clear" w:color="auto" w:fill="auto"/>
            <w:noWrap/>
          </w:tcPr>
          <w:p w:rsidR="002717CE" w:rsidRPr="006F7BAF" w:rsidRDefault="002717CE" w:rsidP="00D90F82">
            <w:pPr>
              <w:pStyle w:val="StyleTableTextRightBold-BP3Before05ptAfter05pt"/>
            </w:pPr>
            <w:r w:rsidRPr="006F7BAF">
              <w:t> </w:t>
            </w:r>
          </w:p>
        </w:tc>
        <w:tc>
          <w:tcPr>
            <w:tcW w:w="1018"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2014</w:t>
            </w:r>
            <w:r>
              <w:t>-15</w:t>
            </w:r>
          </w:p>
        </w:tc>
        <w:tc>
          <w:tcPr>
            <w:tcW w:w="1018"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2015</w:t>
            </w:r>
            <w:r>
              <w:t>-16</w:t>
            </w:r>
          </w:p>
        </w:tc>
        <w:tc>
          <w:tcPr>
            <w:tcW w:w="1018" w:type="dxa"/>
            <w:tcBorders>
              <w:top w:val="single" w:sz="4" w:space="0" w:color="auto"/>
              <w:left w:val="nil"/>
              <w:bottom w:val="nil"/>
              <w:right w:val="nil"/>
            </w:tcBorders>
            <w:shd w:val="clear" w:color="auto" w:fill="auto"/>
            <w:noWrap/>
          </w:tcPr>
          <w:p w:rsidR="002717CE" w:rsidRPr="006F7BAF" w:rsidRDefault="002717CE" w:rsidP="006F7BAF">
            <w:pPr>
              <w:pStyle w:val="StyleTableTextRightBold-BP3Before05ptAfter05pt"/>
            </w:pPr>
            <w:r>
              <w:t>2016-17</w:t>
            </w:r>
          </w:p>
        </w:tc>
      </w:tr>
      <w:tr w:rsidR="004A4F80" w:rsidRPr="006F7BAF">
        <w:trPr>
          <w:trHeight w:val="170"/>
          <w:jc w:val="center"/>
        </w:trPr>
        <w:tc>
          <w:tcPr>
            <w:tcW w:w="1021"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Budget</w:t>
            </w:r>
          </w:p>
        </w:tc>
        <w:tc>
          <w:tcPr>
            <w:tcW w:w="2116" w:type="dxa"/>
            <w:tcBorders>
              <w:top w:val="nil"/>
              <w:left w:val="nil"/>
              <w:bottom w:val="nil"/>
              <w:right w:val="nil"/>
            </w:tcBorders>
            <w:shd w:val="clear" w:color="auto" w:fill="auto"/>
          </w:tcPr>
          <w:p w:rsidR="004A4F80" w:rsidRPr="006F7BAF" w:rsidRDefault="004A4F80">
            <w:pPr>
              <w:pStyle w:val="TableTextRightBold-BP3"/>
              <w:spacing w:before="10" w:after="10"/>
            </w:pPr>
          </w:p>
        </w:tc>
        <w:tc>
          <w:tcPr>
            <w:tcW w:w="1310" w:type="dxa"/>
            <w:tcBorders>
              <w:top w:val="nil"/>
              <w:left w:val="nil"/>
              <w:bottom w:val="nil"/>
              <w:right w:val="nil"/>
            </w:tcBorders>
            <w:shd w:val="clear" w:color="auto" w:fill="auto"/>
          </w:tcPr>
          <w:p w:rsidR="004A4F80" w:rsidRPr="006F7BAF" w:rsidRDefault="004A4F80" w:rsidP="00D90F82">
            <w:pPr>
              <w:pStyle w:val="StyleTableTextRightBold-BP3Before05ptAfter05pt"/>
            </w:pPr>
            <w:r w:rsidRPr="006F7BAF">
              <w:t>Est. Outcome</w:t>
            </w:r>
          </w:p>
        </w:tc>
        <w:tc>
          <w:tcPr>
            <w:tcW w:w="1018"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Budget</w:t>
            </w:r>
          </w:p>
        </w:tc>
        <w:tc>
          <w:tcPr>
            <w:tcW w:w="581"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Var</w:t>
            </w:r>
          </w:p>
        </w:tc>
        <w:tc>
          <w:tcPr>
            <w:tcW w:w="1018"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Estimate</w:t>
            </w:r>
          </w:p>
        </w:tc>
        <w:tc>
          <w:tcPr>
            <w:tcW w:w="1018"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Estimate</w:t>
            </w:r>
          </w:p>
        </w:tc>
        <w:tc>
          <w:tcPr>
            <w:tcW w:w="1018" w:type="dxa"/>
            <w:tcBorders>
              <w:top w:val="nil"/>
              <w:left w:val="nil"/>
              <w:bottom w:val="nil"/>
              <w:right w:val="nil"/>
            </w:tcBorders>
            <w:shd w:val="clear" w:color="auto" w:fill="auto"/>
            <w:noWrap/>
          </w:tcPr>
          <w:p w:rsidR="004A4F80" w:rsidRPr="006F7BAF" w:rsidRDefault="004A4F80" w:rsidP="00D90F82">
            <w:pPr>
              <w:pStyle w:val="StyleTableTextRightBold-BP3Before05ptAfter05pt"/>
            </w:pPr>
            <w:r w:rsidRPr="006F7BAF">
              <w:t>Estimate</w:t>
            </w:r>
          </w:p>
        </w:tc>
      </w:tr>
      <w:tr w:rsidR="004A4F80" w:rsidRPr="006F7BAF">
        <w:trPr>
          <w:trHeight w:val="170"/>
          <w:jc w:val="center"/>
        </w:trPr>
        <w:tc>
          <w:tcPr>
            <w:tcW w:w="1021"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c>
          <w:tcPr>
            <w:tcW w:w="2116" w:type="dxa"/>
            <w:tcBorders>
              <w:top w:val="nil"/>
              <w:left w:val="nil"/>
              <w:bottom w:val="single" w:sz="4" w:space="0" w:color="auto"/>
              <w:right w:val="nil"/>
            </w:tcBorders>
            <w:shd w:val="clear" w:color="auto" w:fill="auto"/>
          </w:tcPr>
          <w:p w:rsidR="004A4F80" w:rsidRPr="006F7BAF" w:rsidRDefault="004A4F80" w:rsidP="00D90F82">
            <w:pPr>
              <w:pStyle w:val="StyleTableTextRightBold-BP3Before05ptAfter05pt"/>
            </w:pPr>
            <w:r w:rsidRPr="006F7BAF">
              <w:t> </w:t>
            </w:r>
          </w:p>
        </w:tc>
        <w:tc>
          <w:tcPr>
            <w:tcW w:w="1310"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c>
          <w:tcPr>
            <w:tcW w:w="1018"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c>
          <w:tcPr>
            <w:tcW w:w="581"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w:t>
            </w:r>
          </w:p>
        </w:tc>
        <w:tc>
          <w:tcPr>
            <w:tcW w:w="1018"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c>
          <w:tcPr>
            <w:tcW w:w="1018"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c>
          <w:tcPr>
            <w:tcW w:w="1018" w:type="dxa"/>
            <w:tcBorders>
              <w:top w:val="nil"/>
              <w:left w:val="nil"/>
              <w:bottom w:val="single" w:sz="4" w:space="0" w:color="auto"/>
              <w:right w:val="nil"/>
            </w:tcBorders>
            <w:shd w:val="clear" w:color="auto" w:fill="auto"/>
            <w:noWrap/>
          </w:tcPr>
          <w:p w:rsidR="004A4F80" w:rsidRPr="006F7BAF" w:rsidRDefault="004A4F80" w:rsidP="00D90F82">
            <w:pPr>
              <w:pStyle w:val="StyleTableTextRightBold-BP3Before05ptAfter05pt"/>
            </w:pPr>
            <w:r w:rsidRPr="006F7BAF">
              <w:t>$'000</w:t>
            </w:r>
          </w:p>
        </w:tc>
      </w:tr>
      <w:tr w:rsidR="004A4F80" w:rsidRPr="006F7BAF">
        <w:trPr>
          <w:trHeight w:val="170"/>
          <w:jc w:val="center"/>
        </w:trPr>
        <w:tc>
          <w:tcPr>
            <w:tcW w:w="1021" w:type="dxa"/>
            <w:tcBorders>
              <w:top w:val="nil"/>
              <w:left w:val="nil"/>
              <w:bottom w:val="nil"/>
              <w:right w:val="nil"/>
            </w:tcBorders>
            <w:shd w:val="clear" w:color="auto" w:fill="auto"/>
            <w:noWrap/>
          </w:tcPr>
          <w:p w:rsidR="004A4F80" w:rsidRPr="006F7BAF" w:rsidRDefault="004A4F80">
            <w:pPr>
              <w:pStyle w:val="TableTextNumbers"/>
              <w:spacing w:before="16" w:after="16"/>
            </w:pPr>
          </w:p>
        </w:tc>
        <w:tc>
          <w:tcPr>
            <w:tcW w:w="2116" w:type="dxa"/>
            <w:tcBorders>
              <w:top w:val="nil"/>
              <w:left w:val="nil"/>
              <w:bottom w:val="nil"/>
              <w:right w:val="nil"/>
            </w:tcBorders>
            <w:shd w:val="clear" w:color="auto" w:fill="auto"/>
          </w:tcPr>
          <w:p w:rsidR="004A4F80" w:rsidRPr="007D17CA" w:rsidRDefault="004A4F80">
            <w:pPr>
              <w:pStyle w:val="TableTextLeftBold-BP3"/>
              <w:spacing w:before="16" w:after="16"/>
            </w:pPr>
            <w:r w:rsidRPr="007D17CA">
              <w:t>Current Grants</w:t>
            </w:r>
          </w:p>
        </w:tc>
        <w:tc>
          <w:tcPr>
            <w:tcW w:w="1310"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c>
          <w:tcPr>
            <w:tcW w:w="581"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6F7BAF" w:rsidRDefault="004A4F80">
            <w:pPr>
              <w:spacing w:before="16" w:after="16"/>
              <w:jc w:val="right"/>
              <w:rPr>
                <w:sz w:val="18"/>
                <w:szCs w:val="18"/>
              </w:rPr>
            </w:pP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938,130</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GST Revenue Grant</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970,600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1,021,800</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5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1,078,900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1,144,600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1,208,500</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36,832</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ACT Municipal Services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36,832</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37,495</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38,208</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38,934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39,634</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485,183</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National Specific Purpose Payments (SPPs)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505,742</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463,140</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-8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389,715</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434,509</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483,461</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23,597</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Financial Assistance Grants to Local Government</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46,940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24,225</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-48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50,540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52,829</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55,170</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46,023</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National Partnership Payments (NPP) –</w:t>
            </w:r>
          </w:p>
          <w:p w:rsidR="00523F78" w:rsidRPr="007D17CA" w:rsidRDefault="00523F78" w:rsidP="000B3623">
            <w:pPr>
              <w:pStyle w:val="TableTextLeft-BP3"/>
              <w:rPr>
                <w:szCs w:val="20"/>
              </w:rPr>
            </w:pPr>
            <w:r w:rsidRPr="007D17CA">
              <w:rPr>
                <w:szCs w:val="20"/>
              </w:rPr>
              <w:t xml:space="preserve">    Current</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53,719</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173,229</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222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275,141</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274,953</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294,516</w:t>
            </w:r>
          </w:p>
        </w:tc>
      </w:tr>
      <w:tr w:rsidR="00B6432F" w:rsidRPr="006F7BAF">
        <w:trPr>
          <w:trHeight w:val="170"/>
          <w:jc w:val="center"/>
        </w:trPr>
        <w:tc>
          <w:tcPr>
            <w:tcW w:w="1021" w:type="dxa"/>
            <w:tcBorders>
              <w:top w:val="nil"/>
              <w:left w:val="nil"/>
              <w:bottom w:val="nil"/>
              <w:right w:val="nil"/>
            </w:tcBorders>
            <w:shd w:val="clear" w:color="auto" w:fill="auto"/>
            <w:noWrap/>
          </w:tcPr>
          <w:p w:rsidR="00B6432F" w:rsidRDefault="00B6432F" w:rsidP="002717CE">
            <w:pPr>
              <w:jc w:val="right"/>
              <w:rPr>
                <w:rFonts w:cs="Calibri"/>
                <w:sz w:val="18"/>
                <w:szCs w:val="18"/>
              </w:rPr>
            </w:pPr>
            <w:r>
              <w:rPr>
                <w:rFonts w:cs="Calibri"/>
                <w:sz w:val="18"/>
                <w:szCs w:val="18"/>
              </w:rPr>
              <w:t>10,592</w:t>
            </w:r>
          </w:p>
        </w:tc>
        <w:tc>
          <w:tcPr>
            <w:tcW w:w="2116" w:type="dxa"/>
            <w:tcBorders>
              <w:top w:val="nil"/>
              <w:left w:val="nil"/>
              <w:bottom w:val="nil"/>
              <w:right w:val="nil"/>
            </w:tcBorders>
            <w:shd w:val="clear" w:color="auto" w:fill="auto"/>
          </w:tcPr>
          <w:p w:rsidR="00B6432F" w:rsidRPr="007D17CA" w:rsidRDefault="00B6432F" w:rsidP="000B3623">
            <w:pPr>
              <w:pStyle w:val="TableTextLeft-BP3"/>
              <w:rPr>
                <w:szCs w:val="20"/>
              </w:rPr>
            </w:pPr>
            <w:r w:rsidRPr="007D17CA">
              <w:rPr>
                <w:szCs w:val="20"/>
              </w:rPr>
              <w:t xml:space="preserve">Other Commonwealth Government Payments </w:t>
            </w:r>
            <w:r w:rsidRPr="007D17CA">
              <w:rPr>
                <w:szCs w:val="20"/>
              </w:rPr>
              <w:softHyphen/>
              <w:t>– Current</w:t>
            </w:r>
          </w:p>
        </w:tc>
        <w:tc>
          <w:tcPr>
            <w:tcW w:w="1310"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14,808</w:t>
            </w:r>
          </w:p>
        </w:tc>
        <w:tc>
          <w:tcPr>
            <w:tcW w:w="1018"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7,429</w:t>
            </w:r>
          </w:p>
        </w:tc>
        <w:tc>
          <w:tcPr>
            <w:tcW w:w="581"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 xml:space="preserve">-50 </w:t>
            </w:r>
          </w:p>
        </w:tc>
        <w:tc>
          <w:tcPr>
            <w:tcW w:w="1018"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12,471</w:t>
            </w:r>
          </w:p>
        </w:tc>
        <w:tc>
          <w:tcPr>
            <w:tcW w:w="1018"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13,025</w:t>
            </w:r>
          </w:p>
        </w:tc>
        <w:tc>
          <w:tcPr>
            <w:tcW w:w="1018" w:type="dxa"/>
            <w:tcBorders>
              <w:top w:val="nil"/>
              <w:left w:val="nil"/>
              <w:bottom w:val="nil"/>
              <w:right w:val="nil"/>
            </w:tcBorders>
            <w:shd w:val="clear" w:color="auto" w:fill="auto"/>
            <w:noWrap/>
          </w:tcPr>
          <w:p w:rsidR="00B6432F" w:rsidRDefault="00B6432F">
            <w:pPr>
              <w:jc w:val="right"/>
              <w:rPr>
                <w:rFonts w:cs="Arial"/>
                <w:sz w:val="18"/>
                <w:szCs w:val="18"/>
              </w:rPr>
            </w:pPr>
            <w:r>
              <w:rPr>
                <w:rFonts w:cs="Arial"/>
                <w:sz w:val="18"/>
                <w:szCs w:val="18"/>
              </w:rPr>
              <w:t>14,185</w:t>
            </w:r>
          </w:p>
        </w:tc>
      </w:tr>
      <w:tr w:rsidR="00B6432F" w:rsidRPr="006F7BAF">
        <w:trPr>
          <w:trHeight w:val="170"/>
          <w:jc w:val="center"/>
        </w:trPr>
        <w:tc>
          <w:tcPr>
            <w:tcW w:w="1021" w:type="dxa"/>
            <w:tcBorders>
              <w:top w:val="nil"/>
              <w:left w:val="nil"/>
              <w:bottom w:val="nil"/>
              <w:right w:val="nil"/>
            </w:tcBorders>
            <w:shd w:val="clear" w:color="auto" w:fill="auto"/>
            <w:noWrap/>
          </w:tcPr>
          <w:p w:rsidR="00B6432F" w:rsidRDefault="00B6432F" w:rsidP="002717CE">
            <w:pPr>
              <w:jc w:val="right"/>
              <w:rPr>
                <w:rFonts w:cs="Calibri"/>
                <w:b/>
                <w:bCs/>
                <w:sz w:val="18"/>
                <w:szCs w:val="18"/>
              </w:rPr>
            </w:pPr>
            <w:r>
              <w:rPr>
                <w:rFonts w:cs="Calibri"/>
                <w:b/>
                <w:bCs/>
                <w:sz w:val="18"/>
                <w:szCs w:val="18"/>
              </w:rPr>
              <w:t>1,540,357</w:t>
            </w:r>
          </w:p>
        </w:tc>
        <w:tc>
          <w:tcPr>
            <w:tcW w:w="2116" w:type="dxa"/>
            <w:tcBorders>
              <w:top w:val="nil"/>
              <w:left w:val="nil"/>
              <w:bottom w:val="nil"/>
              <w:right w:val="nil"/>
            </w:tcBorders>
            <w:shd w:val="clear" w:color="auto" w:fill="auto"/>
          </w:tcPr>
          <w:p w:rsidR="00B6432F" w:rsidRPr="007D17CA" w:rsidRDefault="00B6432F">
            <w:pPr>
              <w:pStyle w:val="TableTextLeftBold-BP3"/>
              <w:spacing w:before="16" w:after="16"/>
            </w:pPr>
            <w:r w:rsidRPr="007D17CA">
              <w:t>Total Current Grants</w:t>
            </w:r>
          </w:p>
        </w:tc>
        <w:tc>
          <w:tcPr>
            <w:tcW w:w="1310"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1,628,641</w:t>
            </w:r>
          </w:p>
        </w:tc>
        <w:tc>
          <w:tcPr>
            <w:tcW w:w="1018"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1,727,318</w:t>
            </w:r>
          </w:p>
        </w:tc>
        <w:tc>
          <w:tcPr>
            <w:tcW w:w="581"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 xml:space="preserve">6 </w:t>
            </w:r>
          </w:p>
        </w:tc>
        <w:tc>
          <w:tcPr>
            <w:tcW w:w="1018"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1,844,975</w:t>
            </w:r>
          </w:p>
        </w:tc>
        <w:tc>
          <w:tcPr>
            <w:tcW w:w="1018"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1,958,850</w:t>
            </w:r>
          </w:p>
        </w:tc>
        <w:tc>
          <w:tcPr>
            <w:tcW w:w="1018" w:type="dxa"/>
            <w:tcBorders>
              <w:top w:val="nil"/>
              <w:left w:val="nil"/>
              <w:bottom w:val="nil"/>
              <w:right w:val="nil"/>
            </w:tcBorders>
            <w:shd w:val="clear" w:color="auto" w:fill="auto"/>
            <w:noWrap/>
          </w:tcPr>
          <w:p w:rsidR="00B6432F" w:rsidRDefault="00B6432F">
            <w:pPr>
              <w:jc w:val="right"/>
              <w:rPr>
                <w:rFonts w:cs="Arial"/>
                <w:b/>
                <w:bCs/>
                <w:sz w:val="18"/>
                <w:szCs w:val="18"/>
              </w:rPr>
            </w:pPr>
            <w:r>
              <w:rPr>
                <w:rFonts w:cs="Arial"/>
                <w:b/>
                <w:bCs/>
                <w:sz w:val="18"/>
                <w:szCs w:val="18"/>
              </w:rPr>
              <w:t>2,095,466</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p>
        </w:tc>
        <w:tc>
          <w:tcPr>
            <w:tcW w:w="2116" w:type="dxa"/>
            <w:tcBorders>
              <w:top w:val="nil"/>
              <w:left w:val="nil"/>
              <w:bottom w:val="nil"/>
              <w:right w:val="nil"/>
            </w:tcBorders>
            <w:shd w:val="clear" w:color="auto" w:fill="auto"/>
          </w:tcPr>
          <w:p w:rsidR="00523F78" w:rsidRPr="007D17CA" w:rsidRDefault="00523F78">
            <w:pPr>
              <w:pStyle w:val="TableTextLeftBold-BP3"/>
              <w:spacing w:before="16" w:after="16"/>
            </w:pPr>
            <w:r w:rsidRPr="007D17CA">
              <w:t>Capital Grants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28,361</w:t>
            </w:r>
          </w:p>
        </w:tc>
        <w:tc>
          <w:tcPr>
            <w:tcW w:w="21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National Partnership Payments (NPPs) – Capital</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24,860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66,221</w:t>
            </w:r>
          </w:p>
        </w:tc>
        <w:tc>
          <w:tcPr>
            <w:tcW w:w="58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166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86,452</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31,540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15,221</w:t>
            </w:r>
          </w:p>
        </w:tc>
      </w:tr>
      <w:tr w:rsidR="00523F78" w:rsidRPr="006F7BAF">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b/>
                <w:bCs/>
                <w:sz w:val="18"/>
                <w:szCs w:val="18"/>
              </w:rPr>
            </w:pPr>
            <w:r>
              <w:rPr>
                <w:rFonts w:cs="Calibri"/>
                <w:b/>
                <w:bCs/>
                <w:sz w:val="18"/>
                <w:szCs w:val="18"/>
              </w:rPr>
              <w:t>28,361</w:t>
            </w:r>
          </w:p>
        </w:tc>
        <w:tc>
          <w:tcPr>
            <w:tcW w:w="2116" w:type="dxa"/>
            <w:tcBorders>
              <w:top w:val="nil"/>
              <w:left w:val="nil"/>
              <w:bottom w:val="nil"/>
              <w:right w:val="nil"/>
            </w:tcBorders>
            <w:shd w:val="clear" w:color="auto" w:fill="auto"/>
          </w:tcPr>
          <w:p w:rsidR="00523F78" w:rsidRPr="007D17CA" w:rsidRDefault="00523F78">
            <w:pPr>
              <w:pStyle w:val="TableTextLeftBold-BP3"/>
              <w:spacing w:before="16" w:after="16"/>
            </w:pPr>
            <w:r w:rsidRPr="007D17CA">
              <w:t>Total Capital Grants</w:t>
            </w:r>
          </w:p>
        </w:tc>
        <w:tc>
          <w:tcPr>
            <w:tcW w:w="1310"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24,860</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66,221</w:t>
            </w:r>
          </w:p>
        </w:tc>
        <w:tc>
          <w:tcPr>
            <w:tcW w:w="581"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 xml:space="preserve">166 </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86,452</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31,540</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15,221</w:t>
            </w:r>
          </w:p>
        </w:tc>
      </w:tr>
      <w:tr w:rsidR="00B6432F" w:rsidRPr="006F7BAF">
        <w:trPr>
          <w:trHeight w:val="170"/>
          <w:jc w:val="center"/>
        </w:trPr>
        <w:tc>
          <w:tcPr>
            <w:tcW w:w="1021" w:type="dxa"/>
            <w:tcBorders>
              <w:top w:val="single" w:sz="4" w:space="0" w:color="auto"/>
              <w:left w:val="nil"/>
              <w:bottom w:val="single" w:sz="4" w:space="0" w:color="auto"/>
              <w:right w:val="nil"/>
            </w:tcBorders>
            <w:shd w:val="clear" w:color="auto" w:fill="auto"/>
            <w:noWrap/>
          </w:tcPr>
          <w:p w:rsidR="00B6432F" w:rsidRDefault="00B6432F" w:rsidP="002717CE">
            <w:pPr>
              <w:jc w:val="right"/>
              <w:rPr>
                <w:rFonts w:cs="Calibri"/>
                <w:b/>
                <w:bCs/>
                <w:sz w:val="18"/>
                <w:szCs w:val="18"/>
              </w:rPr>
            </w:pPr>
            <w:r>
              <w:rPr>
                <w:rFonts w:cs="Calibri"/>
                <w:b/>
                <w:bCs/>
                <w:sz w:val="18"/>
                <w:szCs w:val="18"/>
              </w:rPr>
              <w:t>1,568,718</w:t>
            </w:r>
          </w:p>
        </w:tc>
        <w:tc>
          <w:tcPr>
            <w:tcW w:w="2116" w:type="dxa"/>
            <w:tcBorders>
              <w:top w:val="single" w:sz="4" w:space="0" w:color="auto"/>
              <w:left w:val="nil"/>
              <w:bottom w:val="single" w:sz="4" w:space="0" w:color="auto"/>
              <w:right w:val="nil"/>
            </w:tcBorders>
            <w:shd w:val="clear" w:color="auto" w:fill="auto"/>
          </w:tcPr>
          <w:p w:rsidR="00B6432F" w:rsidRPr="007D17CA" w:rsidRDefault="00B6432F">
            <w:pPr>
              <w:pStyle w:val="TableTextLeftBold-BP3"/>
              <w:spacing w:before="16" w:after="16"/>
            </w:pPr>
            <w:r w:rsidRPr="007D17CA">
              <w:t>Total Commonwealth Government Funding</w:t>
            </w:r>
          </w:p>
        </w:tc>
        <w:tc>
          <w:tcPr>
            <w:tcW w:w="1310"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1,653,501</w:t>
            </w:r>
          </w:p>
        </w:tc>
        <w:tc>
          <w:tcPr>
            <w:tcW w:w="1018"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1,793,539</w:t>
            </w:r>
          </w:p>
        </w:tc>
        <w:tc>
          <w:tcPr>
            <w:tcW w:w="581"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 xml:space="preserve">8 </w:t>
            </w:r>
          </w:p>
        </w:tc>
        <w:tc>
          <w:tcPr>
            <w:tcW w:w="1018"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1,931,427</w:t>
            </w:r>
          </w:p>
        </w:tc>
        <w:tc>
          <w:tcPr>
            <w:tcW w:w="1018"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1,990,390</w:t>
            </w:r>
          </w:p>
        </w:tc>
        <w:tc>
          <w:tcPr>
            <w:tcW w:w="1018" w:type="dxa"/>
            <w:tcBorders>
              <w:top w:val="single" w:sz="4" w:space="0" w:color="auto"/>
              <w:left w:val="nil"/>
              <w:bottom w:val="single" w:sz="4" w:space="0" w:color="auto"/>
              <w:right w:val="nil"/>
            </w:tcBorders>
            <w:shd w:val="clear" w:color="auto" w:fill="auto"/>
            <w:noWrap/>
          </w:tcPr>
          <w:p w:rsidR="00B6432F" w:rsidRDefault="00B6432F">
            <w:pPr>
              <w:jc w:val="right"/>
              <w:rPr>
                <w:rFonts w:cs="Arial"/>
                <w:b/>
                <w:bCs/>
                <w:sz w:val="18"/>
                <w:szCs w:val="18"/>
              </w:rPr>
            </w:pPr>
            <w:r>
              <w:rPr>
                <w:rFonts w:cs="Arial"/>
                <w:b/>
                <w:bCs/>
                <w:sz w:val="18"/>
                <w:szCs w:val="18"/>
              </w:rPr>
              <w:t>2,110,687</w:t>
            </w:r>
          </w:p>
        </w:tc>
      </w:tr>
    </w:tbl>
    <w:p w:rsidR="004A4F80" w:rsidRPr="007D17CA" w:rsidRDefault="004A4F80" w:rsidP="007D17CA">
      <w:pPr>
        <w:pStyle w:val="Heading3"/>
      </w:pPr>
      <w:r w:rsidRPr="007D17CA">
        <w:t xml:space="preserve">Contributed Assets </w:t>
      </w:r>
    </w:p>
    <w:p w:rsidR="004A4F80" w:rsidRPr="00842402" w:rsidRDefault="00244FB1" w:rsidP="00842402">
      <w:pPr>
        <w:pStyle w:val="BodyText"/>
      </w:pPr>
      <w:r w:rsidRPr="00842402">
        <w:t>Table </w:t>
      </w:r>
      <w:r w:rsidR="00451B47">
        <w:t>3</w:t>
      </w:r>
      <w:r w:rsidR="00A4626E" w:rsidRPr="00842402">
        <w:t>.1.10</w:t>
      </w:r>
      <w:r w:rsidR="004A4F80" w:rsidRPr="00842402">
        <w:t xml:space="preserve"> provides a summary of contributed assets.  Contributed assets largely relate to land development infrastructure assets transferred to the GGS from the Land Development Agency (LDA)</w:t>
      </w:r>
      <w:r w:rsidR="00F81D4E">
        <w:t xml:space="preserve"> and private developers</w:t>
      </w:r>
      <w:r w:rsidR="004A4F80" w:rsidRPr="00842402">
        <w:t>.</w:t>
      </w:r>
    </w:p>
    <w:p w:rsidR="004A4F80" w:rsidRPr="00842402" w:rsidRDefault="004A4F80" w:rsidP="00842402">
      <w:pPr>
        <w:pStyle w:val="BodyText"/>
      </w:pPr>
      <w:r w:rsidRPr="00842402">
        <w:t>T</w:t>
      </w:r>
      <w:r w:rsidR="00C848C4" w:rsidRPr="00842402">
        <w:t xml:space="preserve">he variations between the </w:t>
      </w:r>
      <w:r w:rsidR="002717CE">
        <w:t>2012-13</w:t>
      </w:r>
      <w:r w:rsidRPr="00842402">
        <w:t xml:space="preserve"> estimated outcome, the </w:t>
      </w:r>
      <w:r w:rsidR="002717CE">
        <w:t>2013-14</w:t>
      </w:r>
      <w:r w:rsidRPr="00842402">
        <w:t xml:space="preserve"> Budget and across the </w:t>
      </w:r>
      <w:r w:rsidRPr="0039775A">
        <w:t xml:space="preserve">forward estimates are mainly attributable to revisions in the timing of asset transfers from </w:t>
      </w:r>
      <w:r w:rsidR="00AA781F">
        <w:t xml:space="preserve">the </w:t>
      </w:r>
      <w:r w:rsidRPr="0039775A">
        <w:t>LDA to the GGS as a resu</w:t>
      </w:r>
      <w:r w:rsidR="00974B1A" w:rsidRPr="0039775A">
        <w:t xml:space="preserve">lt of changes to the </w:t>
      </w:r>
      <w:r w:rsidR="0039775A" w:rsidRPr="0039775A">
        <w:t>Indicative Land Release Program and</w:t>
      </w:r>
      <w:r w:rsidRPr="0039775A">
        <w:t xml:space="preserve"> revisions in the asset completion and subsequent transfer dates.</w:t>
      </w:r>
    </w:p>
    <w:p w:rsidR="0020369C" w:rsidRDefault="0020369C">
      <w:pPr>
        <w:rPr>
          <w:rFonts w:ascii="Arial" w:hAnsi="Arial"/>
          <w:b/>
          <w:sz w:val="20"/>
        </w:rPr>
      </w:pPr>
      <w:r>
        <w:br w:type="page"/>
      </w:r>
    </w:p>
    <w:p w:rsidR="004A4F80" w:rsidRPr="00124BB3" w:rsidRDefault="00244FB1" w:rsidP="007D17CA">
      <w:pPr>
        <w:pStyle w:val="TableNumber"/>
        <w:spacing w:before="0"/>
      </w:pPr>
      <w:r>
        <w:lastRenderedPageBreak/>
        <w:t xml:space="preserve">Table </w:t>
      </w:r>
      <w:r w:rsidR="00451B47">
        <w:t>3</w:t>
      </w:r>
      <w:r w:rsidR="004A4F80" w:rsidRPr="00124BB3">
        <w:t>.1.</w:t>
      </w:r>
      <w:r w:rsidR="000158C6">
        <w:t>10</w:t>
      </w:r>
    </w:p>
    <w:p w:rsidR="004A4F80" w:rsidRPr="00124BB3" w:rsidRDefault="004A4F80" w:rsidP="00842402">
      <w:pPr>
        <w:pStyle w:val="TableName"/>
      </w:pPr>
      <w:r w:rsidRPr="00124BB3">
        <w:t xml:space="preserve">Contributed Assets </w:t>
      </w:r>
    </w:p>
    <w:tbl>
      <w:tblPr>
        <w:tblW w:w="9100" w:type="dxa"/>
        <w:jc w:val="center"/>
        <w:tblLook w:val="0000"/>
      </w:tblPr>
      <w:tblGrid>
        <w:gridCol w:w="1021"/>
        <w:gridCol w:w="2217"/>
        <w:gridCol w:w="1310"/>
        <w:gridCol w:w="1021"/>
        <w:gridCol w:w="573"/>
        <w:gridCol w:w="1021"/>
        <w:gridCol w:w="1021"/>
        <w:gridCol w:w="1021"/>
      </w:tblGrid>
      <w:tr w:rsidR="002717CE" w:rsidRPr="00124BB3" w:rsidTr="007D17CA">
        <w:trPr>
          <w:trHeight w:val="170"/>
          <w:jc w:val="center"/>
        </w:trPr>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w:t>
            </w:r>
            <w:r>
              <w:t>0</w:t>
            </w:r>
            <w:r w:rsidRPr="006F7BAF">
              <w:t>12</w:t>
            </w:r>
            <w:r>
              <w:t>-13</w:t>
            </w:r>
          </w:p>
        </w:tc>
        <w:tc>
          <w:tcPr>
            <w:tcW w:w="2217" w:type="dxa"/>
            <w:tcBorders>
              <w:top w:val="single" w:sz="4" w:space="0" w:color="auto"/>
              <w:left w:val="nil"/>
              <w:bottom w:val="nil"/>
              <w:right w:val="nil"/>
            </w:tcBorders>
            <w:shd w:val="clear" w:color="auto" w:fill="auto"/>
          </w:tcPr>
          <w:p w:rsidR="002717CE" w:rsidRPr="006F7BAF" w:rsidRDefault="002717CE" w:rsidP="002717CE">
            <w:pPr>
              <w:pStyle w:val="StyleTableTextRightBold-BP3Before05ptAfter05pt"/>
            </w:pPr>
            <w:r w:rsidRPr="006F7BAF">
              <w:t> </w:t>
            </w:r>
          </w:p>
        </w:tc>
        <w:tc>
          <w:tcPr>
            <w:tcW w:w="1310"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w:t>
            </w:r>
            <w:r>
              <w:t>0</w:t>
            </w:r>
            <w:r w:rsidRPr="006F7BAF">
              <w:t>12</w:t>
            </w:r>
            <w:r>
              <w:t>-13</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2013</w:t>
            </w:r>
            <w:r>
              <w:t>-14</w:t>
            </w:r>
          </w:p>
        </w:tc>
        <w:tc>
          <w:tcPr>
            <w:tcW w:w="573"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 </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2014</w:t>
            </w:r>
            <w:r>
              <w:t>-15</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2015</w:t>
            </w:r>
            <w:r>
              <w:t>-16</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t>2016-17</w:t>
            </w:r>
          </w:p>
        </w:tc>
      </w:tr>
      <w:tr w:rsidR="004A4F80" w:rsidRPr="00124BB3" w:rsidTr="007D17CA">
        <w:trPr>
          <w:trHeight w:val="170"/>
          <w:jc w:val="center"/>
        </w:trPr>
        <w:tc>
          <w:tcPr>
            <w:tcW w:w="1021"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Budget</w:t>
            </w:r>
          </w:p>
        </w:tc>
        <w:tc>
          <w:tcPr>
            <w:tcW w:w="2217" w:type="dxa"/>
            <w:tcBorders>
              <w:top w:val="nil"/>
              <w:left w:val="nil"/>
              <w:bottom w:val="nil"/>
              <w:right w:val="nil"/>
            </w:tcBorders>
            <w:shd w:val="clear" w:color="auto" w:fill="auto"/>
          </w:tcPr>
          <w:p w:rsidR="004A4F80" w:rsidRPr="00124BB3" w:rsidRDefault="004A4F80">
            <w:pPr>
              <w:pStyle w:val="TableTextRightBold-BP3"/>
              <w:spacing w:before="10" w:after="10"/>
            </w:pPr>
          </w:p>
        </w:tc>
        <w:tc>
          <w:tcPr>
            <w:tcW w:w="1310" w:type="dxa"/>
            <w:tcBorders>
              <w:top w:val="nil"/>
              <w:left w:val="nil"/>
              <w:bottom w:val="nil"/>
              <w:right w:val="nil"/>
            </w:tcBorders>
            <w:shd w:val="clear" w:color="auto" w:fill="auto"/>
          </w:tcPr>
          <w:p w:rsidR="004A4F80" w:rsidRPr="00124BB3" w:rsidRDefault="004A4F80" w:rsidP="00D90F82">
            <w:pPr>
              <w:pStyle w:val="StyleTableTextRightBold-BP3Before05ptAfter05pt"/>
            </w:pPr>
            <w:r w:rsidRPr="00124BB3">
              <w:t>Est. Outcome</w:t>
            </w:r>
          </w:p>
        </w:tc>
        <w:tc>
          <w:tcPr>
            <w:tcW w:w="1021"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Budget</w:t>
            </w:r>
          </w:p>
        </w:tc>
        <w:tc>
          <w:tcPr>
            <w:tcW w:w="573"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Var</w:t>
            </w:r>
          </w:p>
        </w:tc>
        <w:tc>
          <w:tcPr>
            <w:tcW w:w="1021"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Estimate</w:t>
            </w:r>
          </w:p>
        </w:tc>
        <w:tc>
          <w:tcPr>
            <w:tcW w:w="1021"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Estimate</w:t>
            </w:r>
          </w:p>
        </w:tc>
        <w:tc>
          <w:tcPr>
            <w:tcW w:w="1021" w:type="dxa"/>
            <w:tcBorders>
              <w:top w:val="nil"/>
              <w:left w:val="nil"/>
              <w:bottom w:val="nil"/>
              <w:right w:val="nil"/>
            </w:tcBorders>
            <w:shd w:val="clear" w:color="auto" w:fill="auto"/>
            <w:noWrap/>
          </w:tcPr>
          <w:p w:rsidR="004A4F80" w:rsidRPr="00124BB3" w:rsidRDefault="004A4F80" w:rsidP="00D90F82">
            <w:pPr>
              <w:pStyle w:val="StyleTableTextRightBold-BP3Before05ptAfter05pt"/>
            </w:pPr>
            <w:r w:rsidRPr="00124BB3">
              <w:t>Estimate</w:t>
            </w:r>
          </w:p>
        </w:tc>
      </w:tr>
      <w:tr w:rsidR="004A4F80" w:rsidRPr="00124BB3" w:rsidTr="007D17CA">
        <w:trPr>
          <w:trHeight w:val="170"/>
          <w:jc w:val="center"/>
        </w:trPr>
        <w:tc>
          <w:tcPr>
            <w:tcW w:w="1021"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c>
          <w:tcPr>
            <w:tcW w:w="2217" w:type="dxa"/>
            <w:tcBorders>
              <w:top w:val="nil"/>
              <w:left w:val="nil"/>
              <w:bottom w:val="single" w:sz="4" w:space="0" w:color="auto"/>
              <w:right w:val="nil"/>
            </w:tcBorders>
            <w:shd w:val="clear" w:color="auto" w:fill="auto"/>
          </w:tcPr>
          <w:p w:rsidR="004A4F80" w:rsidRPr="00124BB3" w:rsidRDefault="004A4F80" w:rsidP="00D90F82">
            <w:pPr>
              <w:pStyle w:val="StyleTableTextRightBold-BP3Before05ptAfter05pt"/>
            </w:pPr>
            <w:r w:rsidRPr="00124BB3">
              <w:t> </w:t>
            </w:r>
          </w:p>
        </w:tc>
        <w:tc>
          <w:tcPr>
            <w:tcW w:w="1310"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c>
          <w:tcPr>
            <w:tcW w:w="1021"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c>
          <w:tcPr>
            <w:tcW w:w="573"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w:t>
            </w:r>
          </w:p>
        </w:tc>
        <w:tc>
          <w:tcPr>
            <w:tcW w:w="1021"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c>
          <w:tcPr>
            <w:tcW w:w="1021"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c>
          <w:tcPr>
            <w:tcW w:w="1021" w:type="dxa"/>
            <w:tcBorders>
              <w:top w:val="nil"/>
              <w:left w:val="nil"/>
              <w:bottom w:val="single" w:sz="4" w:space="0" w:color="auto"/>
              <w:right w:val="nil"/>
            </w:tcBorders>
            <w:shd w:val="clear" w:color="auto" w:fill="auto"/>
            <w:noWrap/>
          </w:tcPr>
          <w:p w:rsidR="004A4F80" w:rsidRPr="00124BB3" w:rsidRDefault="004A4F80" w:rsidP="00D90F82">
            <w:pPr>
              <w:pStyle w:val="StyleTableTextRightBold-BP3Before05ptAfter05pt"/>
            </w:pPr>
            <w:r w:rsidRPr="00124BB3">
              <w:t>$'000</w:t>
            </w:r>
          </w:p>
        </w:tc>
      </w:tr>
      <w:tr w:rsidR="004A4F80" w:rsidRPr="00124BB3" w:rsidTr="007D17CA">
        <w:trPr>
          <w:trHeight w:val="170"/>
          <w:jc w:val="center"/>
        </w:trPr>
        <w:tc>
          <w:tcPr>
            <w:tcW w:w="1021" w:type="dxa"/>
            <w:tcBorders>
              <w:top w:val="nil"/>
              <w:left w:val="nil"/>
              <w:bottom w:val="nil"/>
              <w:right w:val="nil"/>
            </w:tcBorders>
            <w:shd w:val="clear" w:color="auto" w:fill="auto"/>
            <w:noWrap/>
          </w:tcPr>
          <w:p w:rsidR="004A4F80" w:rsidRPr="00124BB3" w:rsidRDefault="004A4F80">
            <w:pPr>
              <w:pStyle w:val="TableTextNumbers"/>
              <w:spacing w:before="16" w:after="16"/>
            </w:pPr>
          </w:p>
        </w:tc>
        <w:tc>
          <w:tcPr>
            <w:tcW w:w="2217" w:type="dxa"/>
            <w:tcBorders>
              <w:top w:val="nil"/>
              <w:left w:val="nil"/>
              <w:bottom w:val="nil"/>
              <w:right w:val="nil"/>
            </w:tcBorders>
            <w:shd w:val="clear" w:color="auto" w:fill="auto"/>
          </w:tcPr>
          <w:p w:rsidR="004A4F80" w:rsidRPr="00153F95" w:rsidRDefault="004A4F80">
            <w:pPr>
              <w:pStyle w:val="TableTextLeftBold-BP3"/>
              <w:spacing w:before="16" w:after="16"/>
            </w:pPr>
            <w:r w:rsidRPr="00153F95">
              <w:t>Contributed Assets</w:t>
            </w:r>
          </w:p>
        </w:tc>
        <w:tc>
          <w:tcPr>
            <w:tcW w:w="1310"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c>
          <w:tcPr>
            <w:tcW w:w="573"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124BB3" w:rsidRDefault="004A4F80">
            <w:pPr>
              <w:keepNext/>
              <w:keepLines/>
              <w:spacing w:before="16" w:after="16"/>
              <w:jc w:val="right"/>
              <w:rPr>
                <w:b/>
                <w:sz w:val="18"/>
                <w:szCs w:val="18"/>
              </w:rPr>
            </w:pPr>
          </w:p>
        </w:tc>
      </w:tr>
      <w:tr w:rsidR="00523F78" w:rsidRPr="00124BB3" w:rsidTr="007D17CA">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91,062</w:t>
            </w:r>
          </w:p>
        </w:tc>
        <w:tc>
          <w:tcPr>
            <w:tcW w:w="2217" w:type="dxa"/>
            <w:tcBorders>
              <w:top w:val="nil"/>
              <w:left w:val="nil"/>
              <w:bottom w:val="nil"/>
              <w:right w:val="nil"/>
            </w:tcBorders>
            <w:shd w:val="clear" w:color="auto" w:fill="auto"/>
          </w:tcPr>
          <w:p w:rsidR="00523F78" w:rsidRPr="00153F95" w:rsidRDefault="00523F78" w:rsidP="000B3623">
            <w:pPr>
              <w:pStyle w:val="TableTextLeft-BP3"/>
              <w:rPr>
                <w:szCs w:val="20"/>
              </w:rPr>
            </w:pPr>
            <w:r w:rsidRPr="00153F95">
              <w:rPr>
                <w:szCs w:val="20"/>
              </w:rPr>
              <w:t>Gains from Contributed Assets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107,984</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135,281</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25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126,425</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115,387</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115,387</w:t>
            </w:r>
          </w:p>
        </w:tc>
      </w:tr>
      <w:tr w:rsidR="00523F78" w:rsidRPr="00124BB3" w:rsidTr="007D17CA">
        <w:trPr>
          <w:trHeight w:val="170"/>
          <w:jc w:val="center"/>
        </w:trPr>
        <w:tc>
          <w:tcPr>
            <w:tcW w:w="1021" w:type="dxa"/>
            <w:tcBorders>
              <w:top w:val="nil"/>
              <w:left w:val="nil"/>
              <w:bottom w:val="single" w:sz="4" w:space="0" w:color="auto"/>
              <w:right w:val="nil"/>
            </w:tcBorders>
            <w:shd w:val="clear" w:color="auto" w:fill="auto"/>
            <w:noWrap/>
          </w:tcPr>
          <w:p w:rsidR="00523F78" w:rsidRDefault="00523F78" w:rsidP="002717CE">
            <w:pPr>
              <w:jc w:val="right"/>
              <w:rPr>
                <w:rFonts w:cs="Calibri"/>
                <w:sz w:val="18"/>
                <w:szCs w:val="18"/>
              </w:rPr>
            </w:pPr>
            <w:r>
              <w:rPr>
                <w:rFonts w:cs="Calibri"/>
                <w:sz w:val="18"/>
                <w:szCs w:val="18"/>
              </w:rPr>
              <w:t>619</w:t>
            </w:r>
          </w:p>
        </w:tc>
        <w:tc>
          <w:tcPr>
            <w:tcW w:w="2217" w:type="dxa"/>
            <w:tcBorders>
              <w:top w:val="nil"/>
              <w:left w:val="nil"/>
              <w:bottom w:val="single" w:sz="4" w:space="0" w:color="auto"/>
              <w:right w:val="nil"/>
            </w:tcBorders>
            <w:shd w:val="clear" w:color="auto" w:fill="auto"/>
            <w:noWrap/>
          </w:tcPr>
          <w:p w:rsidR="00523F78" w:rsidRPr="00153F95" w:rsidRDefault="00523F78" w:rsidP="000B3623">
            <w:pPr>
              <w:pStyle w:val="TableTextLeft-BP3"/>
              <w:rPr>
                <w:szCs w:val="20"/>
              </w:rPr>
            </w:pPr>
            <w:r w:rsidRPr="00153F95">
              <w:rPr>
                <w:szCs w:val="20"/>
              </w:rPr>
              <w:t>Resources Received Free of Charge</w:t>
            </w:r>
          </w:p>
        </w:tc>
        <w:tc>
          <w:tcPr>
            <w:tcW w:w="1310"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259</w:t>
            </w:r>
          </w:p>
        </w:tc>
        <w:tc>
          <w:tcPr>
            <w:tcW w:w="1021"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257</w:t>
            </w:r>
          </w:p>
        </w:tc>
        <w:tc>
          <w:tcPr>
            <w:tcW w:w="573"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 xml:space="preserve">-1 </w:t>
            </w:r>
          </w:p>
        </w:tc>
        <w:tc>
          <w:tcPr>
            <w:tcW w:w="1021"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256</w:t>
            </w:r>
          </w:p>
        </w:tc>
        <w:tc>
          <w:tcPr>
            <w:tcW w:w="1021"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265</w:t>
            </w:r>
          </w:p>
        </w:tc>
        <w:tc>
          <w:tcPr>
            <w:tcW w:w="1021"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276</w:t>
            </w:r>
          </w:p>
        </w:tc>
      </w:tr>
      <w:tr w:rsidR="00523F78" w:rsidRPr="00124BB3" w:rsidTr="007D17CA">
        <w:trPr>
          <w:trHeight w:val="170"/>
          <w:jc w:val="center"/>
        </w:trPr>
        <w:tc>
          <w:tcPr>
            <w:tcW w:w="1021" w:type="dxa"/>
            <w:tcBorders>
              <w:top w:val="single" w:sz="4" w:space="0" w:color="auto"/>
              <w:left w:val="nil"/>
              <w:bottom w:val="single" w:sz="4" w:space="0" w:color="auto"/>
              <w:right w:val="nil"/>
            </w:tcBorders>
            <w:shd w:val="clear" w:color="auto" w:fill="auto"/>
            <w:noWrap/>
          </w:tcPr>
          <w:p w:rsidR="00523F78" w:rsidRPr="006F58E0" w:rsidRDefault="00523F78" w:rsidP="002717CE">
            <w:pPr>
              <w:jc w:val="right"/>
              <w:rPr>
                <w:rFonts w:cs="Calibri"/>
                <w:b/>
                <w:bCs/>
                <w:sz w:val="18"/>
                <w:szCs w:val="18"/>
              </w:rPr>
            </w:pPr>
            <w:r>
              <w:rPr>
                <w:rFonts w:cs="Calibri"/>
                <w:b/>
                <w:bCs/>
                <w:sz w:val="18"/>
                <w:szCs w:val="18"/>
              </w:rPr>
              <w:t>91,681</w:t>
            </w:r>
          </w:p>
        </w:tc>
        <w:tc>
          <w:tcPr>
            <w:tcW w:w="2217" w:type="dxa"/>
            <w:tcBorders>
              <w:top w:val="single" w:sz="4" w:space="0" w:color="auto"/>
              <w:left w:val="nil"/>
              <w:bottom w:val="single" w:sz="4" w:space="0" w:color="auto"/>
              <w:right w:val="nil"/>
            </w:tcBorders>
            <w:shd w:val="clear" w:color="auto" w:fill="auto"/>
          </w:tcPr>
          <w:p w:rsidR="00523F78" w:rsidRPr="00153F95" w:rsidRDefault="00523F78">
            <w:pPr>
              <w:pStyle w:val="TableTextLeftBold-BP3"/>
              <w:spacing w:before="16" w:after="16"/>
            </w:pPr>
            <w:r w:rsidRPr="00153F95">
              <w:t xml:space="preserve">Total Contributed Assets </w:t>
            </w:r>
          </w:p>
        </w:tc>
        <w:tc>
          <w:tcPr>
            <w:tcW w:w="1310"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108,243</w:t>
            </w:r>
          </w:p>
        </w:tc>
        <w:tc>
          <w:tcPr>
            <w:tcW w:w="1021"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135,538</w:t>
            </w:r>
          </w:p>
        </w:tc>
        <w:tc>
          <w:tcPr>
            <w:tcW w:w="573" w:type="dxa"/>
            <w:tcBorders>
              <w:top w:val="single" w:sz="4" w:space="0" w:color="auto"/>
              <w:left w:val="nil"/>
              <w:bottom w:val="single" w:sz="4" w:space="0" w:color="auto"/>
              <w:right w:val="nil"/>
            </w:tcBorders>
            <w:shd w:val="clear" w:color="auto" w:fill="auto"/>
            <w:noWrap/>
          </w:tcPr>
          <w:p w:rsidR="00523F78" w:rsidRPr="00D01ACC" w:rsidRDefault="00523F78">
            <w:pPr>
              <w:jc w:val="right"/>
              <w:rPr>
                <w:rFonts w:cs="Arial"/>
                <w:b/>
                <w:sz w:val="18"/>
                <w:szCs w:val="18"/>
              </w:rPr>
            </w:pPr>
            <w:r w:rsidRPr="00D01ACC">
              <w:rPr>
                <w:rFonts w:cs="Arial"/>
                <w:b/>
                <w:sz w:val="18"/>
                <w:szCs w:val="18"/>
              </w:rPr>
              <w:t xml:space="preserve">25 </w:t>
            </w:r>
          </w:p>
        </w:tc>
        <w:tc>
          <w:tcPr>
            <w:tcW w:w="1021"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126,681</w:t>
            </w:r>
          </w:p>
        </w:tc>
        <w:tc>
          <w:tcPr>
            <w:tcW w:w="1021"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115,652</w:t>
            </w:r>
          </w:p>
        </w:tc>
        <w:tc>
          <w:tcPr>
            <w:tcW w:w="1021"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115,663</w:t>
            </w:r>
          </w:p>
        </w:tc>
      </w:tr>
    </w:tbl>
    <w:p w:rsidR="004A4F80" w:rsidRPr="007D17CA" w:rsidRDefault="004A4F80" w:rsidP="007D17CA">
      <w:pPr>
        <w:pStyle w:val="Heading3"/>
      </w:pPr>
      <w:r w:rsidRPr="007D17CA">
        <w:t>Sale of Goods and Services</w:t>
      </w:r>
    </w:p>
    <w:p w:rsidR="00D01ACC" w:rsidRDefault="00D01ACC">
      <w:pPr>
        <w:pStyle w:val="BodyText"/>
      </w:pPr>
      <w:r>
        <w:t>The sale of goods and services is estimated to decrease by $53.</w:t>
      </w:r>
      <w:r w:rsidR="002676E8">
        <w:t>8</w:t>
      </w:r>
      <w:r>
        <w:t> million from the original budget of $472.9 million.  This is largely attributable to a change in the flow of funds of cross border health receipts</w:t>
      </w:r>
      <w:r w:rsidR="002676E8">
        <w:t xml:space="preserve"> (a portion of these funds are now received as part of the National Healthcare SPP from the Commonwealth)</w:t>
      </w:r>
      <w:r>
        <w:t xml:space="preserve">. </w:t>
      </w:r>
    </w:p>
    <w:p w:rsidR="004A4F80" w:rsidRPr="004B5DDD" w:rsidRDefault="004B5DDD">
      <w:pPr>
        <w:pStyle w:val="BodyText"/>
      </w:pPr>
      <w:r w:rsidRPr="004B5DDD">
        <w:t xml:space="preserve">The </w:t>
      </w:r>
      <w:r w:rsidR="002717CE">
        <w:t>2013-14</w:t>
      </w:r>
      <w:r w:rsidR="004A4F80" w:rsidRPr="004B5DDD">
        <w:t xml:space="preserve"> forecast for </w:t>
      </w:r>
      <w:r w:rsidRPr="004B5DDD">
        <w:t>sales of goods and services is</w:t>
      </w:r>
      <w:r w:rsidR="00D426AC">
        <w:t xml:space="preserve"> expected to increase by $18.7 million from</w:t>
      </w:r>
      <w:r w:rsidRPr="004B5DDD">
        <w:t xml:space="preserve"> the </w:t>
      </w:r>
      <w:r w:rsidR="002717CE">
        <w:t>2012-13</w:t>
      </w:r>
      <w:r w:rsidR="004A4F80" w:rsidRPr="004B5DDD">
        <w:t xml:space="preserve"> estimated outcome.  The largest contributors to sale of goods and services </w:t>
      </w:r>
      <w:r w:rsidR="004A4F80" w:rsidRPr="00D426AC">
        <w:t>are service receipts, cross border health receipts and fees for regulatory services.  Details of sale</w:t>
      </w:r>
      <w:r w:rsidR="004A4F80" w:rsidRPr="004B5DDD">
        <w:t xml:space="preserve"> of goods and </w:t>
      </w:r>
      <w:r w:rsidR="00451B47">
        <w:t>services are provided in Table 3</w:t>
      </w:r>
      <w:r w:rsidR="004A4F80" w:rsidRPr="004B5DDD">
        <w:t>.1.</w:t>
      </w:r>
      <w:r w:rsidR="009C1FDA">
        <w:t>1</w:t>
      </w:r>
      <w:r w:rsidR="000158C6">
        <w:t>1</w:t>
      </w:r>
      <w:r w:rsidR="004A4F80" w:rsidRPr="004B5DDD">
        <w:t>.</w:t>
      </w:r>
    </w:p>
    <w:p w:rsidR="004A7E42" w:rsidRDefault="004A7E42">
      <w:pPr>
        <w:rPr>
          <w:rFonts w:ascii="Arial" w:hAnsi="Arial"/>
          <w:b/>
          <w:sz w:val="20"/>
        </w:rPr>
      </w:pPr>
      <w:r>
        <w:rPr>
          <w:rFonts w:ascii="Arial" w:hAnsi="Arial"/>
          <w:b/>
          <w:sz w:val="20"/>
        </w:rPr>
        <w:br w:type="page"/>
      </w:r>
    </w:p>
    <w:p w:rsidR="004A4F80" w:rsidRPr="00CD2EC8" w:rsidRDefault="00244FB1" w:rsidP="004A7E42">
      <w:pPr>
        <w:pStyle w:val="TableNumber"/>
        <w:spacing w:before="0"/>
      </w:pPr>
      <w:r>
        <w:lastRenderedPageBreak/>
        <w:t xml:space="preserve">Table </w:t>
      </w:r>
      <w:r w:rsidR="00451B47">
        <w:t>3</w:t>
      </w:r>
      <w:r w:rsidR="009C1FDA">
        <w:t>.1.1</w:t>
      </w:r>
      <w:r w:rsidR="000158C6">
        <w:t>1</w:t>
      </w:r>
    </w:p>
    <w:p w:rsidR="004A4F80" w:rsidRPr="00CD2EC8" w:rsidRDefault="004A4F80" w:rsidP="00C74C96">
      <w:pPr>
        <w:pStyle w:val="TableName"/>
      </w:pPr>
      <w:smartTag w:uri="urn:schemas-microsoft-com:office:smarttags" w:element="place">
        <w:smartTag w:uri="urn:schemas-microsoft-com:office:smarttags" w:element="City">
          <w:r w:rsidRPr="00CD2EC8">
            <w:t>Sale</w:t>
          </w:r>
        </w:smartTag>
      </w:smartTag>
      <w:r w:rsidRPr="00CD2EC8">
        <w:t xml:space="preserve"> of Goods and Services</w:t>
      </w:r>
    </w:p>
    <w:tbl>
      <w:tblPr>
        <w:tblW w:w="9205" w:type="dxa"/>
        <w:jc w:val="center"/>
        <w:tblLook w:val="0000"/>
      </w:tblPr>
      <w:tblGrid>
        <w:gridCol w:w="1021"/>
        <w:gridCol w:w="2217"/>
        <w:gridCol w:w="1310"/>
        <w:gridCol w:w="1021"/>
        <w:gridCol w:w="573"/>
        <w:gridCol w:w="1021"/>
        <w:gridCol w:w="1021"/>
        <w:gridCol w:w="1021"/>
      </w:tblGrid>
      <w:tr w:rsidR="002717CE" w:rsidRPr="00CD2EC8" w:rsidTr="002717CE">
        <w:trPr>
          <w:trHeight w:val="170"/>
          <w:jc w:val="center"/>
        </w:trPr>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w:t>
            </w:r>
            <w:r>
              <w:t>0</w:t>
            </w:r>
            <w:r w:rsidRPr="006F7BAF">
              <w:t>12</w:t>
            </w:r>
            <w:r>
              <w:t>-13</w:t>
            </w:r>
          </w:p>
        </w:tc>
        <w:tc>
          <w:tcPr>
            <w:tcW w:w="2217"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 </w:t>
            </w:r>
          </w:p>
        </w:tc>
        <w:tc>
          <w:tcPr>
            <w:tcW w:w="1310"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w:t>
            </w:r>
            <w:r>
              <w:t>0</w:t>
            </w:r>
            <w:r w:rsidRPr="006F7BAF">
              <w:t>12</w:t>
            </w:r>
            <w:r>
              <w:t>-13</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2013</w:t>
            </w:r>
            <w:r>
              <w:t>-14</w:t>
            </w:r>
          </w:p>
        </w:tc>
        <w:tc>
          <w:tcPr>
            <w:tcW w:w="573"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 </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2014</w:t>
            </w:r>
            <w:r>
              <w:t>-15</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rsidRPr="006F7BAF">
              <w:t>2015</w:t>
            </w:r>
            <w:r>
              <w:t>-16</w:t>
            </w:r>
          </w:p>
        </w:tc>
        <w:tc>
          <w:tcPr>
            <w:tcW w:w="1021" w:type="dxa"/>
            <w:tcBorders>
              <w:top w:val="single" w:sz="4" w:space="0" w:color="auto"/>
              <w:left w:val="nil"/>
              <w:bottom w:val="nil"/>
              <w:right w:val="nil"/>
            </w:tcBorders>
            <w:shd w:val="clear" w:color="auto" w:fill="auto"/>
            <w:noWrap/>
          </w:tcPr>
          <w:p w:rsidR="002717CE" w:rsidRPr="006F7BAF" w:rsidRDefault="002717CE" w:rsidP="002717CE">
            <w:pPr>
              <w:pStyle w:val="StyleTableTextRightBold-BP3Before05ptAfter05pt"/>
            </w:pPr>
            <w:r>
              <w:t>2016-17</w:t>
            </w:r>
          </w:p>
        </w:tc>
      </w:tr>
      <w:tr w:rsidR="004A4F80" w:rsidRPr="00CD2EC8" w:rsidTr="002717CE">
        <w:trPr>
          <w:trHeight w:val="170"/>
          <w:jc w:val="center"/>
        </w:trPr>
        <w:tc>
          <w:tcPr>
            <w:tcW w:w="1021"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Budget</w:t>
            </w:r>
          </w:p>
        </w:tc>
        <w:tc>
          <w:tcPr>
            <w:tcW w:w="2217" w:type="dxa"/>
            <w:tcBorders>
              <w:top w:val="nil"/>
              <w:left w:val="nil"/>
              <w:bottom w:val="nil"/>
              <w:right w:val="nil"/>
            </w:tcBorders>
            <w:shd w:val="clear" w:color="auto" w:fill="auto"/>
            <w:noWrap/>
            <w:vAlign w:val="bottom"/>
          </w:tcPr>
          <w:p w:rsidR="004A4F80" w:rsidRPr="00CD2EC8" w:rsidRDefault="004A4F80">
            <w:pPr>
              <w:pStyle w:val="TableTextRightBold-BP3"/>
              <w:spacing w:before="10" w:after="10"/>
            </w:pPr>
          </w:p>
        </w:tc>
        <w:tc>
          <w:tcPr>
            <w:tcW w:w="1310"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Est. Outcome</w:t>
            </w:r>
          </w:p>
        </w:tc>
        <w:tc>
          <w:tcPr>
            <w:tcW w:w="1021"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Budget</w:t>
            </w:r>
          </w:p>
        </w:tc>
        <w:tc>
          <w:tcPr>
            <w:tcW w:w="573"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Var</w:t>
            </w:r>
          </w:p>
        </w:tc>
        <w:tc>
          <w:tcPr>
            <w:tcW w:w="1021"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Estimate</w:t>
            </w:r>
          </w:p>
        </w:tc>
        <w:tc>
          <w:tcPr>
            <w:tcW w:w="1021"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Estimate</w:t>
            </w:r>
          </w:p>
        </w:tc>
        <w:tc>
          <w:tcPr>
            <w:tcW w:w="1021" w:type="dxa"/>
            <w:tcBorders>
              <w:top w:val="nil"/>
              <w:left w:val="nil"/>
              <w:bottom w:val="nil"/>
              <w:right w:val="nil"/>
            </w:tcBorders>
            <w:shd w:val="clear" w:color="auto" w:fill="auto"/>
            <w:noWrap/>
          </w:tcPr>
          <w:p w:rsidR="004A4F80" w:rsidRPr="00CD2EC8" w:rsidRDefault="004A4F80" w:rsidP="00D90F82">
            <w:pPr>
              <w:pStyle w:val="StyleTableTextRightBold-BP3Before05ptAfter05pt"/>
            </w:pPr>
            <w:r w:rsidRPr="00CD2EC8">
              <w:t>Estimate</w:t>
            </w:r>
          </w:p>
        </w:tc>
      </w:tr>
      <w:tr w:rsidR="004A4F80" w:rsidRPr="00CD2EC8" w:rsidTr="002717CE">
        <w:trPr>
          <w:trHeight w:val="170"/>
          <w:jc w:val="center"/>
        </w:trPr>
        <w:tc>
          <w:tcPr>
            <w:tcW w:w="1021"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c>
          <w:tcPr>
            <w:tcW w:w="2217" w:type="dxa"/>
            <w:tcBorders>
              <w:top w:val="nil"/>
              <w:left w:val="nil"/>
              <w:bottom w:val="single" w:sz="4" w:space="0" w:color="auto"/>
              <w:right w:val="nil"/>
            </w:tcBorders>
            <w:shd w:val="clear" w:color="auto" w:fill="auto"/>
            <w:noWrap/>
            <w:vAlign w:val="bottom"/>
          </w:tcPr>
          <w:p w:rsidR="004A4F80" w:rsidRPr="00CD2EC8" w:rsidRDefault="004A4F80" w:rsidP="00D90F82">
            <w:pPr>
              <w:pStyle w:val="StyleTableTextRightBold-BP3Before05ptAfter05pt"/>
            </w:pPr>
            <w:r w:rsidRPr="00CD2EC8">
              <w:t> </w:t>
            </w:r>
          </w:p>
        </w:tc>
        <w:tc>
          <w:tcPr>
            <w:tcW w:w="1310"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c>
          <w:tcPr>
            <w:tcW w:w="1021"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c>
          <w:tcPr>
            <w:tcW w:w="573"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w:t>
            </w:r>
          </w:p>
        </w:tc>
        <w:tc>
          <w:tcPr>
            <w:tcW w:w="1021"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c>
          <w:tcPr>
            <w:tcW w:w="1021"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c>
          <w:tcPr>
            <w:tcW w:w="1021" w:type="dxa"/>
            <w:tcBorders>
              <w:top w:val="nil"/>
              <w:left w:val="nil"/>
              <w:bottom w:val="single" w:sz="4" w:space="0" w:color="auto"/>
              <w:right w:val="nil"/>
            </w:tcBorders>
            <w:shd w:val="clear" w:color="auto" w:fill="auto"/>
            <w:noWrap/>
          </w:tcPr>
          <w:p w:rsidR="004A4F80" w:rsidRPr="00CD2EC8" w:rsidRDefault="004A4F80" w:rsidP="00D90F82">
            <w:pPr>
              <w:pStyle w:val="StyleTableTextRightBold-BP3Before05ptAfter05pt"/>
            </w:pPr>
            <w:r w:rsidRPr="00CD2EC8">
              <w:t>$'000</w:t>
            </w:r>
          </w:p>
        </w:tc>
      </w:tr>
      <w:tr w:rsidR="004A4F80" w:rsidRPr="00CD2EC8" w:rsidTr="002717CE">
        <w:trPr>
          <w:trHeight w:val="170"/>
          <w:jc w:val="center"/>
        </w:trPr>
        <w:tc>
          <w:tcPr>
            <w:tcW w:w="1021" w:type="dxa"/>
            <w:tcBorders>
              <w:top w:val="nil"/>
              <w:left w:val="nil"/>
              <w:bottom w:val="nil"/>
              <w:right w:val="nil"/>
            </w:tcBorders>
            <w:shd w:val="clear" w:color="auto" w:fill="auto"/>
            <w:noWrap/>
          </w:tcPr>
          <w:p w:rsidR="004A4F80" w:rsidRPr="00CD2EC8" w:rsidRDefault="004A4F80">
            <w:pPr>
              <w:pStyle w:val="TableTextNumbers"/>
              <w:spacing w:before="16" w:after="16"/>
            </w:pPr>
          </w:p>
        </w:tc>
        <w:tc>
          <w:tcPr>
            <w:tcW w:w="2217" w:type="dxa"/>
            <w:tcBorders>
              <w:top w:val="nil"/>
              <w:left w:val="nil"/>
              <w:bottom w:val="nil"/>
              <w:right w:val="nil"/>
            </w:tcBorders>
            <w:shd w:val="clear" w:color="auto" w:fill="auto"/>
            <w:noWrap/>
          </w:tcPr>
          <w:p w:rsidR="004A4F80" w:rsidRPr="007D17CA" w:rsidRDefault="004A4F80">
            <w:pPr>
              <w:pStyle w:val="TableTextLeftBold-BP3"/>
              <w:spacing w:before="16" w:after="16"/>
            </w:pPr>
            <w:r w:rsidRPr="007D17CA">
              <w:t>Regulatory Fees</w:t>
            </w:r>
          </w:p>
        </w:tc>
        <w:tc>
          <w:tcPr>
            <w:tcW w:w="1310"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c>
          <w:tcPr>
            <w:tcW w:w="573"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c>
          <w:tcPr>
            <w:tcW w:w="1021" w:type="dxa"/>
            <w:tcBorders>
              <w:top w:val="nil"/>
              <w:left w:val="nil"/>
              <w:bottom w:val="nil"/>
              <w:right w:val="nil"/>
            </w:tcBorders>
            <w:shd w:val="clear" w:color="auto" w:fill="auto"/>
            <w:noWrap/>
          </w:tcPr>
          <w:p w:rsidR="004A4F80" w:rsidRPr="00CD2EC8" w:rsidRDefault="004A4F80">
            <w:pPr>
              <w:spacing w:before="16" w:after="16"/>
              <w:jc w:val="right"/>
              <w:rPr>
                <w:b/>
                <w:sz w:val="18"/>
                <w:szCs w:val="18"/>
              </w:rPr>
            </w:pP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846</w:t>
            </w:r>
          </w:p>
        </w:tc>
        <w:tc>
          <w:tcPr>
            <w:tcW w:w="2217"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Casino Licence Fees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832</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850</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872</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894</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916</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9,941</w:t>
            </w:r>
          </w:p>
        </w:tc>
        <w:tc>
          <w:tcPr>
            <w:tcW w:w="2217"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Drivers Licences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9,941</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9,430</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-5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9,934</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10,328</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10,736</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2,932</w:t>
            </w:r>
          </w:p>
        </w:tc>
        <w:tc>
          <w:tcPr>
            <w:tcW w:w="2217"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Taxi Licences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2,340</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2,411</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3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2,501</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2,594</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2,691</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67,896</w:t>
            </w:r>
          </w:p>
        </w:tc>
        <w:tc>
          <w:tcPr>
            <w:tcW w:w="2217"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Fees for Regulatory Services</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69,382</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70,994</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74,530</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77,076</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79,360</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sz w:val="18"/>
                <w:szCs w:val="18"/>
              </w:rPr>
            </w:pPr>
            <w:r>
              <w:rPr>
                <w:rFonts w:cs="Calibri"/>
                <w:sz w:val="18"/>
                <w:szCs w:val="18"/>
              </w:rPr>
              <w:t>26,344</w:t>
            </w:r>
          </w:p>
        </w:tc>
        <w:tc>
          <w:tcPr>
            <w:tcW w:w="2217"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Water Abstraction Charge</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26,344</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26,802</w:t>
            </w: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 </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27,218</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27,607</w:t>
            </w: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27,607</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Default="00523F78" w:rsidP="002717CE">
            <w:pPr>
              <w:jc w:val="right"/>
              <w:rPr>
                <w:rFonts w:cs="Calibri"/>
                <w:b/>
                <w:bCs/>
                <w:sz w:val="18"/>
                <w:szCs w:val="18"/>
              </w:rPr>
            </w:pPr>
            <w:r>
              <w:rPr>
                <w:rFonts w:cs="Calibri"/>
                <w:b/>
                <w:bCs/>
                <w:sz w:val="18"/>
                <w:szCs w:val="18"/>
              </w:rPr>
              <w:t>107,959</w:t>
            </w:r>
          </w:p>
        </w:tc>
        <w:tc>
          <w:tcPr>
            <w:tcW w:w="2217" w:type="dxa"/>
            <w:tcBorders>
              <w:top w:val="nil"/>
              <w:left w:val="nil"/>
              <w:bottom w:val="nil"/>
              <w:right w:val="nil"/>
            </w:tcBorders>
            <w:shd w:val="clear" w:color="auto" w:fill="auto"/>
          </w:tcPr>
          <w:p w:rsidR="00523F78" w:rsidRPr="007D17CA" w:rsidRDefault="00523F78">
            <w:pPr>
              <w:pStyle w:val="TableTextLeftBold-BP3"/>
              <w:spacing w:before="16" w:after="16"/>
            </w:pPr>
            <w:r w:rsidRPr="007D17CA">
              <w:t>Total Regulatory Fees</w:t>
            </w:r>
          </w:p>
        </w:tc>
        <w:tc>
          <w:tcPr>
            <w:tcW w:w="1310"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108,839</w:t>
            </w:r>
          </w:p>
        </w:tc>
        <w:tc>
          <w:tcPr>
            <w:tcW w:w="1021"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110,487</w:t>
            </w:r>
          </w:p>
        </w:tc>
        <w:tc>
          <w:tcPr>
            <w:tcW w:w="573"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 xml:space="preserve">2 </w:t>
            </w:r>
          </w:p>
        </w:tc>
        <w:tc>
          <w:tcPr>
            <w:tcW w:w="1021"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115,055</w:t>
            </w:r>
          </w:p>
        </w:tc>
        <w:tc>
          <w:tcPr>
            <w:tcW w:w="1021"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118,499</w:t>
            </w:r>
          </w:p>
        </w:tc>
        <w:tc>
          <w:tcPr>
            <w:tcW w:w="1021"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121,310</w:t>
            </w:r>
          </w:p>
        </w:tc>
      </w:tr>
      <w:tr w:rsidR="00523F78" w:rsidRPr="00CD2EC8" w:rsidTr="002717CE">
        <w:trPr>
          <w:trHeight w:val="170"/>
          <w:jc w:val="center"/>
        </w:trPr>
        <w:tc>
          <w:tcPr>
            <w:tcW w:w="1021" w:type="dxa"/>
            <w:tcBorders>
              <w:top w:val="nil"/>
              <w:left w:val="nil"/>
              <w:bottom w:val="nil"/>
              <w:right w:val="nil"/>
            </w:tcBorders>
            <w:shd w:val="clear" w:color="auto" w:fill="auto"/>
            <w:noWrap/>
          </w:tcPr>
          <w:p w:rsidR="00523F78" w:rsidRPr="00CD2EC8" w:rsidRDefault="00523F78" w:rsidP="002717CE">
            <w:pPr>
              <w:spacing w:before="16" w:after="16"/>
              <w:jc w:val="right"/>
              <w:rPr>
                <w:sz w:val="18"/>
                <w:szCs w:val="18"/>
              </w:rPr>
            </w:pPr>
          </w:p>
        </w:tc>
        <w:tc>
          <w:tcPr>
            <w:tcW w:w="2217" w:type="dxa"/>
            <w:tcBorders>
              <w:top w:val="nil"/>
              <w:left w:val="nil"/>
              <w:bottom w:val="nil"/>
              <w:right w:val="nil"/>
            </w:tcBorders>
            <w:shd w:val="clear" w:color="auto" w:fill="auto"/>
            <w:noWrap/>
          </w:tcPr>
          <w:p w:rsidR="00523F78" w:rsidRPr="007D17CA" w:rsidRDefault="00523F78">
            <w:pPr>
              <w:pStyle w:val="TableTextLeftBold-BP3"/>
              <w:spacing w:before="16" w:after="16"/>
            </w:pPr>
            <w:r w:rsidRPr="007D17CA">
              <w:t>Other</w:t>
            </w:r>
          </w:p>
        </w:tc>
        <w:tc>
          <w:tcPr>
            <w:tcW w:w="1310"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p>
        </w:tc>
        <w:tc>
          <w:tcPr>
            <w:tcW w:w="573"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21" w:type="dxa"/>
            <w:tcBorders>
              <w:top w:val="nil"/>
              <w:left w:val="nil"/>
              <w:bottom w:val="nil"/>
              <w:right w:val="nil"/>
            </w:tcBorders>
            <w:shd w:val="clear" w:color="auto" w:fill="auto"/>
            <w:noWrap/>
          </w:tcPr>
          <w:p w:rsidR="00523F78" w:rsidRDefault="00523F78">
            <w:pPr>
              <w:jc w:val="right"/>
              <w:rPr>
                <w:rFonts w:cs="Arial"/>
                <w:sz w:val="18"/>
                <w:szCs w:val="18"/>
              </w:rPr>
            </w:pP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18,564</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Parking Fees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16,184</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19,394</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20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20,122</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20,876</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21,659</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31,138</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Patient Fees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32,638</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32,838</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1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33,618</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34,417</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35,206</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4,939</w:t>
            </w:r>
          </w:p>
        </w:tc>
        <w:tc>
          <w:tcPr>
            <w:tcW w:w="2217" w:type="dxa"/>
            <w:tcBorders>
              <w:top w:val="nil"/>
              <w:left w:val="nil"/>
              <w:bottom w:val="nil"/>
              <w:right w:val="nil"/>
            </w:tcBorders>
            <w:shd w:val="clear" w:color="auto" w:fill="auto"/>
            <w:noWrap/>
          </w:tcPr>
          <w:p w:rsidR="00D01ACC" w:rsidRPr="007D17CA" w:rsidRDefault="00D01ACC" w:rsidP="00AA781F">
            <w:pPr>
              <w:pStyle w:val="TableTextLeft-BP3"/>
              <w:rPr>
                <w:szCs w:val="20"/>
              </w:rPr>
            </w:pPr>
            <w:r w:rsidRPr="007D17CA">
              <w:rPr>
                <w:szCs w:val="20"/>
              </w:rPr>
              <w:t>Non-</w:t>
            </w:r>
            <w:r w:rsidR="00AA781F" w:rsidRPr="007D17CA">
              <w:rPr>
                <w:szCs w:val="20"/>
              </w:rPr>
              <w:t>P</w:t>
            </w:r>
            <w:r w:rsidRPr="007D17CA">
              <w:rPr>
                <w:szCs w:val="20"/>
              </w:rPr>
              <w:t>atient Fees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4,850</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5,088</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5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5,176</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5,374</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5,569</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3,703</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Meals and Accommodation</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3,703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3,783</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2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3,873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3,973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4,023</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120,000</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Cross Border Health Receipts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66,302</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76,750</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16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79,249</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81,053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82,896</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17,935</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Sales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26,194</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27,762</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6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27,818</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28,453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28,816</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121,085</w:t>
            </w:r>
          </w:p>
        </w:tc>
        <w:tc>
          <w:tcPr>
            <w:tcW w:w="2217" w:type="dxa"/>
            <w:tcBorders>
              <w:top w:val="nil"/>
              <w:left w:val="nil"/>
              <w:bottom w:val="nil"/>
              <w:right w:val="nil"/>
            </w:tcBorders>
            <w:shd w:val="clear" w:color="auto" w:fill="auto"/>
          </w:tcPr>
          <w:p w:rsidR="00D01ACC" w:rsidRPr="007D17CA" w:rsidRDefault="00D01ACC" w:rsidP="000B3623">
            <w:pPr>
              <w:pStyle w:val="TableTextLeft-BP3"/>
              <w:rPr>
                <w:szCs w:val="20"/>
              </w:rPr>
            </w:pPr>
            <w:r w:rsidRPr="007D17CA">
              <w:rPr>
                <w:szCs w:val="20"/>
              </w:rPr>
              <w:t>Service Receipts (Non ACT Government)</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104,440</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105,942</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1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119,706</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124,718</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129,915</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7,099</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Rent from Tenants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13,831</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14,176</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2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14,211</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14,423</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14,462</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20,114</w:t>
            </w:r>
          </w:p>
        </w:tc>
        <w:tc>
          <w:tcPr>
            <w:tcW w:w="2217" w:type="dxa"/>
            <w:tcBorders>
              <w:top w:val="nil"/>
              <w:left w:val="nil"/>
              <w:bottom w:val="nil"/>
              <w:right w:val="nil"/>
            </w:tcBorders>
            <w:shd w:val="clear" w:color="auto" w:fill="auto"/>
            <w:noWrap/>
          </w:tcPr>
          <w:p w:rsidR="00D01ACC" w:rsidRPr="007D17CA" w:rsidRDefault="00D01ACC" w:rsidP="000B3623">
            <w:pPr>
              <w:pStyle w:val="TableTextLeft-BP3"/>
              <w:rPr>
                <w:szCs w:val="20"/>
              </w:rPr>
            </w:pPr>
            <w:r w:rsidRPr="007D17CA">
              <w:rPr>
                <w:szCs w:val="20"/>
              </w:rPr>
              <w:t>Miscellaneous</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20,046</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20,640</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3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21,009</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21,512</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22,034</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sz w:val="18"/>
                <w:szCs w:val="18"/>
              </w:rPr>
            </w:pPr>
            <w:r>
              <w:rPr>
                <w:rFonts w:cs="Calibri"/>
                <w:sz w:val="18"/>
                <w:szCs w:val="18"/>
              </w:rPr>
              <w:t>20,396</w:t>
            </w:r>
          </w:p>
        </w:tc>
        <w:tc>
          <w:tcPr>
            <w:tcW w:w="2217" w:type="dxa"/>
            <w:tcBorders>
              <w:top w:val="nil"/>
              <w:left w:val="nil"/>
              <w:bottom w:val="nil"/>
              <w:right w:val="nil"/>
            </w:tcBorders>
            <w:shd w:val="clear" w:color="auto" w:fill="auto"/>
          </w:tcPr>
          <w:p w:rsidR="00D01ACC" w:rsidRPr="007D17CA" w:rsidRDefault="00D01ACC" w:rsidP="000B3623">
            <w:pPr>
              <w:pStyle w:val="TableTextLeft-BP3"/>
              <w:rPr>
                <w:szCs w:val="20"/>
              </w:rPr>
            </w:pPr>
            <w:r w:rsidRPr="007D17CA">
              <w:rPr>
                <w:szCs w:val="20"/>
              </w:rPr>
              <w:t>User Charges - ACT Government</w:t>
            </w:r>
          </w:p>
        </w:tc>
        <w:tc>
          <w:tcPr>
            <w:tcW w:w="1310"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22,111</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20,932</w:t>
            </w:r>
          </w:p>
        </w:tc>
        <w:tc>
          <w:tcPr>
            <w:tcW w:w="573"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 xml:space="preserve">-5 </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21,400</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21,937</w:t>
            </w:r>
          </w:p>
        </w:tc>
        <w:tc>
          <w:tcPr>
            <w:tcW w:w="1021" w:type="dxa"/>
            <w:tcBorders>
              <w:top w:val="nil"/>
              <w:left w:val="nil"/>
              <w:bottom w:val="nil"/>
              <w:right w:val="nil"/>
            </w:tcBorders>
            <w:shd w:val="clear" w:color="auto" w:fill="auto"/>
            <w:noWrap/>
          </w:tcPr>
          <w:p w:rsidR="00D01ACC" w:rsidRDefault="00D01ACC">
            <w:pPr>
              <w:jc w:val="right"/>
              <w:rPr>
                <w:rFonts w:cs="Arial"/>
                <w:sz w:val="18"/>
                <w:szCs w:val="18"/>
              </w:rPr>
            </w:pPr>
            <w:r>
              <w:rPr>
                <w:rFonts w:cs="Arial"/>
                <w:sz w:val="18"/>
                <w:szCs w:val="18"/>
              </w:rPr>
              <w:t>22,496</w:t>
            </w:r>
          </w:p>
        </w:tc>
      </w:tr>
      <w:tr w:rsidR="00D01ACC" w:rsidRPr="00CD2EC8" w:rsidTr="002717CE">
        <w:trPr>
          <w:trHeight w:val="170"/>
          <w:jc w:val="center"/>
        </w:trPr>
        <w:tc>
          <w:tcPr>
            <w:tcW w:w="1021" w:type="dxa"/>
            <w:tcBorders>
              <w:top w:val="nil"/>
              <w:left w:val="nil"/>
              <w:bottom w:val="nil"/>
              <w:right w:val="nil"/>
            </w:tcBorders>
            <w:shd w:val="clear" w:color="auto" w:fill="auto"/>
            <w:noWrap/>
          </w:tcPr>
          <w:p w:rsidR="00D01ACC" w:rsidRDefault="00D01ACC" w:rsidP="002717CE">
            <w:pPr>
              <w:jc w:val="right"/>
              <w:rPr>
                <w:rFonts w:cs="Calibri"/>
                <w:b/>
                <w:bCs/>
                <w:sz w:val="18"/>
                <w:szCs w:val="18"/>
              </w:rPr>
            </w:pPr>
            <w:r>
              <w:rPr>
                <w:rFonts w:cs="Calibri"/>
                <w:b/>
                <w:bCs/>
                <w:sz w:val="18"/>
                <w:szCs w:val="18"/>
              </w:rPr>
              <w:t>364,973</w:t>
            </w:r>
          </w:p>
        </w:tc>
        <w:tc>
          <w:tcPr>
            <w:tcW w:w="2217" w:type="dxa"/>
            <w:tcBorders>
              <w:top w:val="nil"/>
              <w:left w:val="nil"/>
              <w:bottom w:val="nil"/>
              <w:right w:val="nil"/>
            </w:tcBorders>
            <w:shd w:val="clear" w:color="auto" w:fill="auto"/>
          </w:tcPr>
          <w:p w:rsidR="00D01ACC" w:rsidRPr="007D17CA" w:rsidRDefault="00D01ACC">
            <w:pPr>
              <w:pStyle w:val="TableTextLeftBold-BP3"/>
              <w:spacing w:before="16" w:after="16"/>
            </w:pPr>
            <w:r w:rsidRPr="007D17CA">
              <w:t>Total Other</w:t>
            </w:r>
          </w:p>
        </w:tc>
        <w:tc>
          <w:tcPr>
            <w:tcW w:w="1310"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310,299</w:t>
            </w:r>
          </w:p>
        </w:tc>
        <w:tc>
          <w:tcPr>
            <w:tcW w:w="1021"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327,305</w:t>
            </w:r>
          </w:p>
        </w:tc>
        <w:tc>
          <w:tcPr>
            <w:tcW w:w="573"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 xml:space="preserve">5 </w:t>
            </w:r>
          </w:p>
        </w:tc>
        <w:tc>
          <w:tcPr>
            <w:tcW w:w="1021"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346,182</w:t>
            </w:r>
          </w:p>
        </w:tc>
        <w:tc>
          <w:tcPr>
            <w:tcW w:w="1021"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356,736</w:t>
            </w:r>
          </w:p>
        </w:tc>
        <w:tc>
          <w:tcPr>
            <w:tcW w:w="1021" w:type="dxa"/>
            <w:tcBorders>
              <w:top w:val="nil"/>
              <w:left w:val="nil"/>
              <w:bottom w:val="nil"/>
              <w:right w:val="nil"/>
            </w:tcBorders>
            <w:shd w:val="clear" w:color="auto" w:fill="auto"/>
            <w:noWrap/>
          </w:tcPr>
          <w:p w:rsidR="00D01ACC" w:rsidRDefault="00D01ACC">
            <w:pPr>
              <w:jc w:val="right"/>
              <w:rPr>
                <w:rFonts w:cs="Arial"/>
                <w:b/>
                <w:bCs/>
                <w:sz w:val="18"/>
                <w:szCs w:val="18"/>
              </w:rPr>
            </w:pPr>
            <w:r>
              <w:rPr>
                <w:rFonts w:cs="Arial"/>
                <w:b/>
                <w:bCs/>
                <w:sz w:val="18"/>
                <w:szCs w:val="18"/>
              </w:rPr>
              <w:t>367,076</w:t>
            </w:r>
          </w:p>
        </w:tc>
      </w:tr>
      <w:tr w:rsidR="00D01ACC" w:rsidRPr="00CD2EC8" w:rsidTr="002717CE">
        <w:trPr>
          <w:trHeight w:val="170"/>
          <w:jc w:val="center"/>
        </w:trPr>
        <w:tc>
          <w:tcPr>
            <w:tcW w:w="1021" w:type="dxa"/>
            <w:tcBorders>
              <w:top w:val="single" w:sz="4" w:space="0" w:color="auto"/>
              <w:left w:val="nil"/>
              <w:bottom w:val="single" w:sz="4" w:space="0" w:color="auto"/>
              <w:right w:val="nil"/>
            </w:tcBorders>
            <w:shd w:val="clear" w:color="auto" w:fill="auto"/>
            <w:noWrap/>
          </w:tcPr>
          <w:p w:rsidR="00D01ACC" w:rsidRDefault="00D01ACC" w:rsidP="002717CE">
            <w:pPr>
              <w:jc w:val="right"/>
              <w:rPr>
                <w:rFonts w:cs="Calibri"/>
                <w:b/>
                <w:bCs/>
                <w:sz w:val="18"/>
                <w:szCs w:val="18"/>
              </w:rPr>
            </w:pPr>
            <w:r>
              <w:rPr>
                <w:rFonts w:cs="Calibri"/>
                <w:b/>
                <w:bCs/>
                <w:sz w:val="18"/>
                <w:szCs w:val="18"/>
              </w:rPr>
              <w:t>472,932</w:t>
            </w:r>
          </w:p>
          <w:p w:rsidR="00D01ACC" w:rsidRPr="00CD2EC8" w:rsidRDefault="00D01ACC" w:rsidP="002717CE">
            <w:pPr>
              <w:spacing w:before="16" w:after="16"/>
              <w:jc w:val="right"/>
              <w:rPr>
                <w:b/>
                <w:bCs/>
                <w:sz w:val="18"/>
                <w:szCs w:val="18"/>
              </w:rPr>
            </w:pPr>
          </w:p>
        </w:tc>
        <w:tc>
          <w:tcPr>
            <w:tcW w:w="2217" w:type="dxa"/>
            <w:tcBorders>
              <w:top w:val="single" w:sz="4" w:space="0" w:color="auto"/>
              <w:left w:val="nil"/>
              <w:bottom w:val="single" w:sz="4" w:space="0" w:color="auto"/>
              <w:right w:val="nil"/>
            </w:tcBorders>
            <w:shd w:val="clear" w:color="auto" w:fill="auto"/>
          </w:tcPr>
          <w:p w:rsidR="00D01ACC" w:rsidRPr="007D17CA" w:rsidRDefault="00D01ACC">
            <w:pPr>
              <w:pStyle w:val="TableTextLeftBold-BP3"/>
              <w:spacing w:before="16" w:after="16"/>
            </w:pPr>
            <w:r w:rsidRPr="007D17CA">
              <w:t>Total Sale of Goods and Services</w:t>
            </w:r>
          </w:p>
        </w:tc>
        <w:tc>
          <w:tcPr>
            <w:tcW w:w="1310"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419,138</w:t>
            </w:r>
          </w:p>
        </w:tc>
        <w:tc>
          <w:tcPr>
            <w:tcW w:w="1021"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437,792</w:t>
            </w:r>
          </w:p>
        </w:tc>
        <w:tc>
          <w:tcPr>
            <w:tcW w:w="573"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 xml:space="preserve">4 </w:t>
            </w:r>
          </w:p>
        </w:tc>
        <w:tc>
          <w:tcPr>
            <w:tcW w:w="1021"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461,237</w:t>
            </w:r>
          </w:p>
        </w:tc>
        <w:tc>
          <w:tcPr>
            <w:tcW w:w="1021"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475,235</w:t>
            </w:r>
          </w:p>
        </w:tc>
        <w:tc>
          <w:tcPr>
            <w:tcW w:w="1021" w:type="dxa"/>
            <w:tcBorders>
              <w:top w:val="single" w:sz="4" w:space="0" w:color="auto"/>
              <w:left w:val="nil"/>
              <w:bottom w:val="single" w:sz="4" w:space="0" w:color="auto"/>
              <w:right w:val="nil"/>
            </w:tcBorders>
            <w:shd w:val="clear" w:color="auto" w:fill="auto"/>
            <w:noWrap/>
          </w:tcPr>
          <w:p w:rsidR="00D01ACC" w:rsidRDefault="00D01ACC">
            <w:pPr>
              <w:jc w:val="right"/>
              <w:rPr>
                <w:rFonts w:cs="Arial"/>
                <w:b/>
                <w:bCs/>
                <w:sz w:val="18"/>
                <w:szCs w:val="18"/>
              </w:rPr>
            </w:pPr>
            <w:r>
              <w:rPr>
                <w:rFonts w:cs="Arial"/>
                <w:b/>
                <w:bCs/>
                <w:sz w:val="18"/>
                <w:szCs w:val="18"/>
              </w:rPr>
              <w:t>488,386</w:t>
            </w:r>
          </w:p>
        </w:tc>
      </w:tr>
    </w:tbl>
    <w:p w:rsidR="004A4F80" w:rsidRPr="00805B9B" w:rsidRDefault="004A4F80" w:rsidP="00805B9B">
      <w:pPr>
        <w:pStyle w:val="Heading4"/>
        <w:spacing w:before="0"/>
        <w:rPr>
          <w:iCs/>
        </w:rPr>
      </w:pPr>
      <w:r w:rsidRPr="00805B9B">
        <w:rPr>
          <w:iCs/>
        </w:rPr>
        <w:lastRenderedPageBreak/>
        <w:t xml:space="preserve">Casino Licence Fees </w:t>
      </w:r>
    </w:p>
    <w:p w:rsidR="00243EEB" w:rsidRDefault="00243EEB" w:rsidP="00312614">
      <w:pPr>
        <w:pStyle w:val="BodyText"/>
      </w:pPr>
      <w:r>
        <w:t>The casino licensee pays the casino licence fee to the ACT Gambling and Racing Commission.  The Commission also collects casino employees</w:t>
      </w:r>
      <w:r w:rsidR="00AA781F">
        <w:t>’</w:t>
      </w:r>
      <w:r>
        <w:t xml:space="preserve"> licence fees for licensing staff employed by the casino.  </w:t>
      </w:r>
      <w:r w:rsidR="00D01ACC">
        <w:t>T</w:t>
      </w:r>
      <w:r>
        <w:t xml:space="preserve">he forecast for </w:t>
      </w:r>
      <w:r w:rsidR="00FF1319">
        <w:t>2013-14</w:t>
      </w:r>
      <w:r>
        <w:t xml:space="preserve"> for the combined total of all casino </w:t>
      </w:r>
      <w:r w:rsidRPr="00C17154">
        <w:t>licence fees is $0.</w:t>
      </w:r>
      <w:r w:rsidR="00D01ACC">
        <w:t>850</w:t>
      </w:r>
      <w:r w:rsidRPr="00C17154">
        <w:t xml:space="preserve"> million</w:t>
      </w:r>
      <w:r w:rsidR="00C17154" w:rsidRPr="00C17154">
        <w:t>.</w:t>
      </w:r>
    </w:p>
    <w:p w:rsidR="004A4F80" w:rsidRPr="00743550" w:rsidRDefault="004A4F80" w:rsidP="00743550">
      <w:pPr>
        <w:pStyle w:val="Heading4"/>
      </w:pPr>
      <w:r w:rsidRPr="00743550">
        <w:t>Drivers Licences</w:t>
      </w:r>
      <w:r w:rsidR="00C17154">
        <w:t xml:space="preserve"> </w:t>
      </w:r>
    </w:p>
    <w:p w:rsidR="004A4F80" w:rsidRPr="001011BA" w:rsidRDefault="004A4F80">
      <w:pPr>
        <w:pStyle w:val="BodyText"/>
        <w:rPr>
          <w:b/>
        </w:rPr>
      </w:pPr>
      <w:r w:rsidRPr="001011BA">
        <w:t xml:space="preserve">The revenue </w:t>
      </w:r>
      <w:r w:rsidR="003B5375" w:rsidRPr="001011BA">
        <w:t xml:space="preserve">from </w:t>
      </w:r>
      <w:r w:rsidR="00743550" w:rsidRPr="00D426AC">
        <w:t>drivers</w:t>
      </w:r>
      <w:r w:rsidR="003B5375" w:rsidRPr="00D426AC">
        <w:t xml:space="preserve"> licences in </w:t>
      </w:r>
      <w:r w:rsidR="00FF1319" w:rsidRPr="00D426AC">
        <w:t>2012-13</w:t>
      </w:r>
      <w:r w:rsidRPr="00D426AC">
        <w:t xml:space="preserve"> is estimated at $9</w:t>
      </w:r>
      <w:r w:rsidR="003B5375" w:rsidRPr="00D426AC">
        <w:t>.</w:t>
      </w:r>
      <w:r w:rsidR="00D426AC" w:rsidRPr="00D426AC">
        <w:t>9</w:t>
      </w:r>
      <w:r w:rsidRPr="00D426AC">
        <w:t> mill</w:t>
      </w:r>
      <w:r w:rsidR="003B5375" w:rsidRPr="00D426AC">
        <w:t xml:space="preserve">ion and the forecast for </w:t>
      </w:r>
      <w:r w:rsidR="00FF1319" w:rsidRPr="00D426AC">
        <w:t>2013-14</w:t>
      </w:r>
      <w:r w:rsidRPr="00D426AC">
        <w:t xml:space="preserve"> is $</w:t>
      </w:r>
      <w:r w:rsidR="00963575" w:rsidRPr="00D426AC">
        <w:t>9.</w:t>
      </w:r>
      <w:r w:rsidR="00D426AC" w:rsidRPr="00D426AC">
        <w:t>4</w:t>
      </w:r>
      <w:r w:rsidR="001011BA" w:rsidRPr="00D426AC">
        <w:t> million.</w:t>
      </w:r>
      <w:r w:rsidR="001011BA">
        <w:t xml:space="preserve">  </w:t>
      </w:r>
      <w:r w:rsidR="001D2D3A" w:rsidRPr="001D2D3A">
        <w:t xml:space="preserve">The </w:t>
      </w:r>
      <w:r w:rsidR="001D2D3A">
        <w:t>decrease</w:t>
      </w:r>
      <w:r w:rsidR="001D2D3A" w:rsidRPr="001D2D3A">
        <w:t xml:space="preserve"> from 2012-13 mainly reflects the Government’s commitment to reward safer driving, aligning with the ACT Road Safety Strategy.  </w:t>
      </w:r>
    </w:p>
    <w:p w:rsidR="004A4F80" w:rsidRPr="00743550" w:rsidRDefault="004A4F80" w:rsidP="00743550">
      <w:pPr>
        <w:pStyle w:val="Heading4"/>
      </w:pPr>
      <w:r w:rsidRPr="00743550">
        <w:t>Taxi Licences</w:t>
      </w:r>
      <w:r w:rsidR="000439F9" w:rsidRPr="00743550">
        <w:t xml:space="preserve"> </w:t>
      </w:r>
    </w:p>
    <w:p w:rsidR="004A4F80" w:rsidRPr="00810C89" w:rsidRDefault="004A4F80">
      <w:pPr>
        <w:pStyle w:val="BodyText"/>
        <w:rPr>
          <w:highlight w:val="yellow"/>
        </w:rPr>
      </w:pPr>
      <w:r w:rsidRPr="003B5375">
        <w:t>The reven</w:t>
      </w:r>
      <w:r w:rsidR="005275DC">
        <w:t xml:space="preserve">ue </w:t>
      </w:r>
      <w:r w:rsidR="005275DC" w:rsidRPr="00D426AC">
        <w:t xml:space="preserve">from taxi licences in </w:t>
      </w:r>
      <w:r w:rsidR="00FF1319" w:rsidRPr="00D426AC">
        <w:t>2012-13</w:t>
      </w:r>
      <w:r w:rsidRPr="00D426AC">
        <w:t xml:space="preserve"> is estimated at $</w:t>
      </w:r>
      <w:r w:rsidR="003B5375" w:rsidRPr="00D426AC">
        <w:t>2</w:t>
      </w:r>
      <w:r w:rsidRPr="00D426AC">
        <w:t>.</w:t>
      </w:r>
      <w:r w:rsidR="00D426AC" w:rsidRPr="00D426AC">
        <w:t>3</w:t>
      </w:r>
      <w:r w:rsidRPr="00D426AC">
        <w:t> mill</w:t>
      </w:r>
      <w:r w:rsidR="003B5375" w:rsidRPr="00D426AC">
        <w:t xml:space="preserve">ion and the forecast for </w:t>
      </w:r>
      <w:r w:rsidR="00FF1319" w:rsidRPr="00D426AC">
        <w:t>2013-14</w:t>
      </w:r>
      <w:r w:rsidRPr="00D426AC">
        <w:t xml:space="preserve"> is $2.</w:t>
      </w:r>
      <w:r w:rsidR="00D426AC" w:rsidRPr="00D426AC">
        <w:t>4</w:t>
      </w:r>
      <w:r w:rsidRPr="00D426AC">
        <w:t> million</w:t>
      </w:r>
      <w:r w:rsidR="005275DC" w:rsidRPr="00D426AC">
        <w:t>.</w:t>
      </w:r>
    </w:p>
    <w:p w:rsidR="004A4F80" w:rsidRPr="0002256D" w:rsidRDefault="004A4F80">
      <w:pPr>
        <w:pStyle w:val="Heading4"/>
      </w:pPr>
      <w:r w:rsidRPr="003523F5">
        <w:t>Fees for Regulatory Services</w:t>
      </w:r>
      <w:r w:rsidR="000439F9">
        <w:t xml:space="preserve"> </w:t>
      </w:r>
    </w:p>
    <w:p w:rsidR="003523F5" w:rsidRDefault="003B5375" w:rsidP="00E077E6">
      <w:pPr>
        <w:pStyle w:val="BodyText"/>
      </w:pPr>
      <w:r w:rsidRPr="003B5375">
        <w:t xml:space="preserve">The </w:t>
      </w:r>
      <w:r w:rsidR="00FF1319">
        <w:t>2012-13</w:t>
      </w:r>
      <w:r w:rsidR="004A4F80" w:rsidRPr="003B5375">
        <w:t xml:space="preserve"> estimated </w:t>
      </w:r>
      <w:r w:rsidR="004A4F80" w:rsidRPr="00D426AC">
        <w:t>outcome for fee</w:t>
      </w:r>
      <w:r w:rsidRPr="00D426AC">
        <w:t>s for regulatory services is $6</w:t>
      </w:r>
      <w:r w:rsidR="00D426AC" w:rsidRPr="00D426AC">
        <w:t>9</w:t>
      </w:r>
      <w:r w:rsidRPr="00D426AC">
        <w:t>.</w:t>
      </w:r>
      <w:r w:rsidR="002676E8">
        <w:t>4</w:t>
      </w:r>
      <w:r w:rsidR="004A4F80" w:rsidRPr="00D426AC">
        <w:t xml:space="preserve"> million and is expected to </w:t>
      </w:r>
      <w:r w:rsidR="00D426AC" w:rsidRPr="00D426AC">
        <w:t>in</w:t>
      </w:r>
      <w:r w:rsidR="00963575" w:rsidRPr="00D426AC">
        <w:t>crease</w:t>
      </w:r>
      <w:r w:rsidRPr="00D426AC">
        <w:t xml:space="preserve"> to $</w:t>
      </w:r>
      <w:r w:rsidR="002676E8">
        <w:t>71</w:t>
      </w:r>
      <w:r w:rsidRPr="00D426AC">
        <w:t xml:space="preserve"> million in </w:t>
      </w:r>
      <w:r w:rsidR="00FF1319" w:rsidRPr="00D426AC">
        <w:t>2013</w:t>
      </w:r>
      <w:r w:rsidR="00FF1319">
        <w:t>-14</w:t>
      </w:r>
      <w:r w:rsidR="00963575">
        <w:t xml:space="preserve">.  </w:t>
      </w:r>
    </w:p>
    <w:p w:rsidR="004A4F80" w:rsidRPr="00E44B08" w:rsidRDefault="004A4F80" w:rsidP="00E44B08">
      <w:pPr>
        <w:pStyle w:val="Heading4"/>
      </w:pPr>
      <w:r w:rsidRPr="00E44B08">
        <w:t>Water Abstraction Charge</w:t>
      </w:r>
      <w:r w:rsidR="00E44B08">
        <w:t xml:space="preserve"> </w:t>
      </w:r>
    </w:p>
    <w:p w:rsidR="004A4F80" w:rsidRPr="00C17154" w:rsidRDefault="004A4F80" w:rsidP="00E077E6">
      <w:pPr>
        <w:pStyle w:val="BodyText"/>
      </w:pPr>
      <w:r w:rsidRPr="00C17154">
        <w:t xml:space="preserve">The </w:t>
      </w:r>
      <w:r w:rsidR="00C17154" w:rsidRPr="00C17154">
        <w:t xml:space="preserve">water abstraction charge in 2012-13 is estimated to be $26.3 million </w:t>
      </w:r>
      <w:r w:rsidR="00D426AC" w:rsidRPr="00D426AC">
        <w:t>and is expected to increase to $</w:t>
      </w:r>
      <w:r w:rsidR="00D426AC">
        <w:t>26.8</w:t>
      </w:r>
      <w:r w:rsidR="00D426AC" w:rsidRPr="00D426AC">
        <w:t> million in 2013</w:t>
      </w:r>
      <w:r w:rsidR="00D426AC">
        <w:t>-14.</w:t>
      </w:r>
      <w:r w:rsidRPr="00C17154">
        <w:t xml:space="preserve">  </w:t>
      </w:r>
    </w:p>
    <w:p w:rsidR="004A4F80" w:rsidRPr="00743550" w:rsidRDefault="004A4F80" w:rsidP="00743550">
      <w:pPr>
        <w:pStyle w:val="Heading4"/>
      </w:pPr>
      <w:r w:rsidRPr="00743550">
        <w:t>Parking Fees</w:t>
      </w:r>
      <w:r w:rsidR="00C17154">
        <w:t xml:space="preserve"> </w:t>
      </w:r>
    </w:p>
    <w:p w:rsidR="004A4F80" w:rsidRPr="001011BA" w:rsidRDefault="004A4F80">
      <w:pPr>
        <w:pStyle w:val="BodyText"/>
      </w:pPr>
      <w:r w:rsidRPr="001011BA">
        <w:t xml:space="preserve">The </w:t>
      </w:r>
      <w:r w:rsidRPr="00D426AC">
        <w:t>estimated reve</w:t>
      </w:r>
      <w:r w:rsidR="00E44B08" w:rsidRPr="00D426AC">
        <w:t xml:space="preserve">nue from parking fees in </w:t>
      </w:r>
      <w:r w:rsidR="00FF1319" w:rsidRPr="00D426AC">
        <w:t>2012-13</w:t>
      </w:r>
      <w:r w:rsidR="00E44B08" w:rsidRPr="00D426AC">
        <w:t xml:space="preserve"> is $</w:t>
      </w:r>
      <w:r w:rsidR="00AA781F">
        <w:t>16.</w:t>
      </w:r>
      <w:r w:rsidR="002676E8">
        <w:t>2</w:t>
      </w:r>
      <w:r w:rsidRPr="00D426AC">
        <w:t> mill</w:t>
      </w:r>
      <w:r w:rsidR="00E44B08" w:rsidRPr="00D426AC">
        <w:t xml:space="preserve">ion and the forecast for </w:t>
      </w:r>
      <w:r w:rsidR="00FF1319" w:rsidRPr="00D426AC">
        <w:t>2013-14</w:t>
      </w:r>
      <w:r w:rsidRPr="00D426AC">
        <w:t xml:space="preserve"> is $</w:t>
      </w:r>
      <w:r w:rsidR="00AA781F">
        <w:t>19.</w:t>
      </w:r>
      <w:r w:rsidR="002676E8">
        <w:t>4</w:t>
      </w:r>
      <w:r w:rsidR="00873424" w:rsidRPr="00D426AC">
        <w:t> million</w:t>
      </w:r>
      <w:r w:rsidR="00873424" w:rsidRPr="00D01ACC">
        <w:t xml:space="preserve">. </w:t>
      </w:r>
      <w:r w:rsidR="00873424" w:rsidRPr="00D01ACC">
        <w:rPr>
          <w:i/>
        </w:rPr>
        <w:t xml:space="preserve"> </w:t>
      </w:r>
      <w:r w:rsidR="001D2D3A" w:rsidRPr="00D01ACC">
        <w:t>This mainly reflects increases of car parking fees announced in the 2010-11 Budget as part of the Government’s integrated approach to achieving a more sustainable transport system for Canberra and the region.</w:t>
      </w:r>
      <w:r w:rsidR="001D2D3A" w:rsidRPr="001D2D3A">
        <w:rPr>
          <w:i/>
          <w:color w:val="000000"/>
        </w:rPr>
        <w:t xml:space="preserve">  </w:t>
      </w:r>
    </w:p>
    <w:p w:rsidR="004A4F80" w:rsidRPr="00391C06" w:rsidRDefault="00391C06">
      <w:pPr>
        <w:pStyle w:val="Heading4"/>
      </w:pPr>
      <w:r w:rsidRPr="00391C06">
        <w:t>P</w:t>
      </w:r>
      <w:r w:rsidR="004A4F80" w:rsidRPr="00391C06">
        <w:t>atient Fees</w:t>
      </w:r>
    </w:p>
    <w:p w:rsidR="004A4F80" w:rsidRPr="00391C06" w:rsidRDefault="00391C06" w:rsidP="00E077E6">
      <w:pPr>
        <w:pStyle w:val="BodyText"/>
        <w:rPr>
          <w:lang w:eastAsia="en-AU"/>
        </w:rPr>
      </w:pPr>
      <w:r w:rsidRPr="00391C06">
        <w:rPr>
          <w:lang w:eastAsia="en-AU"/>
        </w:rPr>
        <w:t xml:space="preserve">Patient fees and </w:t>
      </w:r>
      <w:r w:rsidR="006F6767" w:rsidRPr="00391C06">
        <w:rPr>
          <w:lang w:eastAsia="en-AU"/>
        </w:rPr>
        <w:t>non-patient</w:t>
      </w:r>
      <w:r w:rsidR="004A4F80" w:rsidRPr="00391C06">
        <w:rPr>
          <w:lang w:eastAsia="en-AU"/>
        </w:rPr>
        <w:t xml:space="preserve"> fees are payments for the provision of hospital and related services, which are collect</w:t>
      </w:r>
      <w:r w:rsidRPr="00391C06">
        <w:rPr>
          <w:lang w:eastAsia="en-AU"/>
        </w:rPr>
        <w:t xml:space="preserve">ed </w:t>
      </w:r>
      <w:r w:rsidRPr="00E077E6">
        <w:t>at</w:t>
      </w:r>
      <w:r w:rsidRPr="00391C06">
        <w:rPr>
          <w:lang w:eastAsia="en-AU"/>
        </w:rPr>
        <w:t xml:space="preserve"> the Canberra Hospital.  P</w:t>
      </w:r>
      <w:r w:rsidR="004A4F80" w:rsidRPr="00391C06">
        <w:rPr>
          <w:lang w:eastAsia="en-AU"/>
        </w:rPr>
        <w:t>atient fees relate to</w:t>
      </w:r>
      <w:r w:rsidRPr="00391C06">
        <w:rPr>
          <w:lang w:eastAsia="en-AU"/>
        </w:rPr>
        <w:t xml:space="preserve"> admitted patients, while </w:t>
      </w:r>
      <w:r w:rsidR="006F6767" w:rsidRPr="00391C06">
        <w:rPr>
          <w:lang w:eastAsia="en-AU"/>
        </w:rPr>
        <w:t>non-patient</w:t>
      </w:r>
      <w:r w:rsidR="004A4F80" w:rsidRPr="00391C06">
        <w:rPr>
          <w:lang w:eastAsia="en-AU"/>
        </w:rPr>
        <w:t xml:space="preserve"> fees are </w:t>
      </w:r>
      <w:r w:rsidR="00723984">
        <w:rPr>
          <w:lang w:eastAsia="en-AU"/>
        </w:rPr>
        <w:t xml:space="preserve">primarily </w:t>
      </w:r>
      <w:r w:rsidR="004A4F80" w:rsidRPr="00391C06">
        <w:rPr>
          <w:lang w:eastAsia="en-AU"/>
        </w:rPr>
        <w:t>for accident and emergency services</w:t>
      </w:r>
      <w:r w:rsidR="0002256D">
        <w:rPr>
          <w:lang w:eastAsia="en-AU"/>
        </w:rPr>
        <w:t xml:space="preserve">, </w:t>
      </w:r>
      <w:r w:rsidR="00063E26">
        <w:rPr>
          <w:lang w:eastAsia="en-AU"/>
        </w:rPr>
        <w:t>specifically the ambulance service</w:t>
      </w:r>
      <w:r w:rsidR="004A4F80" w:rsidRPr="00391C06">
        <w:rPr>
          <w:lang w:eastAsia="en-AU"/>
        </w:rPr>
        <w:t>.</w:t>
      </w:r>
    </w:p>
    <w:p w:rsidR="004A4F80" w:rsidRPr="006F6767" w:rsidRDefault="006F6767">
      <w:pPr>
        <w:pStyle w:val="BodyText"/>
        <w:keepNext w:val="0"/>
        <w:keepLines w:val="0"/>
        <w:rPr>
          <w:b/>
          <w:lang w:eastAsia="en-AU"/>
        </w:rPr>
      </w:pPr>
      <w:r w:rsidRPr="006F6767">
        <w:rPr>
          <w:lang w:eastAsia="en-AU"/>
        </w:rPr>
        <w:t xml:space="preserve">The </w:t>
      </w:r>
      <w:r w:rsidR="00153467">
        <w:rPr>
          <w:lang w:eastAsia="en-AU"/>
        </w:rPr>
        <w:t>2012-13</w:t>
      </w:r>
      <w:r w:rsidR="005C48DE" w:rsidRPr="006F6767">
        <w:rPr>
          <w:lang w:eastAsia="en-AU"/>
        </w:rPr>
        <w:t xml:space="preserve"> estimated outcome for </w:t>
      </w:r>
      <w:r w:rsidR="004A4F80" w:rsidRPr="006F6767">
        <w:rPr>
          <w:lang w:eastAsia="en-AU"/>
        </w:rPr>
        <w:t>pat</w:t>
      </w:r>
      <w:r w:rsidRPr="006F6767">
        <w:rPr>
          <w:lang w:eastAsia="en-AU"/>
        </w:rPr>
        <w:t xml:space="preserve">ient </w:t>
      </w:r>
      <w:r w:rsidRPr="00C17154">
        <w:rPr>
          <w:lang w:eastAsia="en-AU"/>
        </w:rPr>
        <w:t>fees is $3</w:t>
      </w:r>
      <w:r w:rsidR="00C17154" w:rsidRPr="00C17154">
        <w:rPr>
          <w:lang w:eastAsia="en-AU"/>
        </w:rPr>
        <w:t>2</w:t>
      </w:r>
      <w:r w:rsidRPr="00C17154">
        <w:rPr>
          <w:lang w:eastAsia="en-AU"/>
        </w:rPr>
        <w:t>.</w:t>
      </w:r>
      <w:r w:rsidR="00D01ACC">
        <w:rPr>
          <w:lang w:eastAsia="en-AU"/>
        </w:rPr>
        <w:t>6</w:t>
      </w:r>
      <w:r w:rsidRPr="00C17154">
        <w:rPr>
          <w:lang w:eastAsia="en-AU"/>
        </w:rPr>
        <w:t xml:space="preserve"> million, and $4.</w:t>
      </w:r>
      <w:r w:rsidR="002676E8">
        <w:rPr>
          <w:lang w:eastAsia="en-AU"/>
        </w:rPr>
        <w:t>9</w:t>
      </w:r>
      <w:r w:rsidR="004A4F80" w:rsidRPr="00C17154">
        <w:rPr>
          <w:lang w:eastAsia="en-AU"/>
        </w:rPr>
        <w:t> million</w:t>
      </w:r>
      <w:r w:rsidR="004A4F80" w:rsidRPr="006F6767">
        <w:rPr>
          <w:lang w:eastAsia="en-AU"/>
        </w:rPr>
        <w:t xml:space="preserve"> for </w:t>
      </w:r>
      <w:r w:rsidR="0002256D" w:rsidRPr="006F6767">
        <w:rPr>
          <w:lang w:eastAsia="en-AU"/>
        </w:rPr>
        <w:t>non</w:t>
      </w:r>
      <w:r w:rsidR="0002256D">
        <w:noBreakHyphen/>
      </w:r>
      <w:r w:rsidR="0002256D" w:rsidRPr="006F6767">
        <w:rPr>
          <w:lang w:eastAsia="en-AU"/>
        </w:rPr>
        <w:t>patient</w:t>
      </w:r>
      <w:r w:rsidRPr="006F6767">
        <w:rPr>
          <w:lang w:eastAsia="en-AU"/>
        </w:rPr>
        <w:t xml:space="preserve"> fee</w:t>
      </w:r>
      <w:r w:rsidRPr="00C17154">
        <w:rPr>
          <w:lang w:eastAsia="en-AU"/>
        </w:rPr>
        <w:t xml:space="preserve">s.  The </w:t>
      </w:r>
      <w:r w:rsidR="00153467" w:rsidRPr="00C17154">
        <w:rPr>
          <w:lang w:eastAsia="en-AU"/>
        </w:rPr>
        <w:t>2013-14</w:t>
      </w:r>
      <w:r w:rsidR="00D07090" w:rsidRPr="00C17154">
        <w:rPr>
          <w:lang w:eastAsia="en-AU"/>
        </w:rPr>
        <w:t xml:space="preserve"> </w:t>
      </w:r>
      <w:r w:rsidR="004A4F80" w:rsidRPr="00C17154">
        <w:rPr>
          <w:lang w:eastAsia="en-AU"/>
        </w:rPr>
        <w:t>Budget es</w:t>
      </w:r>
      <w:r w:rsidR="00963575" w:rsidRPr="00C17154">
        <w:rPr>
          <w:lang w:eastAsia="en-AU"/>
        </w:rPr>
        <w:t>timates are $3</w:t>
      </w:r>
      <w:r w:rsidR="00C17154" w:rsidRPr="00C17154">
        <w:rPr>
          <w:lang w:eastAsia="en-AU"/>
        </w:rPr>
        <w:t>2</w:t>
      </w:r>
      <w:r w:rsidR="00963575" w:rsidRPr="00C17154">
        <w:rPr>
          <w:lang w:eastAsia="en-AU"/>
        </w:rPr>
        <w:t>.</w:t>
      </w:r>
      <w:r w:rsidR="002676E8">
        <w:rPr>
          <w:lang w:eastAsia="en-AU"/>
        </w:rPr>
        <w:t>9</w:t>
      </w:r>
      <w:r w:rsidRPr="00C17154">
        <w:rPr>
          <w:lang w:eastAsia="en-AU"/>
        </w:rPr>
        <w:t> million and $</w:t>
      </w:r>
      <w:r w:rsidR="00C17154" w:rsidRPr="00C17154">
        <w:rPr>
          <w:lang w:eastAsia="en-AU"/>
        </w:rPr>
        <w:t>5</w:t>
      </w:r>
      <w:r w:rsidRPr="00C17154">
        <w:rPr>
          <w:lang w:eastAsia="en-AU"/>
        </w:rPr>
        <w:t>.</w:t>
      </w:r>
      <w:r w:rsidR="002676E8">
        <w:rPr>
          <w:lang w:eastAsia="en-AU"/>
        </w:rPr>
        <w:t>1</w:t>
      </w:r>
      <w:r w:rsidR="004A4F80" w:rsidRPr="00C17154">
        <w:t> </w:t>
      </w:r>
      <w:r w:rsidR="005C48DE" w:rsidRPr="00C17154">
        <w:rPr>
          <w:lang w:eastAsia="en-AU"/>
        </w:rPr>
        <w:t xml:space="preserve">million </w:t>
      </w:r>
      <w:r w:rsidR="00AA781F">
        <w:rPr>
          <w:lang w:eastAsia="en-AU"/>
        </w:rPr>
        <w:t>respectively</w:t>
      </w:r>
      <w:r w:rsidR="004A4F80" w:rsidRPr="006F6767">
        <w:rPr>
          <w:lang w:eastAsia="en-AU"/>
        </w:rPr>
        <w:t>.</w:t>
      </w:r>
    </w:p>
    <w:p w:rsidR="004442AA" w:rsidRPr="00B80205" w:rsidRDefault="004A4F80" w:rsidP="000079AE">
      <w:pPr>
        <w:pStyle w:val="Heading4"/>
      </w:pPr>
      <w:r w:rsidRPr="00B80205">
        <w:lastRenderedPageBreak/>
        <w:t xml:space="preserve">Cross Border Health Receipts </w:t>
      </w:r>
    </w:p>
    <w:p w:rsidR="00B80205" w:rsidRPr="00B80205" w:rsidRDefault="004442AA" w:rsidP="00B80205">
      <w:pPr>
        <w:pStyle w:val="BodyText"/>
      </w:pPr>
      <w:r w:rsidRPr="00B80205">
        <w:t>Cross Border Health Receipts are payments from other State and Territory Governments (predominantly NSW) for the provision of medical services provided to non</w:t>
      </w:r>
      <w:r w:rsidRPr="00B80205">
        <w:noBreakHyphen/>
        <w:t xml:space="preserve">ACT residents at ACT public hospitals.  The estimated revenue for </w:t>
      </w:r>
      <w:r w:rsidR="00153467" w:rsidRPr="00B80205">
        <w:t>2012-13</w:t>
      </w:r>
      <w:r w:rsidRPr="00B80205">
        <w:t xml:space="preserve"> is $</w:t>
      </w:r>
      <w:r w:rsidR="008F403C" w:rsidRPr="00B80205">
        <w:t>66</w:t>
      </w:r>
      <w:r w:rsidRPr="00B80205">
        <w:t>.3 million</w:t>
      </w:r>
      <w:r w:rsidR="008F403C" w:rsidRPr="00B80205">
        <w:t>, a $53.</w:t>
      </w:r>
      <w:r w:rsidR="00F93FFB">
        <w:t>7</w:t>
      </w:r>
      <w:r w:rsidR="008F403C" w:rsidRPr="00B80205">
        <w:t> million decrease from the 2012</w:t>
      </w:r>
      <w:r w:rsidR="008F403C" w:rsidRPr="00B80205">
        <w:noBreakHyphen/>
        <w:t>13 Budget of $120</w:t>
      </w:r>
      <w:r w:rsidR="002B0253" w:rsidRPr="00B80205">
        <w:t> million</w:t>
      </w:r>
      <w:r w:rsidRPr="00B80205">
        <w:t xml:space="preserve">.  </w:t>
      </w:r>
      <w:r w:rsidR="00963575" w:rsidRPr="00B80205">
        <w:t xml:space="preserve">The forecast for </w:t>
      </w:r>
      <w:r w:rsidR="00AA781F">
        <w:t>2013</w:t>
      </w:r>
      <w:r w:rsidR="00AA781F">
        <w:noBreakHyphen/>
      </w:r>
      <w:r w:rsidR="00153467" w:rsidRPr="00B80205">
        <w:t>14</w:t>
      </w:r>
      <w:r w:rsidR="00963575" w:rsidRPr="00B80205">
        <w:t xml:space="preserve"> is $</w:t>
      </w:r>
      <w:r w:rsidR="008F403C" w:rsidRPr="00B80205">
        <w:t>76.</w:t>
      </w:r>
      <w:r w:rsidR="00F93FFB">
        <w:t>8</w:t>
      </w:r>
      <w:r w:rsidRPr="00B80205">
        <w:t> million</w:t>
      </w:r>
      <w:r w:rsidR="00963575" w:rsidRPr="00B80205">
        <w:t xml:space="preserve">.  </w:t>
      </w:r>
      <w:r w:rsidR="00B80205" w:rsidRPr="00B80205">
        <w:t xml:space="preserve">The decrease is due to a change in the flow of funding from NSW for cross border health costs.  The Commonwealth proportion of cross border activity is now paid through the </w:t>
      </w:r>
      <w:r w:rsidR="00B80205" w:rsidRPr="00B80205">
        <w:rPr>
          <w:i/>
          <w:iCs/>
        </w:rPr>
        <w:t>National Healthcare Agreement SPP</w:t>
      </w:r>
      <w:r w:rsidR="00B80205" w:rsidRPr="00B80205">
        <w:t>.  The increase of $10.</w:t>
      </w:r>
      <w:r w:rsidR="00F93FFB">
        <w:t>5</w:t>
      </w:r>
      <w:r w:rsidR="00B80205" w:rsidRPr="00B80205">
        <w:t> million in the 2013</w:t>
      </w:r>
      <w:r w:rsidR="00B80205" w:rsidRPr="00B80205">
        <w:noBreakHyphen/>
        <w:t>14 Budget from the 2012</w:t>
      </w:r>
      <w:r w:rsidR="00B80205" w:rsidRPr="00B80205">
        <w:noBreakHyphen/>
        <w:t>13 estimated outcome relates to growth in activity for treatment of interstate patients.</w:t>
      </w:r>
    </w:p>
    <w:p w:rsidR="004A4F80" w:rsidRPr="001D2D3A" w:rsidRDefault="004A4F80">
      <w:pPr>
        <w:pStyle w:val="Heading4"/>
      </w:pPr>
      <w:r w:rsidRPr="001D2D3A">
        <w:t xml:space="preserve">Sales </w:t>
      </w:r>
    </w:p>
    <w:p w:rsidR="00F93FFB" w:rsidRDefault="004A4F80" w:rsidP="0002256D">
      <w:pPr>
        <w:pStyle w:val="BodyText"/>
        <w:keepNext w:val="0"/>
        <w:keepLines w:val="0"/>
        <w:rPr>
          <w:lang w:eastAsia="en-AU"/>
        </w:rPr>
      </w:pPr>
      <w:r w:rsidRPr="001D2D3A">
        <w:rPr>
          <w:lang w:eastAsia="en-AU"/>
        </w:rPr>
        <w:t xml:space="preserve">Revenues from sales include those generated from entry fees to sporting and cultural facilities, such as the Canberra Theatre </w:t>
      </w:r>
      <w:r w:rsidR="00BF5251">
        <w:rPr>
          <w:lang w:eastAsia="en-AU"/>
        </w:rPr>
        <w:t xml:space="preserve">Centre </w:t>
      </w:r>
      <w:r w:rsidRPr="001D2D3A">
        <w:rPr>
          <w:lang w:eastAsia="en-AU"/>
        </w:rPr>
        <w:t xml:space="preserve">and hire of those venues.  Sales of merchandise, programs and giftware in these venues or the rights to sell these, are also included.  </w:t>
      </w:r>
    </w:p>
    <w:p w:rsidR="004A4F80" w:rsidRPr="00F411BF" w:rsidRDefault="00F411BF" w:rsidP="0002256D">
      <w:pPr>
        <w:pStyle w:val="BodyText"/>
        <w:keepNext w:val="0"/>
        <w:keepLines w:val="0"/>
        <w:rPr>
          <w:lang w:eastAsia="en-AU"/>
        </w:rPr>
      </w:pPr>
      <w:r w:rsidRPr="001D2D3A">
        <w:rPr>
          <w:lang w:eastAsia="en-AU"/>
        </w:rPr>
        <w:t xml:space="preserve">The estimated outcome for </w:t>
      </w:r>
      <w:r w:rsidR="00E16E78" w:rsidRPr="001D2D3A">
        <w:rPr>
          <w:lang w:eastAsia="en-AU"/>
        </w:rPr>
        <w:t>2012-13</w:t>
      </w:r>
      <w:r w:rsidRPr="001D2D3A">
        <w:rPr>
          <w:lang w:eastAsia="en-AU"/>
        </w:rPr>
        <w:t xml:space="preserve"> is $</w:t>
      </w:r>
      <w:r w:rsidR="00C860B1" w:rsidRPr="001D2D3A">
        <w:rPr>
          <w:lang w:eastAsia="en-AU"/>
        </w:rPr>
        <w:t>26.</w:t>
      </w:r>
      <w:r w:rsidR="00F93FFB">
        <w:rPr>
          <w:lang w:eastAsia="en-AU"/>
        </w:rPr>
        <w:t>2</w:t>
      </w:r>
      <w:r w:rsidRPr="001D2D3A">
        <w:rPr>
          <w:lang w:eastAsia="en-AU"/>
        </w:rPr>
        <w:t> million</w:t>
      </w:r>
      <w:r w:rsidR="00C860B1" w:rsidRPr="001D2D3A">
        <w:rPr>
          <w:lang w:eastAsia="en-AU"/>
        </w:rPr>
        <w:t xml:space="preserve"> which is</w:t>
      </w:r>
      <w:r w:rsidR="00D91F2C" w:rsidRPr="001D2D3A">
        <w:rPr>
          <w:lang w:eastAsia="en-AU"/>
        </w:rPr>
        <w:t xml:space="preserve"> an increase of $8.</w:t>
      </w:r>
      <w:r w:rsidR="00F93FFB">
        <w:rPr>
          <w:lang w:eastAsia="en-AU"/>
        </w:rPr>
        <w:t>3</w:t>
      </w:r>
      <w:r w:rsidR="00D91F2C" w:rsidRPr="001D2D3A">
        <w:rPr>
          <w:lang w:eastAsia="en-AU"/>
        </w:rPr>
        <w:t> million fro</w:t>
      </w:r>
      <w:r w:rsidR="00C860B1" w:rsidRPr="001D2D3A">
        <w:rPr>
          <w:lang w:eastAsia="en-AU"/>
        </w:rPr>
        <w:t>m the 201</w:t>
      </w:r>
      <w:r w:rsidR="00F93FFB">
        <w:rPr>
          <w:lang w:eastAsia="en-AU"/>
        </w:rPr>
        <w:t>2</w:t>
      </w:r>
      <w:r w:rsidR="00C860B1" w:rsidRPr="001D2D3A">
        <w:rPr>
          <w:lang w:eastAsia="en-AU"/>
        </w:rPr>
        <w:t>-1</w:t>
      </w:r>
      <w:r w:rsidR="00F93FFB">
        <w:rPr>
          <w:lang w:eastAsia="en-AU"/>
        </w:rPr>
        <w:t>3</w:t>
      </w:r>
      <w:r w:rsidR="00C860B1" w:rsidRPr="001D2D3A">
        <w:rPr>
          <w:lang w:eastAsia="en-AU"/>
        </w:rPr>
        <w:t xml:space="preserve"> Budget.  </w:t>
      </w:r>
      <w:r w:rsidR="00C860B1" w:rsidRPr="000B4989">
        <w:rPr>
          <w:lang w:eastAsia="en-AU"/>
        </w:rPr>
        <w:t xml:space="preserve">This is </w:t>
      </w:r>
      <w:r w:rsidR="00F93FFB">
        <w:rPr>
          <w:lang w:eastAsia="en-AU"/>
        </w:rPr>
        <w:t>associated with</w:t>
      </w:r>
      <w:r w:rsidR="000B4989" w:rsidRPr="000B4989">
        <w:rPr>
          <w:lang w:eastAsia="en-AU"/>
        </w:rPr>
        <w:t xml:space="preserve"> </w:t>
      </w:r>
      <w:r w:rsidR="000B4989">
        <w:rPr>
          <w:lang w:eastAsia="en-AU"/>
        </w:rPr>
        <w:t xml:space="preserve">additional large events at Canberra Stadium, </w:t>
      </w:r>
      <w:r w:rsidR="00AA781F">
        <w:rPr>
          <w:lang w:eastAsia="en-AU"/>
        </w:rPr>
        <w:t>as well as</w:t>
      </w:r>
      <w:r w:rsidR="000B4989">
        <w:rPr>
          <w:lang w:eastAsia="en-AU"/>
        </w:rPr>
        <w:t xml:space="preserve"> the Centenary Cricket Matches at Manuka Oval.</w:t>
      </w:r>
      <w:r w:rsidR="00C860B1" w:rsidRPr="001D2D3A">
        <w:rPr>
          <w:lang w:eastAsia="en-AU"/>
        </w:rPr>
        <w:t xml:space="preserve"> </w:t>
      </w:r>
      <w:r w:rsidRPr="001D2D3A">
        <w:rPr>
          <w:lang w:eastAsia="en-AU"/>
        </w:rPr>
        <w:t xml:space="preserve"> </w:t>
      </w:r>
      <w:r w:rsidR="00C860B1" w:rsidRPr="001D2D3A">
        <w:rPr>
          <w:lang w:eastAsia="en-AU"/>
        </w:rPr>
        <w:t>T</w:t>
      </w:r>
      <w:r w:rsidRPr="001D2D3A">
        <w:rPr>
          <w:lang w:eastAsia="en-AU"/>
        </w:rPr>
        <w:t xml:space="preserve">he </w:t>
      </w:r>
      <w:r w:rsidR="00E16E78" w:rsidRPr="001D2D3A">
        <w:rPr>
          <w:lang w:eastAsia="en-AU"/>
        </w:rPr>
        <w:t>2013-14</w:t>
      </w:r>
      <w:r w:rsidRPr="001D2D3A">
        <w:rPr>
          <w:lang w:eastAsia="en-AU"/>
        </w:rPr>
        <w:t> Budget is</w:t>
      </w:r>
      <w:r w:rsidR="00C860B1" w:rsidRPr="001D2D3A">
        <w:rPr>
          <w:lang w:eastAsia="en-AU"/>
        </w:rPr>
        <w:t xml:space="preserve"> </w:t>
      </w:r>
      <w:r w:rsidR="00F93FFB">
        <w:rPr>
          <w:lang w:eastAsia="en-AU"/>
        </w:rPr>
        <w:t>estimated</w:t>
      </w:r>
      <w:r w:rsidR="00C860B1" w:rsidRPr="001D2D3A">
        <w:rPr>
          <w:lang w:eastAsia="en-AU"/>
        </w:rPr>
        <w:t xml:space="preserve"> to remain</w:t>
      </w:r>
      <w:r w:rsidR="007E6002">
        <w:rPr>
          <w:lang w:eastAsia="en-AU"/>
        </w:rPr>
        <w:t xml:space="preserve"> relatively</w:t>
      </w:r>
      <w:r w:rsidR="00C860B1" w:rsidRPr="001D2D3A">
        <w:rPr>
          <w:lang w:eastAsia="en-AU"/>
        </w:rPr>
        <w:t xml:space="preserve"> stable at</w:t>
      </w:r>
      <w:r w:rsidRPr="001D2D3A">
        <w:rPr>
          <w:lang w:eastAsia="en-AU"/>
        </w:rPr>
        <w:t xml:space="preserve"> $</w:t>
      </w:r>
      <w:r w:rsidR="00C860B1" w:rsidRPr="001D2D3A">
        <w:rPr>
          <w:lang w:eastAsia="en-AU"/>
        </w:rPr>
        <w:t>27.</w:t>
      </w:r>
      <w:r w:rsidR="00F93FFB">
        <w:rPr>
          <w:lang w:eastAsia="en-AU"/>
        </w:rPr>
        <w:t>8</w:t>
      </w:r>
      <w:r w:rsidR="004A4F80" w:rsidRPr="001D2D3A">
        <w:rPr>
          <w:lang w:eastAsia="en-AU"/>
        </w:rPr>
        <w:t> million.</w:t>
      </w:r>
      <w:r w:rsidR="004A4F80" w:rsidRPr="00F411BF">
        <w:rPr>
          <w:lang w:eastAsia="en-AU"/>
        </w:rPr>
        <w:t xml:space="preserve">  </w:t>
      </w:r>
    </w:p>
    <w:p w:rsidR="004A4F80" w:rsidRPr="00391C06" w:rsidRDefault="004A4F80">
      <w:pPr>
        <w:pStyle w:val="Heading4"/>
      </w:pPr>
      <w:r w:rsidRPr="00391C06">
        <w:t>Service Receipts (non-ACT Government)</w:t>
      </w:r>
    </w:p>
    <w:p w:rsidR="00F93FFB" w:rsidRDefault="004A4F80" w:rsidP="00C860B1">
      <w:pPr>
        <w:pStyle w:val="BodyText"/>
      </w:pPr>
      <w:r w:rsidRPr="00DB002E">
        <w:t xml:space="preserve">This item includes payments from clients for the provision of services, such as facility fees to physicians at </w:t>
      </w:r>
      <w:r w:rsidR="00DB002E" w:rsidRPr="00DB002E">
        <w:t xml:space="preserve">hospitals, medical supplies, </w:t>
      </w:r>
      <w:r w:rsidRPr="00DB002E">
        <w:t>sterilising services</w:t>
      </w:r>
      <w:r w:rsidR="008B04CF">
        <w:t>, capital linen</w:t>
      </w:r>
      <w:r w:rsidR="00DB002E" w:rsidRPr="00DB002E">
        <w:t xml:space="preserve"> </w:t>
      </w:r>
      <w:r w:rsidR="008B04CF">
        <w:t>and commercial training</w:t>
      </w:r>
      <w:r w:rsidRPr="00DB002E">
        <w:t>.</w:t>
      </w:r>
      <w:r w:rsidR="00DB002E">
        <w:t xml:space="preserve">  </w:t>
      </w:r>
    </w:p>
    <w:p w:rsidR="00C860B1" w:rsidRPr="000439F9" w:rsidRDefault="00963575" w:rsidP="00C860B1">
      <w:pPr>
        <w:pStyle w:val="BodyText"/>
      </w:pPr>
      <w:r>
        <w:t>The</w:t>
      </w:r>
      <w:r w:rsidR="00C860B1">
        <w:t xml:space="preserve"> 2012-13 estimated outcome </w:t>
      </w:r>
      <w:r w:rsidR="007E6002">
        <w:t>has fallen to $104.4 million,</w:t>
      </w:r>
      <w:r w:rsidR="00C860B1">
        <w:t xml:space="preserve"> $16.</w:t>
      </w:r>
      <w:r w:rsidR="00F93FFB">
        <w:t>7</w:t>
      </w:r>
      <w:r w:rsidR="00C860B1">
        <w:t> million lower than the 2012-13 Budget</w:t>
      </w:r>
      <w:r w:rsidR="00C73F2C">
        <w:t xml:space="preserve"> estimate</w:t>
      </w:r>
      <w:r w:rsidR="00C860B1">
        <w:t xml:space="preserve"> of $121.</w:t>
      </w:r>
      <w:r w:rsidR="00F93FFB">
        <w:t>1</w:t>
      </w:r>
      <w:r w:rsidR="00C860B1">
        <w:t> million</w:t>
      </w:r>
      <w:r w:rsidR="009F2DA0">
        <w:t xml:space="preserve">.  </w:t>
      </w:r>
      <w:r w:rsidR="002F6CE5" w:rsidRPr="002F6CE5">
        <w:t xml:space="preserve">This is mainly due to reclassification of the Commonwealth contribution to the ACT Government’s emergency service funding.  </w:t>
      </w:r>
      <w:r w:rsidR="00C860B1" w:rsidRPr="002F6CE5">
        <w:t>The</w:t>
      </w:r>
      <w:r w:rsidR="00C860B1" w:rsidRPr="00C860B1">
        <w:t xml:space="preserve"> 2013-14 Bu</w:t>
      </w:r>
      <w:r w:rsidR="007E6002">
        <w:t>dget forecast is $105.9 million,</w:t>
      </w:r>
      <w:r w:rsidR="00C860B1" w:rsidRPr="00C860B1">
        <w:t xml:space="preserve"> </w:t>
      </w:r>
      <w:r w:rsidR="007E6002">
        <w:t>which will now be provided</w:t>
      </w:r>
      <w:r w:rsidR="00C73F2C">
        <w:t xml:space="preserve"> by appropriation</w:t>
      </w:r>
      <w:r w:rsidR="007E6002">
        <w:t xml:space="preserve"> to the Justice and Community Safety Directorate.</w:t>
      </w:r>
    </w:p>
    <w:p w:rsidR="004A4F80" w:rsidRPr="000439F9" w:rsidRDefault="004A4F80">
      <w:pPr>
        <w:pStyle w:val="Heading4"/>
      </w:pPr>
      <w:r w:rsidRPr="000439F9">
        <w:t>Miscellaneous</w:t>
      </w:r>
      <w:r w:rsidR="00836B9D">
        <w:t xml:space="preserve"> </w:t>
      </w:r>
    </w:p>
    <w:p w:rsidR="004A4F80" w:rsidRPr="000439F9" w:rsidRDefault="004A4F80">
      <w:pPr>
        <w:pStyle w:val="BodyText"/>
      </w:pPr>
      <w:r w:rsidRPr="000439F9">
        <w:t>Miscellane</w:t>
      </w:r>
      <w:r w:rsidR="00BB7E3F" w:rsidRPr="000439F9">
        <w:t>o</w:t>
      </w:r>
      <w:r w:rsidR="00954B44">
        <w:t xml:space="preserve">us </w:t>
      </w:r>
      <w:r w:rsidR="00954B44" w:rsidRPr="00C860B1">
        <w:t>revenue is estimated at $20</w:t>
      </w:r>
      <w:r w:rsidR="00AE4DAF">
        <w:t>.</w:t>
      </w:r>
      <w:r w:rsidR="000157F1">
        <w:t>1</w:t>
      </w:r>
      <w:r w:rsidRPr="00C860B1">
        <w:t xml:space="preserve"> million for </w:t>
      </w:r>
      <w:r w:rsidR="00F06428" w:rsidRPr="00C860B1">
        <w:t>2012-13</w:t>
      </w:r>
      <w:r w:rsidR="000439F9" w:rsidRPr="00C860B1">
        <w:t xml:space="preserve"> and the </w:t>
      </w:r>
      <w:r w:rsidR="00F06428" w:rsidRPr="00C860B1">
        <w:t>2013-14</w:t>
      </w:r>
      <w:r w:rsidR="000439F9" w:rsidRPr="00C860B1">
        <w:t xml:space="preserve"> Budget forecast is $20.</w:t>
      </w:r>
      <w:r w:rsidR="00AE4DAF">
        <w:t>6</w:t>
      </w:r>
      <w:r w:rsidRPr="00C860B1">
        <w:t> million.</w:t>
      </w:r>
      <w:r w:rsidRPr="000439F9">
        <w:t xml:space="preserve">  </w:t>
      </w:r>
    </w:p>
    <w:p w:rsidR="004A4F80" w:rsidRPr="005A6A60" w:rsidRDefault="004A4F80">
      <w:pPr>
        <w:pStyle w:val="Heading4"/>
      </w:pPr>
      <w:r w:rsidRPr="005A6A60">
        <w:t>User Charges – ACT Government</w:t>
      </w:r>
      <w:r w:rsidR="00836B9D" w:rsidRPr="005A6A60">
        <w:t xml:space="preserve"> </w:t>
      </w:r>
    </w:p>
    <w:p w:rsidR="004A4F80" w:rsidRPr="005A6A60" w:rsidRDefault="004A4F80">
      <w:pPr>
        <w:pStyle w:val="BodyText"/>
      </w:pPr>
      <w:r w:rsidRPr="005A6A60">
        <w:t xml:space="preserve">This item includes revenue for rent, property management, shared services and insurance that is collected from ACT agencies in the </w:t>
      </w:r>
      <w:r w:rsidR="00AA781F">
        <w:t>Public Trading Enterprise (</w:t>
      </w:r>
      <w:r w:rsidRPr="005A6A60">
        <w:t>PTE</w:t>
      </w:r>
      <w:r w:rsidR="00AA781F">
        <w:t>)</w:t>
      </w:r>
      <w:r w:rsidRPr="005A6A60">
        <w:t xml:space="preserve"> sector.  Th</w:t>
      </w:r>
      <w:r w:rsidR="000439F9" w:rsidRPr="005A6A60">
        <w:t xml:space="preserve">e </w:t>
      </w:r>
      <w:r w:rsidR="000157F1">
        <w:t>2012</w:t>
      </w:r>
      <w:r w:rsidR="000157F1">
        <w:noBreakHyphen/>
      </w:r>
      <w:r w:rsidR="00BF7E9B" w:rsidRPr="005A6A60">
        <w:t>13</w:t>
      </w:r>
      <w:r w:rsidR="005D5A51" w:rsidRPr="005A6A60">
        <w:t xml:space="preserve"> estimated outcome is </w:t>
      </w:r>
      <w:r w:rsidR="00C860B1" w:rsidRPr="005A6A60">
        <w:t xml:space="preserve">$1.7 million higher than the 2012-13 Budget at </w:t>
      </w:r>
      <w:r w:rsidR="005D5A51" w:rsidRPr="005A6A60">
        <w:t>$</w:t>
      </w:r>
      <w:r w:rsidR="00C860B1" w:rsidRPr="005A6A60">
        <w:t>22.1</w:t>
      </w:r>
      <w:r w:rsidR="000439F9" w:rsidRPr="005A6A60">
        <w:t> million</w:t>
      </w:r>
      <w:r w:rsidR="00C860B1" w:rsidRPr="005A6A60">
        <w:t>, decreasing to</w:t>
      </w:r>
      <w:r w:rsidR="005D5A51" w:rsidRPr="005A6A60">
        <w:t xml:space="preserve"> $20.</w:t>
      </w:r>
      <w:r w:rsidR="00C860B1" w:rsidRPr="005A6A60">
        <w:t>9</w:t>
      </w:r>
      <w:r w:rsidRPr="005A6A60">
        <w:t> million</w:t>
      </w:r>
      <w:r w:rsidR="00C860B1" w:rsidRPr="005A6A60">
        <w:t xml:space="preserve"> in the 2013-14 financial year</w:t>
      </w:r>
      <w:r w:rsidRPr="005A6A60">
        <w:t>.</w:t>
      </w:r>
      <w:r w:rsidR="00C860B1" w:rsidRPr="005A6A60">
        <w:t xml:space="preserve">  This is mainly due to</w:t>
      </w:r>
      <w:r w:rsidR="005A6A60" w:rsidRPr="005A6A60">
        <w:t xml:space="preserve"> the five year water pricing review </w:t>
      </w:r>
      <w:r w:rsidR="007E6002">
        <w:t>undertaken by the</w:t>
      </w:r>
      <w:r w:rsidR="005A6A60" w:rsidRPr="005A6A60">
        <w:t xml:space="preserve"> Independent Competition and Regulatory Commission.</w:t>
      </w:r>
      <w:r w:rsidR="00C860B1" w:rsidRPr="005A6A60">
        <w:t xml:space="preserve"> </w:t>
      </w:r>
    </w:p>
    <w:p w:rsidR="00E23490" w:rsidRPr="004A7E42" w:rsidRDefault="00097BE1" w:rsidP="004A7E42">
      <w:pPr>
        <w:pStyle w:val="Heading3TopofPage"/>
      </w:pPr>
      <w:r>
        <w:br w:type="page"/>
      </w:r>
      <w:r w:rsidR="004A4F80" w:rsidRPr="004A7E42">
        <w:lastRenderedPageBreak/>
        <w:t>Interest Income</w:t>
      </w:r>
      <w:r w:rsidR="002B0253" w:rsidRPr="004A7E42">
        <w:t xml:space="preserve"> </w:t>
      </w:r>
    </w:p>
    <w:p w:rsidR="004A4F80" w:rsidRPr="000C47D2" w:rsidRDefault="00244FB1">
      <w:pPr>
        <w:pStyle w:val="BodyText"/>
      </w:pPr>
      <w:r w:rsidRPr="000C47D2">
        <w:t xml:space="preserve">Table </w:t>
      </w:r>
      <w:r w:rsidR="00451B47" w:rsidRPr="000C47D2">
        <w:t>3</w:t>
      </w:r>
      <w:r w:rsidR="009C1FDA" w:rsidRPr="000C47D2">
        <w:t>.1.1</w:t>
      </w:r>
      <w:r w:rsidR="000158C6" w:rsidRPr="000C47D2">
        <w:t>2</w:t>
      </w:r>
      <w:r w:rsidR="004A4F80" w:rsidRPr="000C47D2">
        <w:t xml:space="preserve"> provides a summary of interest received.</w:t>
      </w:r>
    </w:p>
    <w:p w:rsidR="004A4F80" w:rsidRPr="008A1E2A" w:rsidRDefault="00244FB1" w:rsidP="00800E5E">
      <w:pPr>
        <w:pStyle w:val="TableNumber"/>
      </w:pPr>
      <w:r>
        <w:t xml:space="preserve">Table </w:t>
      </w:r>
      <w:r w:rsidR="00451B47">
        <w:t>3</w:t>
      </w:r>
      <w:r w:rsidR="009C1FDA">
        <w:t>.1.1</w:t>
      </w:r>
      <w:r w:rsidR="000158C6">
        <w:t>2</w:t>
      </w:r>
    </w:p>
    <w:p w:rsidR="004A4F80" w:rsidRPr="008A1E2A" w:rsidRDefault="004A4F80" w:rsidP="00C74C96">
      <w:pPr>
        <w:pStyle w:val="TableName"/>
      </w:pPr>
      <w:r w:rsidRPr="008A1E2A">
        <w:t>Interest Income</w:t>
      </w:r>
    </w:p>
    <w:tbl>
      <w:tblPr>
        <w:tblW w:w="9185" w:type="dxa"/>
        <w:jc w:val="center"/>
        <w:tblLook w:val="0000"/>
      </w:tblPr>
      <w:tblGrid>
        <w:gridCol w:w="1021"/>
        <w:gridCol w:w="2217"/>
        <w:gridCol w:w="1307"/>
        <w:gridCol w:w="1018"/>
        <w:gridCol w:w="568"/>
        <w:gridCol w:w="1018"/>
        <w:gridCol w:w="1018"/>
        <w:gridCol w:w="1018"/>
      </w:tblGrid>
      <w:tr w:rsidR="008E0D14" w:rsidRPr="008A1E2A" w:rsidTr="008E0D14">
        <w:trPr>
          <w:trHeight w:val="170"/>
          <w:jc w:val="center"/>
        </w:trPr>
        <w:tc>
          <w:tcPr>
            <w:tcW w:w="1021"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2</w:t>
            </w:r>
            <w:r>
              <w:t>0</w:t>
            </w:r>
            <w:r w:rsidRPr="006F7BAF">
              <w:t>12</w:t>
            </w:r>
            <w:r>
              <w:t>-13</w:t>
            </w:r>
          </w:p>
        </w:tc>
        <w:tc>
          <w:tcPr>
            <w:tcW w:w="2217"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 </w:t>
            </w:r>
          </w:p>
        </w:tc>
        <w:tc>
          <w:tcPr>
            <w:tcW w:w="1307"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2</w:t>
            </w:r>
            <w:r>
              <w:t>0</w:t>
            </w:r>
            <w:r w:rsidRPr="006F7BAF">
              <w:t>12</w:t>
            </w:r>
            <w:r>
              <w:t>-13</w:t>
            </w:r>
          </w:p>
        </w:tc>
        <w:tc>
          <w:tcPr>
            <w:tcW w:w="1018"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2013</w:t>
            </w:r>
            <w:r>
              <w:t>-14</w:t>
            </w:r>
          </w:p>
        </w:tc>
        <w:tc>
          <w:tcPr>
            <w:tcW w:w="568"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 </w:t>
            </w:r>
          </w:p>
        </w:tc>
        <w:tc>
          <w:tcPr>
            <w:tcW w:w="1018"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2014</w:t>
            </w:r>
            <w:r>
              <w:t>-15</w:t>
            </w:r>
          </w:p>
        </w:tc>
        <w:tc>
          <w:tcPr>
            <w:tcW w:w="1018"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rsidRPr="006F7BAF">
              <w:t>2015</w:t>
            </w:r>
            <w:r>
              <w:t>-16</w:t>
            </w:r>
          </w:p>
        </w:tc>
        <w:tc>
          <w:tcPr>
            <w:tcW w:w="1018" w:type="dxa"/>
            <w:tcBorders>
              <w:top w:val="single" w:sz="4" w:space="0" w:color="auto"/>
              <w:left w:val="nil"/>
              <w:bottom w:val="nil"/>
              <w:right w:val="nil"/>
            </w:tcBorders>
            <w:shd w:val="clear" w:color="auto" w:fill="auto"/>
            <w:noWrap/>
          </w:tcPr>
          <w:p w:rsidR="008E0D14" w:rsidRPr="006F7BAF" w:rsidRDefault="008E0D14" w:rsidP="008E0D14">
            <w:pPr>
              <w:pStyle w:val="StyleTableTextRightBold-BP3Before05ptAfter05pt"/>
            </w:pPr>
            <w:r>
              <w:t>2016-17</w:t>
            </w:r>
          </w:p>
        </w:tc>
      </w:tr>
      <w:tr w:rsidR="004A4F80" w:rsidRPr="008A1E2A" w:rsidTr="008E0D14">
        <w:trPr>
          <w:trHeight w:val="170"/>
          <w:jc w:val="center"/>
        </w:trPr>
        <w:tc>
          <w:tcPr>
            <w:tcW w:w="1021"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Budget</w:t>
            </w:r>
          </w:p>
        </w:tc>
        <w:tc>
          <w:tcPr>
            <w:tcW w:w="2217" w:type="dxa"/>
            <w:tcBorders>
              <w:top w:val="nil"/>
              <w:left w:val="nil"/>
              <w:bottom w:val="nil"/>
              <w:right w:val="nil"/>
            </w:tcBorders>
            <w:shd w:val="clear" w:color="auto" w:fill="auto"/>
            <w:noWrap/>
            <w:vAlign w:val="bottom"/>
          </w:tcPr>
          <w:p w:rsidR="004A4F80" w:rsidRPr="008A1E2A" w:rsidRDefault="004A4F80">
            <w:pPr>
              <w:pStyle w:val="TableTextRightBold-BP3"/>
              <w:spacing w:before="10" w:after="10"/>
            </w:pPr>
          </w:p>
        </w:tc>
        <w:tc>
          <w:tcPr>
            <w:tcW w:w="1307" w:type="dxa"/>
            <w:tcBorders>
              <w:top w:val="nil"/>
              <w:left w:val="nil"/>
              <w:bottom w:val="nil"/>
              <w:right w:val="nil"/>
            </w:tcBorders>
            <w:shd w:val="clear" w:color="auto" w:fill="auto"/>
          </w:tcPr>
          <w:p w:rsidR="004A4F80" w:rsidRPr="008A1E2A" w:rsidRDefault="004A4F80" w:rsidP="00D90F82">
            <w:pPr>
              <w:pStyle w:val="StyleTableTextRightBold-BP3Before05ptAfter05pt"/>
            </w:pPr>
            <w:r w:rsidRPr="008A1E2A">
              <w:t>Est. Outcome</w:t>
            </w:r>
          </w:p>
        </w:tc>
        <w:tc>
          <w:tcPr>
            <w:tcW w:w="1018"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Budget</w:t>
            </w:r>
          </w:p>
        </w:tc>
        <w:tc>
          <w:tcPr>
            <w:tcW w:w="568"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Var</w:t>
            </w:r>
          </w:p>
        </w:tc>
        <w:tc>
          <w:tcPr>
            <w:tcW w:w="1018"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Estimate</w:t>
            </w:r>
          </w:p>
        </w:tc>
        <w:tc>
          <w:tcPr>
            <w:tcW w:w="1018"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Estimate</w:t>
            </w:r>
          </w:p>
        </w:tc>
        <w:tc>
          <w:tcPr>
            <w:tcW w:w="1018" w:type="dxa"/>
            <w:tcBorders>
              <w:top w:val="nil"/>
              <w:left w:val="nil"/>
              <w:bottom w:val="nil"/>
              <w:right w:val="nil"/>
            </w:tcBorders>
            <w:shd w:val="clear" w:color="auto" w:fill="auto"/>
            <w:noWrap/>
          </w:tcPr>
          <w:p w:rsidR="004A4F80" w:rsidRPr="008A1E2A" w:rsidRDefault="004A4F80" w:rsidP="00D90F82">
            <w:pPr>
              <w:pStyle w:val="StyleTableTextRightBold-BP3Before05ptAfter05pt"/>
            </w:pPr>
            <w:r w:rsidRPr="008A1E2A">
              <w:t>Estimate</w:t>
            </w:r>
          </w:p>
        </w:tc>
      </w:tr>
      <w:tr w:rsidR="004A4F80" w:rsidRPr="008A1E2A" w:rsidTr="008E0D14">
        <w:trPr>
          <w:trHeight w:val="170"/>
          <w:jc w:val="center"/>
        </w:trPr>
        <w:tc>
          <w:tcPr>
            <w:tcW w:w="1021"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c>
          <w:tcPr>
            <w:tcW w:w="2217" w:type="dxa"/>
            <w:tcBorders>
              <w:top w:val="nil"/>
              <w:left w:val="nil"/>
              <w:bottom w:val="single" w:sz="4" w:space="0" w:color="auto"/>
              <w:right w:val="nil"/>
            </w:tcBorders>
            <w:shd w:val="clear" w:color="auto" w:fill="auto"/>
            <w:noWrap/>
            <w:vAlign w:val="bottom"/>
          </w:tcPr>
          <w:p w:rsidR="004A4F80" w:rsidRPr="008A1E2A" w:rsidRDefault="004A4F80" w:rsidP="00D90F82">
            <w:pPr>
              <w:pStyle w:val="StyleTableTextRightBold-BP3Before05ptAfter05pt"/>
            </w:pPr>
            <w:r w:rsidRPr="008A1E2A">
              <w:t> </w:t>
            </w:r>
          </w:p>
        </w:tc>
        <w:tc>
          <w:tcPr>
            <w:tcW w:w="1307"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c>
          <w:tcPr>
            <w:tcW w:w="1018"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c>
          <w:tcPr>
            <w:tcW w:w="568"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w:t>
            </w:r>
          </w:p>
        </w:tc>
        <w:tc>
          <w:tcPr>
            <w:tcW w:w="1018"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c>
          <w:tcPr>
            <w:tcW w:w="1018"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c>
          <w:tcPr>
            <w:tcW w:w="1018" w:type="dxa"/>
            <w:tcBorders>
              <w:top w:val="nil"/>
              <w:left w:val="nil"/>
              <w:bottom w:val="single" w:sz="4" w:space="0" w:color="auto"/>
              <w:right w:val="nil"/>
            </w:tcBorders>
            <w:shd w:val="clear" w:color="auto" w:fill="auto"/>
            <w:noWrap/>
          </w:tcPr>
          <w:p w:rsidR="004A4F80" w:rsidRPr="008A1E2A" w:rsidRDefault="004A4F80" w:rsidP="00D90F82">
            <w:pPr>
              <w:pStyle w:val="StyleTableTextRightBold-BP3Before05ptAfter05pt"/>
            </w:pPr>
            <w:r w:rsidRPr="008A1E2A">
              <w:t>$'000</w:t>
            </w:r>
          </w:p>
        </w:tc>
      </w:tr>
      <w:tr w:rsidR="004A4F80" w:rsidRPr="008A1E2A" w:rsidTr="008E0D14">
        <w:trPr>
          <w:trHeight w:val="170"/>
          <w:jc w:val="center"/>
        </w:trPr>
        <w:tc>
          <w:tcPr>
            <w:tcW w:w="1021" w:type="dxa"/>
            <w:tcBorders>
              <w:top w:val="nil"/>
              <w:left w:val="nil"/>
              <w:bottom w:val="nil"/>
              <w:right w:val="nil"/>
            </w:tcBorders>
            <w:shd w:val="clear" w:color="auto" w:fill="auto"/>
            <w:noWrap/>
          </w:tcPr>
          <w:p w:rsidR="004A4F80" w:rsidRPr="008A1E2A" w:rsidRDefault="004A4F80">
            <w:pPr>
              <w:pStyle w:val="TableTextNumbers"/>
              <w:spacing w:before="16" w:after="16"/>
            </w:pPr>
          </w:p>
        </w:tc>
        <w:tc>
          <w:tcPr>
            <w:tcW w:w="2217" w:type="dxa"/>
            <w:tcBorders>
              <w:top w:val="nil"/>
              <w:left w:val="nil"/>
              <w:bottom w:val="nil"/>
              <w:right w:val="nil"/>
            </w:tcBorders>
            <w:shd w:val="clear" w:color="auto" w:fill="auto"/>
            <w:noWrap/>
          </w:tcPr>
          <w:p w:rsidR="004A4F80" w:rsidRPr="008A1E2A" w:rsidRDefault="004A4F80">
            <w:pPr>
              <w:pStyle w:val="TableTextLeftBold-BP3"/>
              <w:spacing w:before="16" w:after="16"/>
            </w:pPr>
            <w:r w:rsidRPr="008A1E2A">
              <w:t>Interest Received</w:t>
            </w:r>
          </w:p>
        </w:tc>
        <w:tc>
          <w:tcPr>
            <w:tcW w:w="1307"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c>
          <w:tcPr>
            <w:tcW w:w="568"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c>
          <w:tcPr>
            <w:tcW w:w="1018" w:type="dxa"/>
            <w:tcBorders>
              <w:top w:val="nil"/>
              <w:left w:val="nil"/>
              <w:bottom w:val="nil"/>
              <w:right w:val="nil"/>
            </w:tcBorders>
            <w:shd w:val="clear" w:color="auto" w:fill="auto"/>
            <w:noWrap/>
          </w:tcPr>
          <w:p w:rsidR="004A4F80" w:rsidRPr="008A1E2A" w:rsidRDefault="004A4F80">
            <w:pPr>
              <w:spacing w:before="16" w:after="16"/>
              <w:jc w:val="right"/>
              <w:rPr>
                <w:sz w:val="18"/>
                <w:szCs w:val="18"/>
              </w:rPr>
            </w:pPr>
          </w:p>
        </w:tc>
      </w:tr>
      <w:tr w:rsidR="00523F78" w:rsidRPr="008A1E2A" w:rsidTr="008E0D14">
        <w:trPr>
          <w:trHeight w:val="170"/>
          <w:jc w:val="center"/>
        </w:trPr>
        <w:tc>
          <w:tcPr>
            <w:tcW w:w="1021" w:type="dxa"/>
            <w:tcBorders>
              <w:top w:val="nil"/>
              <w:left w:val="nil"/>
              <w:bottom w:val="nil"/>
              <w:right w:val="nil"/>
            </w:tcBorders>
            <w:shd w:val="clear" w:color="auto" w:fill="auto"/>
            <w:noWrap/>
          </w:tcPr>
          <w:p w:rsidR="00523F78" w:rsidRDefault="00523F78" w:rsidP="008E0D14">
            <w:pPr>
              <w:jc w:val="right"/>
              <w:rPr>
                <w:rFonts w:cs="Calibri"/>
                <w:sz w:val="18"/>
                <w:szCs w:val="18"/>
              </w:rPr>
            </w:pPr>
            <w:r>
              <w:rPr>
                <w:rFonts w:cs="Calibri"/>
                <w:sz w:val="18"/>
                <w:szCs w:val="18"/>
              </w:rPr>
              <w:t>31,922</w:t>
            </w:r>
          </w:p>
        </w:tc>
        <w:tc>
          <w:tcPr>
            <w:tcW w:w="2217" w:type="dxa"/>
            <w:tcBorders>
              <w:top w:val="nil"/>
              <w:left w:val="nil"/>
              <w:bottom w:val="nil"/>
              <w:right w:val="nil"/>
            </w:tcBorders>
            <w:shd w:val="clear" w:color="auto" w:fill="auto"/>
            <w:noWrap/>
          </w:tcPr>
          <w:p w:rsidR="00523F78" w:rsidRPr="008A1E2A" w:rsidRDefault="00523F78" w:rsidP="000B3623">
            <w:pPr>
              <w:pStyle w:val="TableTextLeft-BP3"/>
            </w:pPr>
            <w:r w:rsidRPr="008A1E2A">
              <w:t>Interest Received from Banks</w:t>
            </w:r>
          </w:p>
        </w:tc>
        <w:tc>
          <w:tcPr>
            <w:tcW w:w="1307"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47,098</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28,569</w:t>
            </w:r>
          </w:p>
        </w:tc>
        <w:tc>
          <w:tcPr>
            <w:tcW w:w="56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-39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26,942</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29,816</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28,330</w:t>
            </w:r>
          </w:p>
        </w:tc>
      </w:tr>
      <w:tr w:rsidR="00523F78" w:rsidRPr="008A1E2A" w:rsidTr="008E0D14">
        <w:trPr>
          <w:trHeight w:val="170"/>
          <w:jc w:val="center"/>
        </w:trPr>
        <w:tc>
          <w:tcPr>
            <w:tcW w:w="1021" w:type="dxa"/>
            <w:tcBorders>
              <w:top w:val="nil"/>
              <w:left w:val="nil"/>
              <w:bottom w:val="nil"/>
              <w:right w:val="nil"/>
            </w:tcBorders>
            <w:shd w:val="clear" w:color="auto" w:fill="auto"/>
            <w:noWrap/>
          </w:tcPr>
          <w:p w:rsidR="00523F78" w:rsidRDefault="00523F78" w:rsidP="008E0D14">
            <w:pPr>
              <w:jc w:val="right"/>
              <w:rPr>
                <w:rFonts w:cs="Calibri"/>
                <w:sz w:val="18"/>
                <w:szCs w:val="18"/>
              </w:rPr>
            </w:pPr>
            <w:r>
              <w:rPr>
                <w:rFonts w:cs="Calibri"/>
                <w:sz w:val="18"/>
                <w:szCs w:val="18"/>
              </w:rPr>
              <w:t>72,400</w:t>
            </w:r>
          </w:p>
        </w:tc>
        <w:tc>
          <w:tcPr>
            <w:tcW w:w="2217" w:type="dxa"/>
            <w:tcBorders>
              <w:top w:val="nil"/>
              <w:left w:val="nil"/>
              <w:bottom w:val="nil"/>
              <w:right w:val="nil"/>
            </w:tcBorders>
            <w:shd w:val="clear" w:color="auto" w:fill="auto"/>
          </w:tcPr>
          <w:p w:rsidR="00523F78" w:rsidRPr="008A1E2A" w:rsidRDefault="00523F78" w:rsidP="000B3623">
            <w:pPr>
              <w:pStyle w:val="TableTextLeft-BP3"/>
            </w:pPr>
            <w:r w:rsidRPr="008A1E2A">
              <w:t>Interest Received on Advances and Loans to Agencies</w:t>
            </w:r>
          </w:p>
        </w:tc>
        <w:tc>
          <w:tcPr>
            <w:tcW w:w="1307"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75,030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75,983</w:t>
            </w:r>
          </w:p>
        </w:tc>
        <w:tc>
          <w:tcPr>
            <w:tcW w:w="56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1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79,627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83,995</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87,834</w:t>
            </w:r>
          </w:p>
        </w:tc>
      </w:tr>
      <w:tr w:rsidR="00523F78" w:rsidRPr="008A1E2A" w:rsidTr="008E0D14">
        <w:trPr>
          <w:trHeight w:val="170"/>
          <w:jc w:val="center"/>
        </w:trPr>
        <w:tc>
          <w:tcPr>
            <w:tcW w:w="1021" w:type="dxa"/>
            <w:tcBorders>
              <w:top w:val="nil"/>
              <w:left w:val="nil"/>
              <w:bottom w:val="nil"/>
              <w:right w:val="nil"/>
            </w:tcBorders>
            <w:shd w:val="clear" w:color="auto" w:fill="auto"/>
            <w:noWrap/>
          </w:tcPr>
          <w:p w:rsidR="00523F78" w:rsidRDefault="00C06F92" w:rsidP="008E0D14">
            <w:pPr>
              <w:jc w:val="right"/>
              <w:rPr>
                <w:rFonts w:cs="Calibri"/>
                <w:sz w:val="18"/>
                <w:szCs w:val="18"/>
              </w:rPr>
            </w:pPr>
            <w:r>
              <w:rPr>
                <w:rFonts w:cs="Calibri"/>
                <w:sz w:val="18"/>
                <w:szCs w:val="18"/>
              </w:rPr>
              <w:t>-</w:t>
            </w:r>
          </w:p>
        </w:tc>
        <w:tc>
          <w:tcPr>
            <w:tcW w:w="2217" w:type="dxa"/>
            <w:tcBorders>
              <w:top w:val="nil"/>
              <w:left w:val="nil"/>
              <w:bottom w:val="nil"/>
              <w:right w:val="nil"/>
            </w:tcBorders>
            <w:shd w:val="clear" w:color="auto" w:fill="auto"/>
            <w:noWrap/>
          </w:tcPr>
          <w:p w:rsidR="00523F78" w:rsidRPr="008A1E2A" w:rsidRDefault="00523F78" w:rsidP="00ED5FDE">
            <w:pPr>
              <w:pStyle w:val="TableTextLeft-BP3"/>
            </w:pPr>
            <w:r>
              <w:t xml:space="preserve">Interest Received </w:t>
            </w:r>
            <w:r w:rsidR="00AA781F">
              <w:t xml:space="preserve">from </w:t>
            </w:r>
            <w:r w:rsidR="00ED5FDE">
              <w:t>Private Sector</w:t>
            </w:r>
          </w:p>
        </w:tc>
        <w:tc>
          <w:tcPr>
            <w:tcW w:w="1307" w:type="dxa"/>
            <w:tcBorders>
              <w:top w:val="nil"/>
              <w:left w:val="nil"/>
              <w:bottom w:val="nil"/>
              <w:right w:val="nil"/>
            </w:tcBorders>
            <w:shd w:val="clear" w:color="auto" w:fill="auto"/>
            <w:noWrap/>
          </w:tcPr>
          <w:p w:rsidR="00523F78" w:rsidRDefault="00523F78">
            <w:pPr>
              <w:jc w:val="right"/>
              <w:rPr>
                <w:sz w:val="18"/>
                <w:szCs w:val="18"/>
              </w:rPr>
            </w:pPr>
            <w:r>
              <w:rPr>
                <w:sz w:val="18"/>
                <w:szCs w:val="18"/>
              </w:rPr>
              <w:t>444</w:t>
            </w:r>
          </w:p>
        </w:tc>
        <w:tc>
          <w:tcPr>
            <w:tcW w:w="1018" w:type="dxa"/>
            <w:tcBorders>
              <w:top w:val="nil"/>
              <w:left w:val="nil"/>
              <w:bottom w:val="nil"/>
              <w:right w:val="nil"/>
            </w:tcBorders>
            <w:shd w:val="clear" w:color="auto" w:fill="auto"/>
            <w:noWrap/>
          </w:tcPr>
          <w:p w:rsidR="00523F78" w:rsidRDefault="00523F78">
            <w:pPr>
              <w:jc w:val="right"/>
              <w:rPr>
                <w:sz w:val="18"/>
                <w:szCs w:val="18"/>
              </w:rPr>
            </w:pPr>
            <w:r>
              <w:rPr>
                <w:sz w:val="18"/>
                <w:szCs w:val="18"/>
              </w:rPr>
              <w:t>2,798</w:t>
            </w:r>
          </w:p>
        </w:tc>
        <w:tc>
          <w:tcPr>
            <w:tcW w:w="568" w:type="dxa"/>
            <w:tcBorders>
              <w:top w:val="nil"/>
              <w:left w:val="nil"/>
              <w:bottom w:val="nil"/>
              <w:right w:val="nil"/>
            </w:tcBorders>
            <w:shd w:val="clear" w:color="auto" w:fill="auto"/>
            <w:noWrap/>
          </w:tcPr>
          <w:p w:rsidR="00523F78" w:rsidRDefault="00523F78">
            <w:pPr>
              <w:jc w:val="right"/>
              <w:rPr>
                <w:sz w:val="18"/>
                <w:szCs w:val="18"/>
              </w:rPr>
            </w:pPr>
            <w:r>
              <w:rPr>
                <w:sz w:val="18"/>
                <w:szCs w:val="18"/>
              </w:rPr>
              <w:t xml:space="preserve">530 </w:t>
            </w:r>
          </w:p>
        </w:tc>
        <w:tc>
          <w:tcPr>
            <w:tcW w:w="1018" w:type="dxa"/>
            <w:tcBorders>
              <w:top w:val="nil"/>
              <w:left w:val="nil"/>
              <w:bottom w:val="nil"/>
              <w:right w:val="nil"/>
            </w:tcBorders>
            <w:shd w:val="clear" w:color="auto" w:fill="auto"/>
            <w:noWrap/>
          </w:tcPr>
          <w:p w:rsidR="00523F78" w:rsidRDefault="00523F78">
            <w:pPr>
              <w:jc w:val="right"/>
              <w:rPr>
                <w:sz w:val="18"/>
                <w:szCs w:val="18"/>
              </w:rPr>
            </w:pPr>
            <w:r>
              <w:rPr>
                <w:sz w:val="18"/>
                <w:szCs w:val="18"/>
              </w:rPr>
              <w:t>5,275</w:t>
            </w:r>
          </w:p>
        </w:tc>
        <w:tc>
          <w:tcPr>
            <w:tcW w:w="1018" w:type="dxa"/>
            <w:tcBorders>
              <w:top w:val="nil"/>
              <w:left w:val="nil"/>
              <w:bottom w:val="nil"/>
              <w:right w:val="nil"/>
            </w:tcBorders>
            <w:shd w:val="clear" w:color="auto" w:fill="auto"/>
            <w:noWrap/>
          </w:tcPr>
          <w:p w:rsidR="00523F78" w:rsidRDefault="00523F78">
            <w:pPr>
              <w:jc w:val="right"/>
              <w:rPr>
                <w:sz w:val="18"/>
                <w:szCs w:val="18"/>
              </w:rPr>
            </w:pPr>
            <w:r>
              <w:rPr>
                <w:sz w:val="18"/>
                <w:szCs w:val="18"/>
              </w:rPr>
              <w:t>3,865</w:t>
            </w:r>
          </w:p>
        </w:tc>
        <w:tc>
          <w:tcPr>
            <w:tcW w:w="1018" w:type="dxa"/>
            <w:tcBorders>
              <w:top w:val="nil"/>
              <w:left w:val="nil"/>
              <w:bottom w:val="nil"/>
              <w:right w:val="nil"/>
            </w:tcBorders>
            <w:shd w:val="clear" w:color="auto" w:fill="auto"/>
            <w:noWrap/>
          </w:tcPr>
          <w:p w:rsidR="00523F78" w:rsidRDefault="00523F78">
            <w:pPr>
              <w:jc w:val="right"/>
              <w:rPr>
                <w:sz w:val="18"/>
                <w:szCs w:val="18"/>
              </w:rPr>
            </w:pPr>
            <w:r>
              <w:rPr>
                <w:sz w:val="18"/>
                <w:szCs w:val="18"/>
              </w:rPr>
              <w:t>3,651</w:t>
            </w:r>
          </w:p>
        </w:tc>
      </w:tr>
      <w:tr w:rsidR="00523F78" w:rsidRPr="008A1E2A" w:rsidTr="008E0D14">
        <w:trPr>
          <w:trHeight w:val="170"/>
          <w:jc w:val="center"/>
        </w:trPr>
        <w:tc>
          <w:tcPr>
            <w:tcW w:w="1021" w:type="dxa"/>
            <w:tcBorders>
              <w:top w:val="nil"/>
              <w:left w:val="nil"/>
              <w:bottom w:val="nil"/>
              <w:right w:val="nil"/>
            </w:tcBorders>
            <w:shd w:val="clear" w:color="auto" w:fill="auto"/>
            <w:noWrap/>
          </w:tcPr>
          <w:p w:rsidR="00523F78" w:rsidRDefault="00C06F92" w:rsidP="008E0D14">
            <w:pPr>
              <w:jc w:val="right"/>
              <w:rPr>
                <w:rFonts w:cs="Calibri"/>
                <w:sz w:val="18"/>
                <w:szCs w:val="18"/>
              </w:rPr>
            </w:pPr>
            <w:r>
              <w:rPr>
                <w:rFonts w:cs="Calibri"/>
                <w:sz w:val="18"/>
                <w:szCs w:val="18"/>
              </w:rPr>
              <w:t>9,935</w:t>
            </w:r>
          </w:p>
        </w:tc>
        <w:tc>
          <w:tcPr>
            <w:tcW w:w="2217" w:type="dxa"/>
            <w:tcBorders>
              <w:top w:val="nil"/>
              <w:left w:val="nil"/>
              <w:bottom w:val="nil"/>
              <w:right w:val="nil"/>
            </w:tcBorders>
            <w:shd w:val="clear" w:color="auto" w:fill="auto"/>
          </w:tcPr>
          <w:p w:rsidR="00523F78" w:rsidRPr="008A1E2A" w:rsidRDefault="00AA781F" w:rsidP="000B3623">
            <w:pPr>
              <w:pStyle w:val="TableTextLeft-BP3"/>
            </w:pPr>
            <w:r>
              <w:t>Interest Received –</w:t>
            </w:r>
            <w:r w:rsidRPr="008A1E2A">
              <w:t xml:space="preserve"> Other</w:t>
            </w:r>
          </w:p>
        </w:tc>
        <w:tc>
          <w:tcPr>
            <w:tcW w:w="1307"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7,536</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9,734</w:t>
            </w:r>
          </w:p>
        </w:tc>
        <w:tc>
          <w:tcPr>
            <w:tcW w:w="56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29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12,697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10,593</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10,491</w:t>
            </w:r>
          </w:p>
        </w:tc>
      </w:tr>
      <w:tr w:rsidR="00523F78" w:rsidRPr="008A1E2A" w:rsidTr="008E0D14">
        <w:trPr>
          <w:trHeight w:val="170"/>
          <w:jc w:val="center"/>
        </w:trPr>
        <w:tc>
          <w:tcPr>
            <w:tcW w:w="1021" w:type="dxa"/>
            <w:tcBorders>
              <w:top w:val="nil"/>
              <w:left w:val="nil"/>
              <w:bottom w:val="nil"/>
              <w:right w:val="nil"/>
            </w:tcBorders>
            <w:shd w:val="clear" w:color="auto" w:fill="auto"/>
            <w:noWrap/>
          </w:tcPr>
          <w:p w:rsidR="00523F78" w:rsidRDefault="00523F78" w:rsidP="008E0D14">
            <w:pPr>
              <w:jc w:val="right"/>
              <w:rPr>
                <w:rFonts w:cs="Calibri"/>
                <w:sz w:val="18"/>
                <w:szCs w:val="18"/>
              </w:rPr>
            </w:pPr>
            <w:r>
              <w:rPr>
                <w:rFonts w:cs="Calibri"/>
                <w:sz w:val="18"/>
                <w:szCs w:val="18"/>
              </w:rPr>
              <w:t>28,518</w:t>
            </w:r>
          </w:p>
        </w:tc>
        <w:tc>
          <w:tcPr>
            <w:tcW w:w="2217" w:type="dxa"/>
            <w:tcBorders>
              <w:top w:val="nil"/>
              <w:left w:val="nil"/>
              <w:bottom w:val="nil"/>
              <w:right w:val="nil"/>
            </w:tcBorders>
            <w:shd w:val="clear" w:color="auto" w:fill="auto"/>
          </w:tcPr>
          <w:p w:rsidR="00523F78" w:rsidRPr="008A1E2A" w:rsidRDefault="00523F78" w:rsidP="000B3623">
            <w:pPr>
              <w:pStyle w:val="TableTextLeft-BP3"/>
            </w:pPr>
            <w:r w:rsidRPr="008A1E2A">
              <w:t xml:space="preserve">Interest from Financial Investments </w:t>
            </w:r>
          </w:p>
        </w:tc>
        <w:tc>
          <w:tcPr>
            <w:tcW w:w="1307"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13,600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18,574</w:t>
            </w:r>
          </w:p>
        </w:tc>
        <w:tc>
          <w:tcPr>
            <w:tcW w:w="56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37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21,460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23,034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24,727</w:t>
            </w:r>
          </w:p>
        </w:tc>
      </w:tr>
      <w:tr w:rsidR="00523F78" w:rsidRPr="008A1E2A" w:rsidTr="00153F95">
        <w:trPr>
          <w:trHeight w:val="170"/>
          <w:jc w:val="center"/>
        </w:trPr>
        <w:tc>
          <w:tcPr>
            <w:tcW w:w="1021" w:type="dxa"/>
            <w:tcBorders>
              <w:top w:val="single" w:sz="4" w:space="0" w:color="auto"/>
              <w:left w:val="nil"/>
              <w:bottom w:val="single" w:sz="4" w:space="0" w:color="auto"/>
              <w:right w:val="nil"/>
            </w:tcBorders>
            <w:shd w:val="clear" w:color="auto" w:fill="auto"/>
            <w:noWrap/>
            <w:vAlign w:val="center"/>
          </w:tcPr>
          <w:p w:rsidR="00523F78" w:rsidRPr="00582F50" w:rsidRDefault="00523F78" w:rsidP="007D17CA">
            <w:pPr>
              <w:jc w:val="right"/>
              <w:rPr>
                <w:rFonts w:cs="Calibri"/>
                <w:b/>
                <w:bCs/>
                <w:sz w:val="18"/>
                <w:szCs w:val="18"/>
              </w:rPr>
            </w:pPr>
            <w:r>
              <w:rPr>
                <w:rFonts w:cs="Calibri"/>
                <w:b/>
                <w:bCs/>
                <w:sz w:val="18"/>
                <w:szCs w:val="18"/>
              </w:rPr>
              <w:t>142,775</w:t>
            </w:r>
          </w:p>
        </w:tc>
        <w:tc>
          <w:tcPr>
            <w:tcW w:w="2217" w:type="dxa"/>
            <w:tcBorders>
              <w:top w:val="single" w:sz="4" w:space="0" w:color="auto"/>
              <w:left w:val="nil"/>
              <w:bottom w:val="single" w:sz="4" w:space="0" w:color="auto"/>
              <w:right w:val="nil"/>
            </w:tcBorders>
            <w:shd w:val="clear" w:color="auto" w:fill="auto"/>
          </w:tcPr>
          <w:p w:rsidR="00523F78" w:rsidRPr="008A1E2A" w:rsidRDefault="00523F78">
            <w:pPr>
              <w:pStyle w:val="TableTextLeftBold-BP3"/>
              <w:spacing w:before="16" w:after="16"/>
            </w:pPr>
            <w:r w:rsidRPr="008A1E2A">
              <w:t>Total Interest Received</w:t>
            </w:r>
          </w:p>
        </w:tc>
        <w:tc>
          <w:tcPr>
            <w:tcW w:w="1307"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143,708</w:t>
            </w:r>
          </w:p>
        </w:tc>
        <w:tc>
          <w:tcPr>
            <w:tcW w:w="1018"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135,658</w:t>
            </w:r>
          </w:p>
        </w:tc>
        <w:tc>
          <w:tcPr>
            <w:tcW w:w="568"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 xml:space="preserve">-6 </w:t>
            </w:r>
          </w:p>
        </w:tc>
        <w:tc>
          <w:tcPr>
            <w:tcW w:w="1018"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146,001</w:t>
            </w:r>
          </w:p>
        </w:tc>
        <w:tc>
          <w:tcPr>
            <w:tcW w:w="1018"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151,303</w:t>
            </w:r>
          </w:p>
        </w:tc>
        <w:tc>
          <w:tcPr>
            <w:tcW w:w="1018" w:type="dxa"/>
            <w:tcBorders>
              <w:top w:val="single" w:sz="4" w:space="0" w:color="auto"/>
              <w:left w:val="nil"/>
              <w:bottom w:val="single" w:sz="4" w:space="0" w:color="auto"/>
              <w:right w:val="nil"/>
            </w:tcBorders>
            <w:shd w:val="clear" w:color="auto" w:fill="auto"/>
            <w:noWrap/>
            <w:vAlign w:val="center"/>
          </w:tcPr>
          <w:p w:rsidR="00523F78" w:rsidRDefault="00523F78" w:rsidP="00153F95">
            <w:pPr>
              <w:jc w:val="right"/>
              <w:rPr>
                <w:rFonts w:cs="Arial"/>
                <w:b/>
                <w:bCs/>
                <w:sz w:val="18"/>
                <w:szCs w:val="18"/>
              </w:rPr>
            </w:pPr>
            <w:r>
              <w:rPr>
                <w:rFonts w:cs="Arial"/>
                <w:b/>
                <w:bCs/>
                <w:sz w:val="18"/>
                <w:szCs w:val="18"/>
              </w:rPr>
              <w:t>155,033</w:t>
            </w:r>
          </w:p>
        </w:tc>
      </w:tr>
    </w:tbl>
    <w:p w:rsidR="00EC1129" w:rsidRPr="008B50DA" w:rsidRDefault="00EC1129" w:rsidP="00BD38E0">
      <w:pPr>
        <w:pStyle w:val="Heading4"/>
        <w:keepNext w:val="0"/>
        <w:spacing w:before="240"/>
      </w:pPr>
      <w:r w:rsidRPr="008B50DA">
        <w:t xml:space="preserve">Interest Received from Banks </w:t>
      </w:r>
    </w:p>
    <w:p w:rsidR="00EC1129" w:rsidRPr="008B50DA" w:rsidRDefault="00EC1129" w:rsidP="00BD38E0">
      <w:pPr>
        <w:pStyle w:val="BodyText"/>
        <w:keepNext w:val="0"/>
      </w:pPr>
      <w:r w:rsidRPr="008B50DA">
        <w:t xml:space="preserve">This item represents the interest income recognised by the Territory Banking Account for general government investments.  Interest income from banks is interest earnings on cash, short term securities and fixed interest assets.  General government investments comprise the surplus balances of the Territory Banking Account and investments made on behalf of government directorates and </w:t>
      </w:r>
      <w:r w:rsidR="00AA781F">
        <w:t>some</w:t>
      </w:r>
      <w:r w:rsidRPr="008B50DA">
        <w:t xml:space="preserve"> Territory Authorities.</w:t>
      </w:r>
    </w:p>
    <w:p w:rsidR="00EC1129" w:rsidRPr="008B50DA" w:rsidRDefault="00EC1129" w:rsidP="00BD38E0">
      <w:pPr>
        <w:pStyle w:val="BodyText"/>
        <w:keepNext w:val="0"/>
      </w:pPr>
      <w:r w:rsidRPr="008B50DA">
        <w:t>The increase of $</w:t>
      </w:r>
      <w:r>
        <w:t>15</w:t>
      </w:r>
      <w:r w:rsidRPr="008B50DA">
        <w:t>.</w:t>
      </w:r>
      <w:r w:rsidR="0039085F">
        <w:t>2</w:t>
      </w:r>
      <w:r w:rsidRPr="008B50DA">
        <w:t xml:space="preserve"> million in the 2012-13 estimated outcome from the original budget is due mainly to higher levels of investment balances held during the year.</w:t>
      </w:r>
    </w:p>
    <w:p w:rsidR="00EC1129" w:rsidRPr="008B50DA" w:rsidRDefault="00EC1129" w:rsidP="00BD38E0">
      <w:pPr>
        <w:pStyle w:val="BodyText"/>
        <w:keepNext w:val="0"/>
      </w:pPr>
      <w:r w:rsidRPr="008B50DA">
        <w:t>The decrease of $</w:t>
      </w:r>
      <w:r>
        <w:t>18</w:t>
      </w:r>
      <w:r w:rsidRPr="008B50DA">
        <w:t>.</w:t>
      </w:r>
      <w:r>
        <w:t>5</w:t>
      </w:r>
      <w:r w:rsidRPr="008B50DA">
        <w:t xml:space="preserve"> million in the 2013-14 Budget from the 2012-13 estimated outcome reflects a decrease in investment earnings due to a lower level of funds to be held on investments during the year and lower </w:t>
      </w:r>
      <w:r>
        <w:t xml:space="preserve">estimated </w:t>
      </w:r>
      <w:r w:rsidRPr="008B50DA">
        <w:t>investment returns.</w:t>
      </w:r>
    </w:p>
    <w:p w:rsidR="00EC1129" w:rsidRPr="00BD38E0" w:rsidRDefault="00EC1129" w:rsidP="00BD38E0">
      <w:pPr>
        <w:pStyle w:val="Heading4"/>
        <w:keepNext w:val="0"/>
      </w:pPr>
      <w:r w:rsidRPr="00BD38E0">
        <w:t xml:space="preserve">Interest Received on Advances and Loans to Agencies </w:t>
      </w:r>
    </w:p>
    <w:p w:rsidR="00EC1129" w:rsidRPr="001521A9" w:rsidRDefault="00EC1129" w:rsidP="00BD38E0">
      <w:pPr>
        <w:pStyle w:val="BodyText"/>
        <w:keepNext w:val="0"/>
      </w:pPr>
      <w:r w:rsidRPr="004A1DC9">
        <w:t>The increase of $2.6 million in</w:t>
      </w:r>
      <w:r w:rsidRPr="001521A9">
        <w:t xml:space="preserve"> the 2012-13 estimated </w:t>
      </w:r>
      <w:proofErr w:type="gramStart"/>
      <w:r w:rsidRPr="001521A9">
        <w:t>outcome</w:t>
      </w:r>
      <w:proofErr w:type="gramEnd"/>
      <w:r w:rsidRPr="001521A9">
        <w:t xml:space="preserve"> from the original budget is mainly due to </w:t>
      </w:r>
      <w:r>
        <w:t xml:space="preserve">higher interest </w:t>
      </w:r>
      <w:r w:rsidRPr="00EC1129">
        <w:t>received from ACTEW Corporation in relation to inflation linked bonds and increased levels of borrowings in 2012-13.</w:t>
      </w:r>
    </w:p>
    <w:p w:rsidR="00EC1129" w:rsidRDefault="00EC1129" w:rsidP="00BD38E0">
      <w:pPr>
        <w:pStyle w:val="BodyText"/>
        <w:keepNext w:val="0"/>
      </w:pPr>
      <w:r>
        <w:t xml:space="preserve">The </w:t>
      </w:r>
      <w:r w:rsidRPr="004A1DC9">
        <w:t xml:space="preserve">increase </w:t>
      </w:r>
      <w:r>
        <w:t>of</w:t>
      </w:r>
      <w:r w:rsidRPr="004A1DC9">
        <w:t xml:space="preserve"> $</w:t>
      </w:r>
      <w:r w:rsidR="0039085F">
        <w:t>1</w:t>
      </w:r>
      <w:r w:rsidRPr="004A1DC9">
        <w:t> million in the</w:t>
      </w:r>
      <w:r w:rsidRPr="001521A9">
        <w:t xml:space="preserve"> </w:t>
      </w:r>
      <w:r>
        <w:t>2013</w:t>
      </w:r>
      <w:r>
        <w:noBreakHyphen/>
        <w:t xml:space="preserve">14 </w:t>
      </w:r>
      <w:r w:rsidRPr="001521A9">
        <w:t>Budget from the 2012-13 estimated outcome</w:t>
      </w:r>
      <w:r>
        <w:t xml:space="preserve"> is due to increased levels of borrowings offset by lower interest costs in relation to </w:t>
      </w:r>
      <w:r w:rsidRPr="00EC1129">
        <w:t>inflation linked bonds.</w:t>
      </w:r>
    </w:p>
    <w:p w:rsidR="002F5792" w:rsidRPr="00BD38E0" w:rsidRDefault="00EC1129" w:rsidP="00BD38E0">
      <w:pPr>
        <w:pStyle w:val="Heading4"/>
        <w:keepNext w:val="0"/>
      </w:pPr>
      <w:r w:rsidRPr="00BD38E0">
        <w:t>Other Interest Income</w:t>
      </w:r>
    </w:p>
    <w:p w:rsidR="002F5792" w:rsidRPr="002F5792" w:rsidRDefault="00EC1129" w:rsidP="00BD38E0">
      <w:pPr>
        <w:pStyle w:val="Heading4"/>
        <w:keepNext w:val="0"/>
        <w:spacing w:before="0"/>
        <w:rPr>
          <w:i w:val="0"/>
        </w:rPr>
      </w:pPr>
      <w:r w:rsidRPr="002F5792">
        <w:rPr>
          <w:i w:val="0"/>
        </w:rPr>
        <w:t xml:space="preserve">Other interest income includes income </w:t>
      </w:r>
      <w:r w:rsidR="000A0F57" w:rsidRPr="002F5792">
        <w:rPr>
          <w:i w:val="0"/>
        </w:rPr>
        <w:t xml:space="preserve">mainly </w:t>
      </w:r>
      <w:r w:rsidRPr="002F5792">
        <w:rPr>
          <w:i w:val="0"/>
        </w:rPr>
        <w:t xml:space="preserve">recognised by the Home Loan Portfolio, the </w:t>
      </w:r>
      <w:r w:rsidR="000A0F57" w:rsidRPr="002F5792">
        <w:rPr>
          <w:i w:val="0"/>
        </w:rPr>
        <w:t>Chief Minister and Treasury</w:t>
      </w:r>
      <w:r w:rsidRPr="002F5792">
        <w:rPr>
          <w:i w:val="0"/>
        </w:rPr>
        <w:t xml:space="preserve"> Directorate, the Territory and Municipal Services Directorate and the Environment and Sustainable Development Directorate.  </w:t>
      </w:r>
    </w:p>
    <w:p w:rsidR="00EC1129" w:rsidRPr="0081165A" w:rsidRDefault="00EC1129" w:rsidP="00BD38E0">
      <w:pPr>
        <w:pStyle w:val="BodyText"/>
        <w:keepNext w:val="0"/>
      </w:pPr>
      <w:r w:rsidRPr="0081165A">
        <w:lastRenderedPageBreak/>
        <w:t>Other interest income will decrease by $2.</w:t>
      </w:r>
      <w:r w:rsidR="0039085F">
        <w:t>4</w:t>
      </w:r>
      <w:r w:rsidRPr="0081165A">
        <w:t> million</w:t>
      </w:r>
      <w:r w:rsidR="0039085F">
        <w:t xml:space="preserve"> from</w:t>
      </w:r>
      <w:r w:rsidR="003C1547">
        <w:t xml:space="preserve"> the original budget of</w:t>
      </w:r>
      <w:r w:rsidR="0039085F">
        <w:t xml:space="preserve"> $9.9 million</w:t>
      </w:r>
      <w:r w:rsidRPr="0081165A">
        <w:t xml:space="preserve"> </w:t>
      </w:r>
      <w:r w:rsidR="003C1547">
        <w:t>to</w:t>
      </w:r>
      <w:r w:rsidRPr="0081165A">
        <w:t xml:space="preserve"> the 2012-13 estimated outcome </w:t>
      </w:r>
      <w:r w:rsidR="003C1547">
        <w:t>of</w:t>
      </w:r>
      <w:r w:rsidRPr="0081165A">
        <w:t xml:space="preserve"> $7.5 million, however is expected to increase in the 2013-14 Budget by $2.</w:t>
      </w:r>
      <w:r w:rsidR="0039085F">
        <w:t>2</w:t>
      </w:r>
      <w:r w:rsidRPr="0081165A">
        <w:t xml:space="preserve"> million to $9.7 million.  This is </w:t>
      </w:r>
      <w:r w:rsidR="0081165A" w:rsidRPr="0081165A">
        <w:t xml:space="preserve">mainly </w:t>
      </w:r>
      <w:r w:rsidRPr="0081165A">
        <w:t>due to</w:t>
      </w:r>
      <w:r w:rsidR="0081165A" w:rsidRPr="0081165A">
        <w:t xml:space="preserve"> variations in land held by the LDA for future sale. </w:t>
      </w:r>
    </w:p>
    <w:p w:rsidR="00EC1129" w:rsidRPr="00BD38E0" w:rsidRDefault="00EC1129" w:rsidP="00BD38E0">
      <w:pPr>
        <w:pStyle w:val="Heading4"/>
        <w:keepNext w:val="0"/>
      </w:pPr>
      <w:r w:rsidRPr="00BD38E0">
        <w:t xml:space="preserve">Interest from Financial Investments </w:t>
      </w:r>
    </w:p>
    <w:p w:rsidR="00EC1129" w:rsidRDefault="00EC1129" w:rsidP="00BD38E0">
      <w:pPr>
        <w:pStyle w:val="BodyText"/>
        <w:keepNext w:val="0"/>
      </w:pPr>
      <w:r>
        <w:t xml:space="preserve">This item represents the interest income recognised by the </w:t>
      </w:r>
      <w:r w:rsidR="00AA781F">
        <w:t>Superannuation Provision Account</w:t>
      </w:r>
      <w:r>
        <w:t xml:space="preserve"> for the investment assets set aside to fund the defined benefit superannuation liability.  Interest from financial investments is interest earnings on short term money market securities and fixed interest assets.</w:t>
      </w:r>
    </w:p>
    <w:p w:rsidR="00EC1129" w:rsidRDefault="00EC1129" w:rsidP="00BD38E0">
      <w:pPr>
        <w:pStyle w:val="BodyText"/>
        <w:keepNext w:val="0"/>
      </w:pPr>
      <w:r>
        <w:t>The decrease of $14.9 million in the 2012-13 estimated outcome from the original budget is due to a component of earnings from the inflation-linked debt securities being classified as capital gains, and the timing of income distributions.</w:t>
      </w:r>
    </w:p>
    <w:p w:rsidR="004A7E42" w:rsidRDefault="00EC1129" w:rsidP="00BD38E0">
      <w:pPr>
        <w:pStyle w:val="BodyText"/>
        <w:keepNext w:val="0"/>
      </w:pPr>
      <w:r>
        <w:t>The increase of $</w:t>
      </w:r>
      <w:r w:rsidR="0039085F">
        <w:t>5</w:t>
      </w:r>
      <w:r>
        <w:t xml:space="preserve"> million in the 2013-14 Budget from the 2012-13 estimated </w:t>
      </w:r>
      <w:proofErr w:type="gramStart"/>
      <w:r>
        <w:t>outcome</w:t>
      </w:r>
      <w:proofErr w:type="gramEnd"/>
      <w:r>
        <w:t xml:space="preserve"> is due to the timing of the receipt of the unit trust income distribution from 2012-13.</w:t>
      </w:r>
    </w:p>
    <w:p w:rsidR="004A4F80" w:rsidRPr="00805B9B" w:rsidRDefault="004A4F80" w:rsidP="007D17CA">
      <w:pPr>
        <w:pStyle w:val="Heading3"/>
      </w:pPr>
      <w:r w:rsidRPr="000079AE">
        <w:t>Dividends and Tax Equivalents</w:t>
      </w:r>
      <w:r w:rsidR="00E23490" w:rsidRPr="000079AE">
        <w:t xml:space="preserve"> </w:t>
      </w:r>
    </w:p>
    <w:p w:rsidR="004A4F80" w:rsidRPr="0071150E" w:rsidRDefault="004A4F80">
      <w:pPr>
        <w:pStyle w:val="BodyText"/>
      </w:pPr>
      <w:r w:rsidRPr="00A67EF3">
        <w:t xml:space="preserve">The estimated outcome for total dividends and tax equivalents is </w:t>
      </w:r>
      <w:r w:rsidRPr="00500EEF">
        <w:t xml:space="preserve">expected to </w:t>
      </w:r>
      <w:r w:rsidR="005D5A51" w:rsidRPr="00500EEF">
        <w:t>increase</w:t>
      </w:r>
      <w:r w:rsidR="00A67EF3" w:rsidRPr="00500EEF">
        <w:t xml:space="preserve"> by $</w:t>
      </w:r>
      <w:r w:rsidR="00500EEF" w:rsidRPr="00500EEF">
        <w:t>3</w:t>
      </w:r>
      <w:r w:rsidR="00EF0415">
        <w:t>8.</w:t>
      </w:r>
      <w:r w:rsidR="0039085F">
        <w:t>2</w:t>
      </w:r>
      <w:r w:rsidRPr="00500EEF">
        <w:t xml:space="preserve"> million </w:t>
      </w:r>
      <w:r w:rsidR="00A67EF3" w:rsidRPr="00500EEF">
        <w:t xml:space="preserve">above </w:t>
      </w:r>
      <w:r w:rsidR="00A67EF3">
        <w:t xml:space="preserve">the original </w:t>
      </w:r>
      <w:r w:rsidR="00F13EE7" w:rsidRPr="001521A9">
        <w:t xml:space="preserve">2012-13 </w:t>
      </w:r>
      <w:r w:rsidR="00873424">
        <w:t>Budget</w:t>
      </w:r>
      <w:r w:rsidRPr="00A67EF3">
        <w:t xml:space="preserve">.  This is followed by an </w:t>
      </w:r>
      <w:r w:rsidRPr="00500EEF">
        <w:t xml:space="preserve">estimated </w:t>
      </w:r>
      <w:r w:rsidR="00A67EF3" w:rsidRPr="00500EEF">
        <w:t>decrease of $</w:t>
      </w:r>
      <w:r w:rsidR="00EF0415">
        <w:t>16.4</w:t>
      </w:r>
      <w:r w:rsidR="00A67EF3" w:rsidRPr="00500EEF">
        <w:t xml:space="preserve"> million in </w:t>
      </w:r>
      <w:r w:rsidR="00F13EE7" w:rsidRPr="00500EEF">
        <w:t>2013-14</w:t>
      </w:r>
      <w:r w:rsidR="00244FB1" w:rsidRPr="00500EEF">
        <w:t>.  Table </w:t>
      </w:r>
      <w:r w:rsidR="00451B47" w:rsidRPr="00500EEF">
        <w:t>3</w:t>
      </w:r>
      <w:r w:rsidRPr="00500EEF">
        <w:t>.1.1</w:t>
      </w:r>
      <w:r w:rsidR="000158C6" w:rsidRPr="00500EEF">
        <w:t>3</w:t>
      </w:r>
      <w:r w:rsidRPr="00500EEF">
        <w:t xml:space="preserve"> provides a summary of divid</w:t>
      </w:r>
      <w:r w:rsidRPr="00A67EF3">
        <w:t>en</w:t>
      </w:r>
      <w:r w:rsidR="00A67EF3" w:rsidRPr="00A67EF3">
        <w:t xml:space="preserve">ds and tax equivalents in </w:t>
      </w:r>
      <w:r w:rsidR="00F13EE7" w:rsidRPr="001521A9">
        <w:t>2012-13</w:t>
      </w:r>
      <w:r w:rsidR="000B3623">
        <w:t>,</w:t>
      </w:r>
      <w:r w:rsidRPr="00A67EF3">
        <w:t xml:space="preserve"> the </w:t>
      </w:r>
      <w:r w:rsidR="00F13EE7">
        <w:t>2013-14</w:t>
      </w:r>
      <w:r w:rsidRPr="00A67EF3">
        <w:t> Budget and the forward estimates.</w:t>
      </w:r>
    </w:p>
    <w:p w:rsidR="004A4F80" w:rsidRPr="00886F32" w:rsidRDefault="00244FB1" w:rsidP="00800E5E">
      <w:pPr>
        <w:pStyle w:val="TableNumber"/>
      </w:pPr>
      <w:r>
        <w:t xml:space="preserve">Table </w:t>
      </w:r>
      <w:r w:rsidR="00451B47">
        <w:t>3</w:t>
      </w:r>
      <w:r w:rsidR="009C1FDA">
        <w:t>.1.1</w:t>
      </w:r>
      <w:r w:rsidR="000158C6">
        <w:t>3</w:t>
      </w:r>
    </w:p>
    <w:p w:rsidR="004A4F80" w:rsidRPr="00886F32" w:rsidRDefault="004A4F80" w:rsidP="00C74C96">
      <w:pPr>
        <w:pStyle w:val="TableName"/>
      </w:pPr>
      <w:r w:rsidRPr="00886F32">
        <w:t>Dividends and Tax Equivalents</w:t>
      </w:r>
      <w:bookmarkStart w:id="1" w:name="RANGE!G6:N27"/>
    </w:p>
    <w:tbl>
      <w:tblPr>
        <w:tblW w:w="9186" w:type="dxa"/>
        <w:jc w:val="center"/>
        <w:tblLook w:val="0000"/>
      </w:tblPr>
      <w:tblGrid>
        <w:gridCol w:w="1021"/>
        <w:gridCol w:w="2216"/>
        <w:gridCol w:w="1308"/>
        <w:gridCol w:w="1018"/>
        <w:gridCol w:w="569"/>
        <w:gridCol w:w="1018"/>
        <w:gridCol w:w="1018"/>
        <w:gridCol w:w="1018"/>
      </w:tblGrid>
      <w:tr w:rsidR="00F13EE7" w:rsidRPr="00886F32" w:rsidTr="00F13EE7">
        <w:trPr>
          <w:trHeight w:val="170"/>
          <w:jc w:val="center"/>
        </w:trPr>
        <w:tc>
          <w:tcPr>
            <w:tcW w:w="1021"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2</w:t>
            </w:r>
            <w:r>
              <w:t>0</w:t>
            </w:r>
            <w:r w:rsidRPr="006F7BAF">
              <w:t>12</w:t>
            </w:r>
            <w:r>
              <w:t>-13</w:t>
            </w:r>
          </w:p>
        </w:tc>
        <w:tc>
          <w:tcPr>
            <w:tcW w:w="2216"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 </w:t>
            </w:r>
          </w:p>
        </w:tc>
        <w:tc>
          <w:tcPr>
            <w:tcW w:w="1308"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2</w:t>
            </w:r>
            <w:r>
              <w:t>0</w:t>
            </w:r>
            <w:r w:rsidRPr="006F7BAF">
              <w:t>12</w:t>
            </w:r>
            <w:r>
              <w:t>-13</w:t>
            </w:r>
          </w:p>
        </w:tc>
        <w:tc>
          <w:tcPr>
            <w:tcW w:w="1018"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2013</w:t>
            </w:r>
            <w:r>
              <w:t>-14</w:t>
            </w:r>
          </w:p>
        </w:tc>
        <w:tc>
          <w:tcPr>
            <w:tcW w:w="569"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 </w:t>
            </w:r>
          </w:p>
        </w:tc>
        <w:tc>
          <w:tcPr>
            <w:tcW w:w="1018"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2014</w:t>
            </w:r>
            <w:r>
              <w:t>-15</w:t>
            </w:r>
          </w:p>
        </w:tc>
        <w:tc>
          <w:tcPr>
            <w:tcW w:w="1018"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rsidRPr="006F7BAF">
              <w:t>2015</w:t>
            </w:r>
            <w:r>
              <w:t>-16</w:t>
            </w:r>
          </w:p>
        </w:tc>
        <w:tc>
          <w:tcPr>
            <w:tcW w:w="1018" w:type="dxa"/>
            <w:tcBorders>
              <w:top w:val="single" w:sz="4" w:space="0" w:color="auto"/>
              <w:left w:val="nil"/>
              <w:bottom w:val="nil"/>
              <w:right w:val="nil"/>
            </w:tcBorders>
            <w:shd w:val="clear" w:color="auto" w:fill="auto"/>
            <w:noWrap/>
          </w:tcPr>
          <w:p w:rsidR="00F13EE7" w:rsidRPr="006F7BAF" w:rsidRDefault="00F13EE7" w:rsidP="00F13EE7">
            <w:pPr>
              <w:pStyle w:val="StyleTableTextRightBold-BP3Before05ptAfter05pt"/>
            </w:pPr>
            <w:r>
              <w:t>2016-17</w:t>
            </w:r>
          </w:p>
        </w:tc>
      </w:tr>
      <w:tr w:rsidR="004A4F80" w:rsidRPr="00886F32" w:rsidTr="00F13EE7">
        <w:trPr>
          <w:trHeight w:val="170"/>
          <w:jc w:val="center"/>
        </w:trPr>
        <w:tc>
          <w:tcPr>
            <w:tcW w:w="1021"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Budget</w:t>
            </w:r>
          </w:p>
        </w:tc>
        <w:tc>
          <w:tcPr>
            <w:tcW w:w="2216" w:type="dxa"/>
            <w:tcBorders>
              <w:top w:val="nil"/>
              <w:left w:val="nil"/>
              <w:bottom w:val="nil"/>
              <w:right w:val="nil"/>
            </w:tcBorders>
            <w:shd w:val="clear" w:color="auto" w:fill="auto"/>
            <w:noWrap/>
          </w:tcPr>
          <w:p w:rsidR="004A4F80" w:rsidRPr="00886F32" w:rsidRDefault="004A4F80">
            <w:pPr>
              <w:pStyle w:val="TableTextRightBold-BP3"/>
              <w:spacing w:before="10" w:after="10"/>
            </w:pPr>
          </w:p>
        </w:tc>
        <w:tc>
          <w:tcPr>
            <w:tcW w:w="1308" w:type="dxa"/>
            <w:tcBorders>
              <w:top w:val="nil"/>
              <w:left w:val="nil"/>
              <w:bottom w:val="nil"/>
              <w:right w:val="nil"/>
            </w:tcBorders>
            <w:shd w:val="clear" w:color="auto" w:fill="auto"/>
          </w:tcPr>
          <w:p w:rsidR="004A4F80" w:rsidRPr="00886F32" w:rsidRDefault="004A4F80" w:rsidP="00D90F82">
            <w:pPr>
              <w:pStyle w:val="StyleTableTextRightBold-BP3Before05ptAfter05pt"/>
            </w:pPr>
            <w:r w:rsidRPr="00886F32">
              <w:t>Est. Outcome</w:t>
            </w:r>
          </w:p>
        </w:tc>
        <w:tc>
          <w:tcPr>
            <w:tcW w:w="1018"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Budget</w:t>
            </w:r>
          </w:p>
        </w:tc>
        <w:tc>
          <w:tcPr>
            <w:tcW w:w="569"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Var</w:t>
            </w:r>
          </w:p>
        </w:tc>
        <w:tc>
          <w:tcPr>
            <w:tcW w:w="1018"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Estimate</w:t>
            </w:r>
          </w:p>
        </w:tc>
        <w:tc>
          <w:tcPr>
            <w:tcW w:w="1018"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Estimate</w:t>
            </w:r>
          </w:p>
        </w:tc>
        <w:tc>
          <w:tcPr>
            <w:tcW w:w="1018" w:type="dxa"/>
            <w:tcBorders>
              <w:top w:val="nil"/>
              <w:left w:val="nil"/>
              <w:bottom w:val="nil"/>
              <w:right w:val="nil"/>
            </w:tcBorders>
            <w:shd w:val="clear" w:color="auto" w:fill="auto"/>
            <w:noWrap/>
          </w:tcPr>
          <w:p w:rsidR="004A4F80" w:rsidRPr="00886F32" w:rsidRDefault="004A4F80" w:rsidP="00D90F82">
            <w:pPr>
              <w:pStyle w:val="StyleTableTextRightBold-BP3Before05ptAfter05pt"/>
            </w:pPr>
            <w:r w:rsidRPr="00886F32">
              <w:t>Estimate</w:t>
            </w:r>
          </w:p>
        </w:tc>
      </w:tr>
      <w:tr w:rsidR="004A4F80" w:rsidRPr="00886F32" w:rsidTr="00F13EE7">
        <w:trPr>
          <w:trHeight w:val="170"/>
          <w:jc w:val="center"/>
        </w:trPr>
        <w:tc>
          <w:tcPr>
            <w:tcW w:w="1021"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c>
          <w:tcPr>
            <w:tcW w:w="2216"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 </w:t>
            </w:r>
          </w:p>
        </w:tc>
        <w:tc>
          <w:tcPr>
            <w:tcW w:w="1308"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c>
          <w:tcPr>
            <w:tcW w:w="1018"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c>
          <w:tcPr>
            <w:tcW w:w="569"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w:t>
            </w:r>
          </w:p>
        </w:tc>
        <w:tc>
          <w:tcPr>
            <w:tcW w:w="1018"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c>
          <w:tcPr>
            <w:tcW w:w="1018"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c>
          <w:tcPr>
            <w:tcW w:w="1018" w:type="dxa"/>
            <w:tcBorders>
              <w:top w:val="nil"/>
              <w:left w:val="nil"/>
              <w:bottom w:val="single" w:sz="4" w:space="0" w:color="auto"/>
              <w:right w:val="nil"/>
            </w:tcBorders>
            <w:shd w:val="clear" w:color="auto" w:fill="auto"/>
            <w:noWrap/>
          </w:tcPr>
          <w:p w:rsidR="004A4F80" w:rsidRPr="00886F32" w:rsidRDefault="004A4F80" w:rsidP="00D90F82">
            <w:pPr>
              <w:pStyle w:val="StyleTableTextRightBold-BP3Before05ptAfter05pt"/>
            </w:pPr>
            <w:r w:rsidRPr="00886F32">
              <w:t>$'000</w:t>
            </w:r>
          </w:p>
        </w:tc>
      </w:tr>
      <w:tr w:rsidR="00500EEF" w:rsidRPr="00886F32" w:rsidTr="00F13EE7">
        <w:trPr>
          <w:trHeight w:val="170"/>
          <w:jc w:val="center"/>
        </w:trPr>
        <w:tc>
          <w:tcPr>
            <w:tcW w:w="1021" w:type="dxa"/>
            <w:tcBorders>
              <w:top w:val="nil"/>
              <w:left w:val="nil"/>
              <w:bottom w:val="nil"/>
              <w:right w:val="nil"/>
            </w:tcBorders>
            <w:shd w:val="clear" w:color="auto" w:fill="auto"/>
            <w:noWrap/>
          </w:tcPr>
          <w:p w:rsidR="00500EEF" w:rsidRPr="00886F32" w:rsidRDefault="00500EEF">
            <w:pPr>
              <w:spacing w:before="16" w:after="16"/>
              <w:jc w:val="right"/>
              <w:rPr>
                <w:b/>
                <w:sz w:val="18"/>
                <w:szCs w:val="18"/>
              </w:rPr>
            </w:pPr>
          </w:p>
        </w:tc>
        <w:tc>
          <w:tcPr>
            <w:tcW w:w="2216" w:type="dxa"/>
            <w:tcBorders>
              <w:top w:val="nil"/>
              <w:left w:val="nil"/>
              <w:bottom w:val="nil"/>
              <w:right w:val="nil"/>
            </w:tcBorders>
            <w:shd w:val="clear" w:color="auto" w:fill="auto"/>
            <w:noWrap/>
          </w:tcPr>
          <w:p w:rsidR="00500EEF" w:rsidRPr="007D17CA" w:rsidRDefault="00500EEF">
            <w:pPr>
              <w:pStyle w:val="TableTextLeftBold-BP3"/>
              <w:spacing w:before="16" w:after="16"/>
            </w:pPr>
            <w:r w:rsidRPr="007D17CA">
              <w:t>Dividends</w:t>
            </w:r>
          </w:p>
        </w:tc>
        <w:tc>
          <w:tcPr>
            <w:tcW w:w="1308" w:type="dxa"/>
            <w:tcBorders>
              <w:top w:val="nil"/>
              <w:left w:val="nil"/>
              <w:bottom w:val="nil"/>
              <w:right w:val="nil"/>
            </w:tcBorders>
            <w:shd w:val="clear" w:color="auto" w:fill="auto"/>
            <w:noWrap/>
          </w:tcPr>
          <w:p w:rsidR="00500EEF" w:rsidRDefault="00500EEF">
            <w:pPr>
              <w:jc w:val="right"/>
              <w:rPr>
                <w:rFonts w:cs="Arial"/>
                <w:sz w:val="18"/>
                <w:szCs w:val="18"/>
              </w:rPr>
            </w:pPr>
          </w:p>
        </w:tc>
        <w:tc>
          <w:tcPr>
            <w:tcW w:w="1018" w:type="dxa"/>
            <w:tcBorders>
              <w:top w:val="nil"/>
              <w:left w:val="nil"/>
              <w:bottom w:val="nil"/>
              <w:right w:val="nil"/>
            </w:tcBorders>
            <w:shd w:val="clear" w:color="auto" w:fill="auto"/>
            <w:noWrap/>
          </w:tcPr>
          <w:p w:rsidR="00500EEF" w:rsidRDefault="00500EEF">
            <w:pPr>
              <w:jc w:val="right"/>
              <w:rPr>
                <w:rFonts w:cs="Arial"/>
                <w:sz w:val="18"/>
                <w:szCs w:val="18"/>
              </w:rPr>
            </w:pPr>
          </w:p>
        </w:tc>
        <w:tc>
          <w:tcPr>
            <w:tcW w:w="569" w:type="dxa"/>
            <w:tcBorders>
              <w:top w:val="nil"/>
              <w:left w:val="nil"/>
              <w:bottom w:val="nil"/>
              <w:right w:val="nil"/>
            </w:tcBorders>
            <w:shd w:val="clear" w:color="auto" w:fill="auto"/>
            <w:noWrap/>
          </w:tcPr>
          <w:p w:rsidR="00500EEF" w:rsidRDefault="00500EEF">
            <w:pPr>
              <w:jc w:val="right"/>
              <w:rPr>
                <w:rFonts w:cs="Arial"/>
                <w:sz w:val="18"/>
                <w:szCs w:val="18"/>
              </w:rPr>
            </w:pPr>
          </w:p>
        </w:tc>
        <w:tc>
          <w:tcPr>
            <w:tcW w:w="1018" w:type="dxa"/>
            <w:tcBorders>
              <w:top w:val="nil"/>
              <w:left w:val="nil"/>
              <w:bottom w:val="nil"/>
              <w:right w:val="nil"/>
            </w:tcBorders>
            <w:shd w:val="clear" w:color="auto" w:fill="auto"/>
            <w:noWrap/>
          </w:tcPr>
          <w:p w:rsidR="00500EEF" w:rsidRDefault="00500EEF">
            <w:pPr>
              <w:jc w:val="right"/>
              <w:rPr>
                <w:rFonts w:cs="Arial"/>
                <w:sz w:val="18"/>
                <w:szCs w:val="18"/>
              </w:rPr>
            </w:pPr>
          </w:p>
        </w:tc>
        <w:tc>
          <w:tcPr>
            <w:tcW w:w="1018" w:type="dxa"/>
            <w:tcBorders>
              <w:top w:val="nil"/>
              <w:left w:val="nil"/>
              <w:bottom w:val="nil"/>
              <w:right w:val="nil"/>
            </w:tcBorders>
            <w:shd w:val="clear" w:color="auto" w:fill="auto"/>
            <w:noWrap/>
          </w:tcPr>
          <w:p w:rsidR="00500EEF" w:rsidRDefault="00500EEF">
            <w:pPr>
              <w:jc w:val="right"/>
              <w:rPr>
                <w:rFonts w:cs="Arial"/>
                <w:sz w:val="18"/>
                <w:szCs w:val="18"/>
              </w:rPr>
            </w:pPr>
          </w:p>
        </w:tc>
        <w:tc>
          <w:tcPr>
            <w:tcW w:w="1018" w:type="dxa"/>
            <w:tcBorders>
              <w:top w:val="nil"/>
              <w:left w:val="nil"/>
              <w:bottom w:val="nil"/>
              <w:right w:val="nil"/>
            </w:tcBorders>
            <w:shd w:val="clear" w:color="auto" w:fill="auto"/>
            <w:noWrap/>
          </w:tcPr>
          <w:p w:rsidR="00500EEF" w:rsidRDefault="00500EEF">
            <w:pPr>
              <w:jc w:val="right"/>
              <w:rPr>
                <w:rFonts w:cs="Arial"/>
                <w:sz w:val="18"/>
                <w:szCs w:val="18"/>
              </w:rPr>
            </w:pP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85,169</w:t>
            </w:r>
          </w:p>
        </w:tc>
        <w:tc>
          <w:tcPr>
            <w:tcW w:w="2216"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Dividends – ACTEW</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88,144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99,403</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13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107,086</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111,054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118,682</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2,866</w:t>
            </w:r>
          </w:p>
        </w:tc>
        <w:tc>
          <w:tcPr>
            <w:tcW w:w="2216"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Dividends – ACTTAB</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1,540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1,582</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3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1,437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1,288</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849</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800</w:t>
            </w:r>
          </w:p>
        </w:tc>
        <w:tc>
          <w:tcPr>
            <w:tcW w:w="2216"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Dividends – CIT Solutions</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250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500</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100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500</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60,084</w:t>
            </w:r>
          </w:p>
        </w:tc>
        <w:tc>
          <w:tcPr>
            <w:tcW w:w="2216" w:type="dxa"/>
            <w:tcBorders>
              <w:top w:val="nil"/>
              <w:left w:val="nil"/>
              <w:bottom w:val="nil"/>
              <w:right w:val="nil"/>
            </w:tcBorders>
            <w:shd w:val="clear" w:color="auto" w:fill="auto"/>
            <w:noWrap/>
          </w:tcPr>
          <w:p w:rsidR="00523F78" w:rsidRPr="007D17CA" w:rsidRDefault="00523F78" w:rsidP="000B3623">
            <w:pPr>
              <w:pStyle w:val="TableTextLeft-BP3"/>
              <w:rPr>
                <w:szCs w:val="20"/>
              </w:rPr>
            </w:pPr>
            <w:r w:rsidRPr="007D17CA">
              <w:rPr>
                <w:szCs w:val="20"/>
              </w:rPr>
              <w:t>Dividends – Land Development Agency</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86,714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40,868</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-53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59,776</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132,282</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109,301</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66,393</w:t>
            </w:r>
          </w:p>
        </w:tc>
        <w:tc>
          <w:tcPr>
            <w:tcW w:w="22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Dividends from Financial Investments</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66,037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83,526</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26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88,259</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95,014</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101,801</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b/>
                <w:bCs/>
                <w:sz w:val="18"/>
                <w:szCs w:val="18"/>
              </w:rPr>
            </w:pPr>
            <w:r>
              <w:rPr>
                <w:rFonts w:cs="Calibri"/>
                <w:b/>
                <w:bCs/>
                <w:sz w:val="18"/>
                <w:szCs w:val="18"/>
              </w:rPr>
              <w:t>215,312</w:t>
            </w:r>
          </w:p>
        </w:tc>
        <w:tc>
          <w:tcPr>
            <w:tcW w:w="2216" w:type="dxa"/>
            <w:tcBorders>
              <w:top w:val="nil"/>
              <w:left w:val="nil"/>
              <w:bottom w:val="nil"/>
              <w:right w:val="nil"/>
            </w:tcBorders>
            <w:shd w:val="clear" w:color="auto" w:fill="auto"/>
          </w:tcPr>
          <w:p w:rsidR="00523F78" w:rsidRPr="007D17CA" w:rsidRDefault="00523F78">
            <w:pPr>
              <w:pStyle w:val="TableTextLeftBold-BP3"/>
              <w:spacing w:before="16" w:after="16"/>
            </w:pPr>
            <w:r w:rsidRPr="007D17CA">
              <w:t>Total Dividends</w:t>
            </w:r>
          </w:p>
        </w:tc>
        <w:tc>
          <w:tcPr>
            <w:tcW w:w="130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242,685</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225,879</w:t>
            </w:r>
          </w:p>
        </w:tc>
        <w:tc>
          <w:tcPr>
            <w:tcW w:w="569"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 xml:space="preserve">-7 </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257,058</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340,138</w:t>
            </w:r>
          </w:p>
        </w:tc>
        <w:tc>
          <w:tcPr>
            <w:tcW w:w="1018" w:type="dxa"/>
            <w:tcBorders>
              <w:top w:val="nil"/>
              <w:left w:val="nil"/>
              <w:bottom w:val="nil"/>
              <w:right w:val="nil"/>
            </w:tcBorders>
            <w:shd w:val="clear" w:color="auto" w:fill="auto"/>
            <w:noWrap/>
          </w:tcPr>
          <w:p w:rsidR="00523F78" w:rsidRDefault="00523F78">
            <w:pPr>
              <w:jc w:val="right"/>
              <w:rPr>
                <w:rFonts w:cs="Arial"/>
                <w:b/>
                <w:bCs/>
                <w:sz w:val="18"/>
                <w:szCs w:val="18"/>
              </w:rPr>
            </w:pPr>
            <w:r>
              <w:rPr>
                <w:rFonts w:cs="Arial"/>
                <w:b/>
                <w:bCs/>
                <w:sz w:val="18"/>
                <w:szCs w:val="18"/>
              </w:rPr>
              <w:t>331,133</w:t>
            </w: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p>
        </w:tc>
        <w:tc>
          <w:tcPr>
            <w:tcW w:w="2216" w:type="dxa"/>
            <w:tcBorders>
              <w:top w:val="nil"/>
              <w:left w:val="nil"/>
              <w:bottom w:val="nil"/>
              <w:right w:val="nil"/>
            </w:tcBorders>
            <w:shd w:val="clear" w:color="auto" w:fill="auto"/>
          </w:tcPr>
          <w:p w:rsidR="00523F78" w:rsidRPr="007D17CA" w:rsidRDefault="00523F78">
            <w:pPr>
              <w:pStyle w:val="TableTextLeftBold-BP3"/>
              <w:spacing w:before="16" w:after="16"/>
            </w:pPr>
            <w:r w:rsidRPr="007D17CA">
              <w:t>Tax Equivalents</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p>
        </w:tc>
      </w:tr>
      <w:tr w:rsidR="00523F78" w:rsidRPr="00886F32" w:rsidTr="00F13EE7">
        <w:trPr>
          <w:trHeight w:val="170"/>
          <w:jc w:val="center"/>
        </w:trPr>
        <w:tc>
          <w:tcPr>
            <w:tcW w:w="1021" w:type="dxa"/>
            <w:tcBorders>
              <w:top w:val="nil"/>
              <w:left w:val="nil"/>
              <w:bottom w:val="nil"/>
              <w:right w:val="nil"/>
            </w:tcBorders>
            <w:shd w:val="clear" w:color="auto" w:fill="auto"/>
            <w:noWrap/>
          </w:tcPr>
          <w:p w:rsidR="00523F78" w:rsidRDefault="00523F78" w:rsidP="00F13EE7">
            <w:pPr>
              <w:jc w:val="right"/>
              <w:rPr>
                <w:rFonts w:cs="Calibri"/>
                <w:sz w:val="18"/>
                <w:szCs w:val="18"/>
              </w:rPr>
            </w:pPr>
            <w:r>
              <w:rPr>
                <w:rFonts w:cs="Calibri"/>
                <w:sz w:val="18"/>
                <w:szCs w:val="18"/>
              </w:rPr>
              <w:t>67,546</w:t>
            </w:r>
          </w:p>
        </w:tc>
        <w:tc>
          <w:tcPr>
            <w:tcW w:w="2216" w:type="dxa"/>
            <w:tcBorders>
              <w:top w:val="nil"/>
              <w:left w:val="nil"/>
              <w:bottom w:val="nil"/>
              <w:right w:val="nil"/>
            </w:tcBorders>
            <w:shd w:val="clear" w:color="auto" w:fill="auto"/>
          </w:tcPr>
          <w:p w:rsidR="00523F78" w:rsidRPr="007D17CA" w:rsidRDefault="00523F78" w:rsidP="000B3623">
            <w:pPr>
              <w:pStyle w:val="TableTextLeft-BP3"/>
              <w:rPr>
                <w:szCs w:val="20"/>
              </w:rPr>
            </w:pPr>
            <w:r w:rsidRPr="007D17CA">
              <w:rPr>
                <w:szCs w:val="20"/>
              </w:rPr>
              <w:t>Income Tax Equivalent</w:t>
            </w:r>
          </w:p>
        </w:tc>
        <w:tc>
          <w:tcPr>
            <w:tcW w:w="130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78,360</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78,758</w:t>
            </w:r>
          </w:p>
        </w:tc>
        <w:tc>
          <w:tcPr>
            <w:tcW w:w="569"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 xml:space="preserve">1 </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80,587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110,587</w:t>
            </w:r>
          </w:p>
        </w:tc>
        <w:tc>
          <w:tcPr>
            <w:tcW w:w="1018" w:type="dxa"/>
            <w:tcBorders>
              <w:top w:val="nil"/>
              <w:left w:val="nil"/>
              <w:bottom w:val="nil"/>
              <w:right w:val="nil"/>
            </w:tcBorders>
            <w:shd w:val="clear" w:color="auto" w:fill="auto"/>
            <w:noWrap/>
          </w:tcPr>
          <w:p w:rsidR="00523F78" w:rsidRDefault="00523F78">
            <w:pPr>
              <w:jc w:val="right"/>
              <w:rPr>
                <w:rFonts w:cs="Arial"/>
                <w:sz w:val="18"/>
                <w:szCs w:val="18"/>
              </w:rPr>
            </w:pPr>
            <w:r>
              <w:rPr>
                <w:rFonts w:cs="Arial"/>
                <w:sz w:val="18"/>
                <w:szCs w:val="18"/>
              </w:rPr>
              <w:t>105,375</w:t>
            </w:r>
          </w:p>
        </w:tc>
      </w:tr>
      <w:tr w:rsidR="00523F78" w:rsidRPr="00886F32" w:rsidTr="00F13EE7">
        <w:trPr>
          <w:trHeight w:val="170"/>
          <w:jc w:val="center"/>
        </w:trPr>
        <w:tc>
          <w:tcPr>
            <w:tcW w:w="1021" w:type="dxa"/>
            <w:tcBorders>
              <w:top w:val="nil"/>
              <w:left w:val="nil"/>
              <w:bottom w:val="single" w:sz="4" w:space="0" w:color="auto"/>
              <w:right w:val="nil"/>
            </w:tcBorders>
            <w:shd w:val="clear" w:color="auto" w:fill="auto"/>
            <w:noWrap/>
          </w:tcPr>
          <w:p w:rsidR="00523F78" w:rsidRDefault="00523F78" w:rsidP="00F13EE7">
            <w:pPr>
              <w:jc w:val="right"/>
              <w:rPr>
                <w:rFonts w:cs="Calibri"/>
                <w:b/>
                <w:bCs/>
                <w:sz w:val="18"/>
                <w:szCs w:val="18"/>
              </w:rPr>
            </w:pPr>
            <w:r>
              <w:rPr>
                <w:rFonts w:cs="Calibri"/>
                <w:b/>
                <w:bCs/>
                <w:sz w:val="18"/>
                <w:szCs w:val="18"/>
              </w:rPr>
              <w:t>67,546</w:t>
            </w:r>
          </w:p>
        </w:tc>
        <w:tc>
          <w:tcPr>
            <w:tcW w:w="2216" w:type="dxa"/>
            <w:tcBorders>
              <w:top w:val="nil"/>
              <w:left w:val="nil"/>
              <w:bottom w:val="single" w:sz="4" w:space="0" w:color="auto"/>
              <w:right w:val="nil"/>
            </w:tcBorders>
            <w:shd w:val="clear" w:color="auto" w:fill="auto"/>
            <w:noWrap/>
          </w:tcPr>
          <w:p w:rsidR="00523F78" w:rsidRPr="007D17CA" w:rsidRDefault="00523F78">
            <w:pPr>
              <w:pStyle w:val="TableTextLeftBold-BP3"/>
              <w:spacing w:before="16" w:after="16"/>
            </w:pPr>
            <w:r w:rsidRPr="007D17CA">
              <w:t>Total Tax Equivalents</w:t>
            </w:r>
          </w:p>
        </w:tc>
        <w:tc>
          <w:tcPr>
            <w:tcW w:w="1308" w:type="dxa"/>
            <w:tcBorders>
              <w:top w:val="nil"/>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78,360</w:t>
            </w:r>
          </w:p>
        </w:tc>
        <w:tc>
          <w:tcPr>
            <w:tcW w:w="1018" w:type="dxa"/>
            <w:tcBorders>
              <w:top w:val="nil"/>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78,758</w:t>
            </w:r>
          </w:p>
        </w:tc>
        <w:tc>
          <w:tcPr>
            <w:tcW w:w="569" w:type="dxa"/>
            <w:tcBorders>
              <w:top w:val="nil"/>
              <w:left w:val="nil"/>
              <w:bottom w:val="single" w:sz="4" w:space="0" w:color="auto"/>
              <w:right w:val="nil"/>
            </w:tcBorders>
            <w:shd w:val="clear" w:color="auto" w:fill="auto"/>
            <w:noWrap/>
          </w:tcPr>
          <w:p w:rsidR="00523F78" w:rsidRDefault="00523F78">
            <w:pPr>
              <w:jc w:val="right"/>
              <w:rPr>
                <w:rFonts w:cs="Arial"/>
                <w:sz w:val="18"/>
                <w:szCs w:val="18"/>
              </w:rPr>
            </w:pPr>
            <w:r>
              <w:rPr>
                <w:rFonts w:cs="Arial"/>
                <w:sz w:val="18"/>
                <w:szCs w:val="18"/>
              </w:rPr>
              <w:t xml:space="preserve">1 </w:t>
            </w:r>
          </w:p>
        </w:tc>
        <w:tc>
          <w:tcPr>
            <w:tcW w:w="1018" w:type="dxa"/>
            <w:tcBorders>
              <w:top w:val="nil"/>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80,587</w:t>
            </w:r>
          </w:p>
        </w:tc>
        <w:tc>
          <w:tcPr>
            <w:tcW w:w="1018" w:type="dxa"/>
            <w:tcBorders>
              <w:top w:val="nil"/>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110,587</w:t>
            </w:r>
          </w:p>
        </w:tc>
        <w:tc>
          <w:tcPr>
            <w:tcW w:w="1018" w:type="dxa"/>
            <w:tcBorders>
              <w:top w:val="nil"/>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105,375</w:t>
            </w:r>
          </w:p>
        </w:tc>
      </w:tr>
      <w:tr w:rsidR="00523F78" w:rsidRPr="00886F32" w:rsidTr="00F13EE7">
        <w:trPr>
          <w:trHeight w:val="170"/>
          <w:jc w:val="center"/>
        </w:trPr>
        <w:tc>
          <w:tcPr>
            <w:tcW w:w="1021" w:type="dxa"/>
            <w:tcBorders>
              <w:top w:val="single" w:sz="4" w:space="0" w:color="auto"/>
              <w:left w:val="nil"/>
              <w:bottom w:val="single" w:sz="4" w:space="0" w:color="auto"/>
              <w:right w:val="nil"/>
            </w:tcBorders>
            <w:shd w:val="clear" w:color="auto" w:fill="auto"/>
            <w:noWrap/>
          </w:tcPr>
          <w:p w:rsidR="00523F78" w:rsidRDefault="00523F78" w:rsidP="00F13EE7">
            <w:pPr>
              <w:jc w:val="right"/>
              <w:rPr>
                <w:rFonts w:cs="Calibri"/>
                <w:b/>
                <w:bCs/>
                <w:sz w:val="18"/>
                <w:szCs w:val="18"/>
              </w:rPr>
            </w:pPr>
            <w:r>
              <w:rPr>
                <w:rFonts w:cs="Calibri"/>
                <w:b/>
                <w:bCs/>
                <w:sz w:val="18"/>
                <w:szCs w:val="18"/>
              </w:rPr>
              <w:t>282,858</w:t>
            </w:r>
          </w:p>
          <w:p w:rsidR="00523F78" w:rsidRDefault="00523F78" w:rsidP="00F13EE7">
            <w:pPr>
              <w:jc w:val="right"/>
              <w:rPr>
                <w:rFonts w:cs="Calibri"/>
                <w:b/>
                <w:bCs/>
                <w:sz w:val="18"/>
                <w:szCs w:val="18"/>
              </w:rPr>
            </w:pPr>
          </w:p>
        </w:tc>
        <w:tc>
          <w:tcPr>
            <w:tcW w:w="2216" w:type="dxa"/>
            <w:tcBorders>
              <w:top w:val="single" w:sz="4" w:space="0" w:color="auto"/>
              <w:left w:val="nil"/>
              <w:bottom w:val="single" w:sz="4" w:space="0" w:color="auto"/>
              <w:right w:val="nil"/>
            </w:tcBorders>
            <w:shd w:val="clear" w:color="auto" w:fill="auto"/>
          </w:tcPr>
          <w:p w:rsidR="00523F78" w:rsidRPr="007D17CA" w:rsidRDefault="00523F78">
            <w:pPr>
              <w:pStyle w:val="TableTextLeftBold-BP3"/>
              <w:spacing w:before="16" w:after="16"/>
            </w:pPr>
            <w:r w:rsidRPr="007D17CA">
              <w:t>Total Dividend and Tax Equivalents</w:t>
            </w:r>
          </w:p>
        </w:tc>
        <w:tc>
          <w:tcPr>
            <w:tcW w:w="1308"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321,045</w:t>
            </w:r>
          </w:p>
        </w:tc>
        <w:tc>
          <w:tcPr>
            <w:tcW w:w="1018"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304,637</w:t>
            </w:r>
          </w:p>
        </w:tc>
        <w:tc>
          <w:tcPr>
            <w:tcW w:w="569"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 xml:space="preserve">-5 </w:t>
            </w:r>
          </w:p>
        </w:tc>
        <w:tc>
          <w:tcPr>
            <w:tcW w:w="1018"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337,645</w:t>
            </w:r>
          </w:p>
        </w:tc>
        <w:tc>
          <w:tcPr>
            <w:tcW w:w="1018"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450,725</w:t>
            </w:r>
          </w:p>
        </w:tc>
        <w:tc>
          <w:tcPr>
            <w:tcW w:w="1018" w:type="dxa"/>
            <w:tcBorders>
              <w:top w:val="single" w:sz="4" w:space="0" w:color="auto"/>
              <w:left w:val="nil"/>
              <w:bottom w:val="single" w:sz="4" w:space="0" w:color="auto"/>
              <w:right w:val="nil"/>
            </w:tcBorders>
            <w:shd w:val="clear" w:color="auto" w:fill="auto"/>
            <w:noWrap/>
          </w:tcPr>
          <w:p w:rsidR="00523F78" w:rsidRDefault="00523F78">
            <w:pPr>
              <w:jc w:val="right"/>
              <w:rPr>
                <w:rFonts w:cs="Arial"/>
                <w:b/>
                <w:bCs/>
                <w:sz w:val="18"/>
                <w:szCs w:val="18"/>
              </w:rPr>
            </w:pPr>
            <w:r>
              <w:rPr>
                <w:rFonts w:cs="Arial"/>
                <w:b/>
                <w:bCs/>
                <w:sz w:val="18"/>
                <w:szCs w:val="18"/>
              </w:rPr>
              <w:t>436,508</w:t>
            </w:r>
          </w:p>
        </w:tc>
      </w:tr>
    </w:tbl>
    <w:bookmarkEnd w:id="1"/>
    <w:p w:rsidR="000D533E" w:rsidRDefault="00097BE1" w:rsidP="004A7E42">
      <w:pPr>
        <w:pStyle w:val="Heading4"/>
        <w:keepNext w:val="0"/>
        <w:spacing w:before="240"/>
      </w:pPr>
      <w:r w:rsidRPr="000C47D2">
        <w:t>ACTEW</w:t>
      </w:r>
      <w:r w:rsidR="00B64D8B" w:rsidRPr="000C47D2">
        <w:t xml:space="preserve"> </w:t>
      </w:r>
    </w:p>
    <w:p w:rsidR="00097BE1" w:rsidRPr="000D533E" w:rsidRDefault="00752360" w:rsidP="004A7E42">
      <w:pPr>
        <w:pStyle w:val="Heading4"/>
        <w:keepNext w:val="0"/>
        <w:rPr>
          <w:i w:val="0"/>
        </w:rPr>
      </w:pPr>
      <w:r w:rsidRPr="000D533E">
        <w:rPr>
          <w:i w:val="0"/>
        </w:rPr>
        <w:t xml:space="preserve">ACTEW’s estimated </w:t>
      </w:r>
      <w:r w:rsidR="00F13EE7" w:rsidRPr="000D533E">
        <w:rPr>
          <w:i w:val="0"/>
        </w:rPr>
        <w:t>2012-13</w:t>
      </w:r>
      <w:r w:rsidRPr="000D533E">
        <w:rPr>
          <w:i w:val="0"/>
        </w:rPr>
        <w:t xml:space="preserve"> dividend of </w:t>
      </w:r>
      <w:r w:rsidR="0098719A" w:rsidRPr="000D533E">
        <w:rPr>
          <w:i w:val="0"/>
        </w:rPr>
        <w:t>$</w:t>
      </w:r>
      <w:r w:rsidR="00500EEF" w:rsidRPr="000D533E">
        <w:rPr>
          <w:i w:val="0"/>
        </w:rPr>
        <w:t>88.</w:t>
      </w:r>
      <w:r w:rsidR="00EF0415" w:rsidRPr="000D533E">
        <w:rPr>
          <w:i w:val="0"/>
        </w:rPr>
        <w:t>1</w:t>
      </w:r>
      <w:r w:rsidR="005D5A51" w:rsidRPr="000D533E">
        <w:rPr>
          <w:i w:val="0"/>
        </w:rPr>
        <w:t xml:space="preserve"> million is $</w:t>
      </w:r>
      <w:r w:rsidR="0039085F" w:rsidRPr="000D533E">
        <w:rPr>
          <w:i w:val="0"/>
        </w:rPr>
        <w:t>3</w:t>
      </w:r>
      <w:r w:rsidR="004A4F80" w:rsidRPr="000D533E">
        <w:rPr>
          <w:i w:val="0"/>
        </w:rPr>
        <w:t xml:space="preserve"> million </w:t>
      </w:r>
      <w:r w:rsidR="00F251CA" w:rsidRPr="000D533E">
        <w:rPr>
          <w:i w:val="0"/>
        </w:rPr>
        <w:t>above</w:t>
      </w:r>
      <w:r w:rsidRPr="000D533E">
        <w:rPr>
          <w:i w:val="0"/>
        </w:rPr>
        <w:t xml:space="preserve"> the original </w:t>
      </w:r>
      <w:r w:rsidR="00F13EE7" w:rsidRPr="000D533E">
        <w:rPr>
          <w:i w:val="0"/>
        </w:rPr>
        <w:t>2012</w:t>
      </w:r>
      <w:r w:rsidR="00F251CA" w:rsidRPr="000D533E">
        <w:rPr>
          <w:i w:val="0"/>
        </w:rPr>
        <w:noBreakHyphen/>
      </w:r>
      <w:r w:rsidR="00F13EE7" w:rsidRPr="000D533E">
        <w:rPr>
          <w:i w:val="0"/>
        </w:rPr>
        <w:t xml:space="preserve">13 </w:t>
      </w:r>
      <w:r w:rsidR="004A4F80" w:rsidRPr="000D533E">
        <w:rPr>
          <w:i w:val="0"/>
        </w:rPr>
        <w:t xml:space="preserve">Budget.  </w:t>
      </w:r>
      <w:r w:rsidR="00005D94" w:rsidRPr="000D533E">
        <w:rPr>
          <w:i w:val="0"/>
        </w:rPr>
        <w:t xml:space="preserve">This is due to </w:t>
      </w:r>
      <w:r w:rsidR="0039085F" w:rsidRPr="000D533E">
        <w:rPr>
          <w:i w:val="0"/>
        </w:rPr>
        <w:t>increased revenue associated with joint ventures with ActewAGL, partially offset by lower than anticipated water consumption.</w:t>
      </w:r>
    </w:p>
    <w:p w:rsidR="000F0343" w:rsidRPr="008B04CF" w:rsidRDefault="00C07E20" w:rsidP="004A7E42">
      <w:pPr>
        <w:pStyle w:val="BodyText"/>
        <w:keepNext w:val="0"/>
      </w:pPr>
      <w:r w:rsidRPr="00097BE1">
        <w:lastRenderedPageBreak/>
        <w:t xml:space="preserve">The </w:t>
      </w:r>
      <w:r w:rsidRPr="00F251CA">
        <w:t>increase of $</w:t>
      </w:r>
      <w:r w:rsidR="00F251CA" w:rsidRPr="00F251CA">
        <w:t>11.</w:t>
      </w:r>
      <w:r w:rsidR="0039085F">
        <w:t>3</w:t>
      </w:r>
      <w:r w:rsidR="00005D94" w:rsidRPr="00F251CA">
        <w:t xml:space="preserve"> million</w:t>
      </w:r>
      <w:r w:rsidR="00005D94" w:rsidRPr="00097BE1">
        <w:t xml:space="preserve"> in the </w:t>
      </w:r>
      <w:r w:rsidR="00F13EE7">
        <w:t>2013-14</w:t>
      </w:r>
      <w:r w:rsidR="00005D94" w:rsidRPr="00097BE1">
        <w:t xml:space="preserve"> Budget from the estimated outcome </w:t>
      </w:r>
      <w:r w:rsidR="000F0343">
        <w:t>reflects a</w:t>
      </w:r>
      <w:r w:rsidR="00530B50">
        <w:t xml:space="preserve"> forecast revenue increase and a one off </w:t>
      </w:r>
      <w:r w:rsidR="000F0343" w:rsidRPr="008B04CF">
        <w:t>gain of ActewAGL’s water and sewage business in the previous year.</w:t>
      </w:r>
    </w:p>
    <w:p w:rsidR="00B64D8B" w:rsidRPr="008B04CF" w:rsidRDefault="00005D94" w:rsidP="004A7E42">
      <w:pPr>
        <w:pStyle w:val="Heading4"/>
        <w:keepNext w:val="0"/>
        <w:rPr>
          <w:b/>
        </w:rPr>
      </w:pPr>
      <w:r w:rsidRPr="008B04CF">
        <w:rPr>
          <w:iCs/>
        </w:rPr>
        <w:t>A</w:t>
      </w:r>
      <w:r w:rsidR="004A4F80" w:rsidRPr="008B04CF">
        <w:rPr>
          <w:iCs/>
        </w:rPr>
        <w:t>CTTAB</w:t>
      </w:r>
      <w:r w:rsidR="006B53F8" w:rsidRPr="008B04CF">
        <w:rPr>
          <w:iCs/>
        </w:rPr>
        <w:t xml:space="preserve"> </w:t>
      </w:r>
    </w:p>
    <w:p w:rsidR="00005D94" w:rsidRPr="008B04CF" w:rsidRDefault="00005D94" w:rsidP="004A7E42">
      <w:pPr>
        <w:pStyle w:val="BodyText"/>
        <w:keepNext w:val="0"/>
      </w:pPr>
      <w:r w:rsidRPr="008B04CF">
        <w:t xml:space="preserve">ACTTAB’s estimated </w:t>
      </w:r>
      <w:r w:rsidR="00F13EE7" w:rsidRPr="008B04CF">
        <w:t xml:space="preserve">2012-13 </w:t>
      </w:r>
      <w:r w:rsidRPr="008B04CF">
        <w:t>divi</w:t>
      </w:r>
      <w:r w:rsidR="005D5A51" w:rsidRPr="008B04CF">
        <w:t>dend of $</w:t>
      </w:r>
      <w:r w:rsidR="00F251CA" w:rsidRPr="008B04CF">
        <w:t>1.5</w:t>
      </w:r>
      <w:r w:rsidRPr="008B04CF">
        <w:t xml:space="preserve"> million is $</w:t>
      </w:r>
      <w:r w:rsidR="00F251CA" w:rsidRPr="008B04CF">
        <w:t>1.3</w:t>
      </w:r>
      <w:r w:rsidRPr="008B04CF">
        <w:t xml:space="preserve"> </w:t>
      </w:r>
      <w:r w:rsidR="004B54A8" w:rsidRPr="008B04CF">
        <w:t xml:space="preserve">million </w:t>
      </w:r>
      <w:r w:rsidR="00F251CA" w:rsidRPr="008B04CF">
        <w:t>below</w:t>
      </w:r>
      <w:r w:rsidR="004B54A8" w:rsidRPr="008B04CF">
        <w:t xml:space="preserve"> the original </w:t>
      </w:r>
      <w:r w:rsidR="00F13EE7" w:rsidRPr="008B04CF">
        <w:t>2012</w:t>
      </w:r>
      <w:r w:rsidR="00F13EE7" w:rsidRPr="008B04CF">
        <w:noBreakHyphen/>
        <w:t xml:space="preserve">13 </w:t>
      </w:r>
      <w:r w:rsidRPr="008B04CF">
        <w:t>Budget primarily due to</w:t>
      </w:r>
      <w:r w:rsidR="00F251CA" w:rsidRPr="008B04CF">
        <w:t xml:space="preserve"> a decline in retail turnover</w:t>
      </w:r>
      <w:r w:rsidR="00FA5EF9" w:rsidRPr="008B04CF">
        <w:t>.</w:t>
      </w:r>
    </w:p>
    <w:p w:rsidR="004A4F80" w:rsidRPr="008B04CF" w:rsidRDefault="004A4F80" w:rsidP="004A7E42">
      <w:pPr>
        <w:pStyle w:val="Heading4"/>
        <w:keepNext w:val="0"/>
      </w:pPr>
      <w:r w:rsidRPr="008B04CF">
        <w:t>Land Development Agency</w:t>
      </w:r>
      <w:r w:rsidR="002764FF" w:rsidRPr="008B04CF">
        <w:t xml:space="preserve"> </w:t>
      </w:r>
    </w:p>
    <w:p w:rsidR="004A4F80" w:rsidRPr="00C34AB7" w:rsidRDefault="004A4F80" w:rsidP="004A7E42">
      <w:pPr>
        <w:pStyle w:val="BodyText"/>
        <w:keepNext w:val="0"/>
      </w:pPr>
      <w:r w:rsidRPr="008B04CF">
        <w:t>The LDA’s ‘nominal’ surplus is not fully recognised as revenue in the General Government Sector Net Operating Balance, consistent with the GFS accounting principles.  In general, LDA’s nominal surplus comprises sale of assets (for example, undeveloped commercial land) and profit from development and marketing activities.  Proceeds from asset sales (including gains from land re</w:t>
      </w:r>
      <w:r w:rsidRPr="008B04CF">
        <w:noBreakHyphen/>
        <w:t>zoning) are treated as capital distributions and only profits from</w:t>
      </w:r>
      <w:r w:rsidRPr="00C34AB7">
        <w:t xml:space="preserve"> development and marketing activities are recognised as dividend revenue.</w:t>
      </w:r>
    </w:p>
    <w:p w:rsidR="002B0253" w:rsidRPr="002B0253" w:rsidRDefault="002B0253" w:rsidP="004A7E42">
      <w:pPr>
        <w:pStyle w:val="BodyText"/>
        <w:keepNext w:val="0"/>
        <w:spacing w:before="0"/>
        <w:rPr>
          <w:iCs/>
        </w:rPr>
      </w:pPr>
      <w:r>
        <w:t xml:space="preserve">The increase in </w:t>
      </w:r>
      <w:r w:rsidRPr="002B0253">
        <w:t>the dividend of $26.6 million in the 2012-13 estimated outcome compared to the original budget is mainly due to improved profitability of land releases</w:t>
      </w:r>
      <w:r w:rsidR="00E14837">
        <w:t>.  This is partially offset by</w:t>
      </w:r>
      <w:r w:rsidRPr="002B0253">
        <w:rPr>
          <w:iCs/>
        </w:rPr>
        <w:t xml:space="preserve"> a decrease in the market gain component due to reduced commercial sales. </w:t>
      </w:r>
    </w:p>
    <w:p w:rsidR="002B0253" w:rsidRPr="002B0253" w:rsidRDefault="002B0253" w:rsidP="004A7E42">
      <w:pPr>
        <w:pStyle w:val="Heading4"/>
        <w:keepNext w:val="0"/>
        <w:jc w:val="both"/>
        <w:rPr>
          <w:i w:val="0"/>
          <w:iCs/>
        </w:rPr>
      </w:pPr>
      <w:r w:rsidRPr="002B0253">
        <w:rPr>
          <w:i w:val="0"/>
          <w:iCs/>
        </w:rPr>
        <w:t>In 2013-14</w:t>
      </w:r>
      <w:r w:rsidR="00C2368E">
        <w:rPr>
          <w:i w:val="0"/>
          <w:iCs/>
        </w:rPr>
        <w:t>, the forecast dividend is $40.</w:t>
      </w:r>
      <w:r w:rsidR="00E14837">
        <w:rPr>
          <w:i w:val="0"/>
          <w:iCs/>
        </w:rPr>
        <w:t>9</w:t>
      </w:r>
      <w:r w:rsidRPr="002B0253">
        <w:rPr>
          <w:i w:val="0"/>
          <w:iCs/>
        </w:rPr>
        <w:t xml:space="preserve"> million, which is $45.</w:t>
      </w:r>
      <w:r w:rsidR="00E14837">
        <w:rPr>
          <w:i w:val="0"/>
          <w:iCs/>
        </w:rPr>
        <w:t>9</w:t>
      </w:r>
      <w:r w:rsidRPr="002B0253">
        <w:rPr>
          <w:i w:val="0"/>
          <w:iCs/>
        </w:rPr>
        <w:t xml:space="preserve"> million lower than the 2012-13 estimated outcome.  This is largely due to decreased land sales and an increase in the market gain component due to increased commercial sales. </w:t>
      </w:r>
    </w:p>
    <w:p w:rsidR="004A4F80" w:rsidRPr="00B64D8B" w:rsidRDefault="004A4F80" w:rsidP="004A7E42">
      <w:pPr>
        <w:pStyle w:val="Heading4"/>
        <w:keepNext w:val="0"/>
      </w:pPr>
      <w:r w:rsidRPr="00B64D8B">
        <w:t>Dividends from Financial Investments</w:t>
      </w:r>
      <w:r w:rsidR="00731DA6" w:rsidRPr="00B64D8B">
        <w:t xml:space="preserve"> </w:t>
      </w:r>
    </w:p>
    <w:p w:rsidR="00240D3C" w:rsidRPr="00B64D8B" w:rsidRDefault="005B03EB" w:rsidP="004A7E42">
      <w:pPr>
        <w:pStyle w:val="BodyText"/>
        <w:keepNext w:val="0"/>
        <w:rPr>
          <w:highlight w:val="yellow"/>
        </w:rPr>
      </w:pPr>
      <w:r w:rsidRPr="00B64D8B">
        <w:t>Estimated dividends of $</w:t>
      </w:r>
      <w:r w:rsidR="00731DA6" w:rsidRPr="00B64D8B">
        <w:t>66</w:t>
      </w:r>
      <w:r w:rsidR="002A1A30">
        <w:t> </w:t>
      </w:r>
      <w:r w:rsidRPr="00B64D8B">
        <w:t xml:space="preserve">million in the </w:t>
      </w:r>
      <w:r w:rsidR="008803AC" w:rsidRPr="00B64D8B">
        <w:t>2012-13</w:t>
      </w:r>
      <w:r w:rsidR="0002673C" w:rsidRPr="00B64D8B">
        <w:t xml:space="preserve"> estimated outcome </w:t>
      </w:r>
      <w:r w:rsidR="00AA781F">
        <w:t xml:space="preserve">is </w:t>
      </w:r>
      <w:r w:rsidR="00654DB4" w:rsidRPr="00B64D8B">
        <w:t xml:space="preserve">in line with </w:t>
      </w:r>
      <w:r w:rsidR="00E14837">
        <w:t xml:space="preserve">the </w:t>
      </w:r>
      <w:r w:rsidR="00654DB4" w:rsidRPr="00B64D8B">
        <w:t>original budget</w:t>
      </w:r>
      <w:r w:rsidR="00E14837">
        <w:t xml:space="preserve"> of $66.4 million</w:t>
      </w:r>
      <w:r w:rsidR="00EE3B9B" w:rsidRPr="00B64D8B">
        <w:t>.</w:t>
      </w:r>
    </w:p>
    <w:p w:rsidR="000B3623" w:rsidRPr="00B64D8B" w:rsidRDefault="00654DB4" w:rsidP="004A7E42">
      <w:pPr>
        <w:pStyle w:val="BodyText"/>
        <w:keepNext w:val="0"/>
        <w:rPr>
          <w:rFonts w:cs="Calibri"/>
        </w:rPr>
      </w:pPr>
      <w:r w:rsidRPr="00B64D8B">
        <w:t>The 2013-14 Budget increases by</w:t>
      </w:r>
      <w:r w:rsidR="005B03EB" w:rsidRPr="00B64D8B">
        <w:t xml:space="preserve"> $</w:t>
      </w:r>
      <w:r w:rsidR="00731DA6" w:rsidRPr="00B64D8B">
        <w:t>17.</w:t>
      </w:r>
      <w:r w:rsidR="00E14837">
        <w:t>5</w:t>
      </w:r>
      <w:r w:rsidR="005B03EB" w:rsidRPr="00B64D8B">
        <w:t xml:space="preserve"> million </w:t>
      </w:r>
      <w:r w:rsidRPr="00B64D8B">
        <w:t>from</w:t>
      </w:r>
      <w:r w:rsidR="005B03EB" w:rsidRPr="00B64D8B">
        <w:t xml:space="preserve"> the </w:t>
      </w:r>
      <w:r w:rsidR="008803AC" w:rsidRPr="00B64D8B">
        <w:t>2012</w:t>
      </w:r>
      <w:r w:rsidR="008803AC" w:rsidRPr="00B64D8B">
        <w:noBreakHyphen/>
        <w:t>13</w:t>
      </w:r>
      <w:r w:rsidR="004A4F80" w:rsidRPr="00B64D8B">
        <w:t xml:space="preserve"> estimated outcome.  This is mainly due </w:t>
      </w:r>
      <w:r w:rsidR="00D2301B" w:rsidRPr="00B64D8B">
        <w:t xml:space="preserve">to </w:t>
      </w:r>
      <w:r w:rsidRPr="00B64D8B">
        <w:t>the anticipated receipt of a distribution from the</w:t>
      </w:r>
      <w:r w:rsidR="00530B50">
        <w:t xml:space="preserve"> Territory’s currency</w:t>
      </w:r>
      <w:r w:rsidR="00530B50">
        <w:noBreakHyphen/>
      </w:r>
      <w:r w:rsidRPr="00B64D8B">
        <w:t xml:space="preserve">hedged international share investments, as well as growth in dividend receipts from an </w:t>
      </w:r>
      <w:r w:rsidR="00530B50">
        <w:t>expanding</w:t>
      </w:r>
      <w:r w:rsidRPr="00B64D8B">
        <w:t xml:space="preserve"> portfolio of share investments.</w:t>
      </w:r>
    </w:p>
    <w:p w:rsidR="00EB1D0B" w:rsidRDefault="004A4F80" w:rsidP="00EB1D0B">
      <w:pPr>
        <w:pStyle w:val="Heading4"/>
      </w:pPr>
      <w:r w:rsidRPr="000079AE">
        <w:t xml:space="preserve">Income Tax Equivalent </w:t>
      </w:r>
    </w:p>
    <w:p w:rsidR="00EB1D0B" w:rsidRDefault="004A4F80" w:rsidP="00530B50">
      <w:pPr>
        <w:pStyle w:val="Heading4"/>
        <w:jc w:val="both"/>
        <w:rPr>
          <w:i w:val="0"/>
        </w:rPr>
      </w:pPr>
      <w:r w:rsidRPr="00EB1D0B">
        <w:rPr>
          <w:i w:val="0"/>
        </w:rPr>
        <w:t>This represents income tax equivalent payments made by</w:t>
      </w:r>
      <w:r w:rsidR="00E14837" w:rsidRPr="00EB1D0B">
        <w:rPr>
          <w:i w:val="0"/>
        </w:rPr>
        <w:t xml:space="preserve"> the</w:t>
      </w:r>
      <w:r w:rsidRPr="00EB1D0B">
        <w:rPr>
          <w:i w:val="0"/>
        </w:rPr>
        <w:t xml:space="preserve"> </w:t>
      </w:r>
      <w:r w:rsidR="00AA781F" w:rsidRPr="00EB1D0B">
        <w:rPr>
          <w:i w:val="0"/>
        </w:rPr>
        <w:t>PTE</w:t>
      </w:r>
      <w:r w:rsidR="00E14837" w:rsidRPr="00EB1D0B">
        <w:rPr>
          <w:i w:val="0"/>
        </w:rPr>
        <w:t xml:space="preserve"> sector</w:t>
      </w:r>
      <w:r w:rsidRPr="00EB1D0B">
        <w:rPr>
          <w:i w:val="0"/>
        </w:rPr>
        <w:t xml:space="preserve">.  </w:t>
      </w:r>
      <w:r w:rsidR="005B03EB" w:rsidRPr="00EB1D0B">
        <w:rPr>
          <w:i w:val="0"/>
        </w:rPr>
        <w:t xml:space="preserve">The estimated outcome for </w:t>
      </w:r>
      <w:r w:rsidR="008803AC" w:rsidRPr="00EB1D0B">
        <w:rPr>
          <w:i w:val="0"/>
        </w:rPr>
        <w:t>2012-13</w:t>
      </w:r>
      <w:r w:rsidRPr="00EB1D0B">
        <w:rPr>
          <w:i w:val="0"/>
        </w:rPr>
        <w:t xml:space="preserve"> of $</w:t>
      </w:r>
      <w:r w:rsidR="00654E38" w:rsidRPr="00EB1D0B">
        <w:rPr>
          <w:i w:val="0"/>
        </w:rPr>
        <w:t>78.</w:t>
      </w:r>
      <w:r w:rsidR="00E14837" w:rsidRPr="00EB1D0B">
        <w:rPr>
          <w:i w:val="0"/>
        </w:rPr>
        <w:t>4</w:t>
      </w:r>
      <w:r w:rsidRPr="00EB1D0B">
        <w:rPr>
          <w:i w:val="0"/>
        </w:rPr>
        <w:t> million reflects the performance forecast from the ACT agencies that are subject to the National Tax Equivalent Regime.</w:t>
      </w:r>
      <w:r w:rsidR="00EB1D0B">
        <w:rPr>
          <w:i w:val="0"/>
        </w:rPr>
        <w:t xml:space="preserve"> </w:t>
      </w:r>
    </w:p>
    <w:p w:rsidR="00C76700" w:rsidRPr="00EB1D0B" w:rsidRDefault="00AA781F" w:rsidP="00530B50">
      <w:pPr>
        <w:pStyle w:val="Heading4"/>
        <w:jc w:val="both"/>
        <w:rPr>
          <w:i w:val="0"/>
        </w:rPr>
      </w:pPr>
      <w:r w:rsidRPr="00EB1D0B">
        <w:rPr>
          <w:i w:val="0"/>
        </w:rPr>
        <w:t>The in</w:t>
      </w:r>
      <w:r w:rsidR="00C76700" w:rsidRPr="00EB1D0B">
        <w:rPr>
          <w:i w:val="0"/>
        </w:rPr>
        <w:t>crease of $</w:t>
      </w:r>
      <w:r w:rsidR="00654E38" w:rsidRPr="00EB1D0B">
        <w:rPr>
          <w:i w:val="0"/>
        </w:rPr>
        <w:t>10.8</w:t>
      </w:r>
      <w:r w:rsidR="00C76700" w:rsidRPr="00EB1D0B">
        <w:rPr>
          <w:i w:val="0"/>
        </w:rPr>
        <w:t xml:space="preserve"> million in the </w:t>
      </w:r>
      <w:r w:rsidR="008803AC" w:rsidRPr="00EB1D0B">
        <w:rPr>
          <w:i w:val="0"/>
        </w:rPr>
        <w:t>2012-13</w:t>
      </w:r>
      <w:r w:rsidR="00C76700" w:rsidRPr="00EB1D0B">
        <w:rPr>
          <w:i w:val="0"/>
        </w:rPr>
        <w:t xml:space="preserve"> </w:t>
      </w:r>
      <w:r w:rsidR="00873424" w:rsidRPr="00EB1D0B">
        <w:rPr>
          <w:i w:val="0"/>
        </w:rPr>
        <w:t xml:space="preserve">estimated outcome </w:t>
      </w:r>
      <w:r w:rsidR="00C76700" w:rsidRPr="00EB1D0B">
        <w:rPr>
          <w:i w:val="0"/>
        </w:rPr>
        <w:t xml:space="preserve">from the </w:t>
      </w:r>
      <w:r w:rsidR="00873424" w:rsidRPr="00EB1D0B">
        <w:rPr>
          <w:i w:val="0"/>
        </w:rPr>
        <w:t>original budget</w:t>
      </w:r>
      <w:r w:rsidR="00C76700" w:rsidRPr="00EB1D0B">
        <w:rPr>
          <w:i w:val="0"/>
        </w:rPr>
        <w:t xml:space="preserve"> reflects </w:t>
      </w:r>
      <w:r w:rsidR="008A5762" w:rsidRPr="00EB1D0B">
        <w:rPr>
          <w:i w:val="0"/>
        </w:rPr>
        <w:t>additional land revenue from GST refunds related to prior year land sales and</w:t>
      </w:r>
      <w:r w:rsidR="00530B50">
        <w:rPr>
          <w:i w:val="0"/>
        </w:rPr>
        <w:t xml:space="preserve"> a</w:t>
      </w:r>
      <w:r w:rsidR="008A5762" w:rsidRPr="00EB1D0B">
        <w:rPr>
          <w:i w:val="0"/>
        </w:rPr>
        <w:t xml:space="preserve"> higher share of operating results from Joint Ventures partially offset by lower than anticipated land settlements.</w:t>
      </w:r>
    </w:p>
    <w:p w:rsidR="00530B50" w:rsidRDefault="00530B50">
      <w:pPr>
        <w:rPr>
          <w:rFonts w:ascii="Arial" w:hAnsi="Arial" w:cs="Arial"/>
          <w:b/>
          <w:bCs/>
          <w:szCs w:val="26"/>
        </w:rPr>
      </w:pPr>
      <w:r>
        <w:br w:type="page"/>
      </w:r>
    </w:p>
    <w:p w:rsidR="004A4F80" w:rsidRPr="00DC247D" w:rsidRDefault="004A4F80" w:rsidP="004A7E42">
      <w:pPr>
        <w:pStyle w:val="Heading3TopofPage"/>
      </w:pPr>
      <w:r w:rsidRPr="005C23D7">
        <w:lastRenderedPageBreak/>
        <w:t>Other Revenue</w:t>
      </w:r>
      <w:r w:rsidR="00E23490" w:rsidRPr="005C23D7">
        <w:t xml:space="preserve"> </w:t>
      </w:r>
    </w:p>
    <w:p w:rsidR="00530B50" w:rsidRDefault="004A4F80" w:rsidP="00530B50">
      <w:pPr>
        <w:pStyle w:val="BodyText"/>
        <w:rPr>
          <w:rFonts w:ascii="Arial" w:hAnsi="Arial"/>
          <w:b/>
          <w:sz w:val="20"/>
        </w:rPr>
      </w:pPr>
      <w:r w:rsidRPr="00DC247D">
        <w:t>T</w:t>
      </w:r>
      <w:r w:rsidR="00451B47">
        <w:t>able 3</w:t>
      </w:r>
      <w:r w:rsidR="00DC247D" w:rsidRPr="00DC247D">
        <w:t>.1.1</w:t>
      </w:r>
      <w:r w:rsidR="000158C6">
        <w:t>4</w:t>
      </w:r>
      <w:r w:rsidR="00DC247D" w:rsidRPr="00DC247D">
        <w:t xml:space="preserve"> provides the 201</w:t>
      </w:r>
      <w:r w:rsidR="0027012C">
        <w:t>2</w:t>
      </w:r>
      <w:r w:rsidR="00DC247D" w:rsidRPr="00DC247D">
        <w:t>-1</w:t>
      </w:r>
      <w:r w:rsidR="0027012C">
        <w:t>3</w:t>
      </w:r>
      <w:r w:rsidR="00DC247D" w:rsidRPr="00DC247D">
        <w:t xml:space="preserve"> estimated </w:t>
      </w:r>
      <w:proofErr w:type="gramStart"/>
      <w:r w:rsidR="00DC247D" w:rsidRPr="00DC247D">
        <w:t>outcome</w:t>
      </w:r>
      <w:proofErr w:type="gramEnd"/>
      <w:r w:rsidR="00DC247D" w:rsidRPr="00DC247D">
        <w:t>, the 201</w:t>
      </w:r>
      <w:r w:rsidR="0027012C">
        <w:t>3</w:t>
      </w:r>
      <w:r w:rsidR="00DC247D" w:rsidRPr="00DC247D">
        <w:t>-1</w:t>
      </w:r>
      <w:r w:rsidR="0027012C">
        <w:t>4</w:t>
      </w:r>
      <w:r w:rsidRPr="00DC247D">
        <w:t> Budget and the forward estimates for other revenue.</w:t>
      </w:r>
      <w:r w:rsidR="00530B50">
        <w:t xml:space="preserve">  The 2012</w:t>
      </w:r>
      <w:r w:rsidR="00530B50">
        <w:noBreakHyphen/>
        <w:t xml:space="preserve">13 outcome is expected to be broadly in-line with the original budget.  Other revenue is expected to increase by 8 per cent to </w:t>
      </w:r>
      <w:r w:rsidR="00C73F2C">
        <w:t>$</w:t>
      </w:r>
      <w:r w:rsidR="00530B50">
        <w:t>96.4 million in 2013</w:t>
      </w:r>
      <w:r w:rsidR="00530B50">
        <w:noBreakHyphen/>
        <w:t>14.</w:t>
      </w:r>
    </w:p>
    <w:p w:rsidR="004A4F80" w:rsidRPr="00BD38E0" w:rsidRDefault="00244FB1" w:rsidP="00BD38E0">
      <w:pPr>
        <w:pStyle w:val="TableNumber"/>
      </w:pPr>
      <w:r w:rsidRPr="00BD38E0">
        <w:t xml:space="preserve">Table </w:t>
      </w:r>
      <w:r w:rsidR="00451B47" w:rsidRPr="00BD38E0">
        <w:t>3</w:t>
      </w:r>
      <w:r w:rsidR="000158C6" w:rsidRPr="00BD38E0">
        <w:t>.1.14</w:t>
      </w:r>
    </w:p>
    <w:p w:rsidR="004A4F80" w:rsidRPr="00BD38E0" w:rsidRDefault="004A4F80" w:rsidP="00BD38E0">
      <w:pPr>
        <w:pStyle w:val="TableName"/>
      </w:pPr>
      <w:r w:rsidRPr="00BD38E0">
        <w:t>Other Revenue</w:t>
      </w:r>
    </w:p>
    <w:tbl>
      <w:tblPr>
        <w:tblW w:w="9167" w:type="dxa"/>
        <w:jc w:val="center"/>
        <w:tblLook w:val="0000"/>
      </w:tblPr>
      <w:tblGrid>
        <w:gridCol w:w="1021"/>
        <w:gridCol w:w="2217"/>
        <w:gridCol w:w="1321"/>
        <w:gridCol w:w="1011"/>
        <w:gridCol w:w="564"/>
        <w:gridCol w:w="1011"/>
        <w:gridCol w:w="1011"/>
        <w:gridCol w:w="1011"/>
      </w:tblGrid>
      <w:tr w:rsidR="008803AC" w:rsidRPr="00E2103A" w:rsidTr="008803AC">
        <w:trPr>
          <w:trHeight w:val="170"/>
          <w:jc w:val="center"/>
        </w:trPr>
        <w:tc>
          <w:tcPr>
            <w:tcW w:w="1021" w:type="dxa"/>
            <w:tcBorders>
              <w:top w:val="single" w:sz="4" w:space="0" w:color="auto"/>
            </w:tcBorders>
            <w:noWrap/>
          </w:tcPr>
          <w:p w:rsidR="008803AC" w:rsidRPr="006F7BAF" w:rsidRDefault="008803AC" w:rsidP="00905823">
            <w:pPr>
              <w:pStyle w:val="StyleTableTextRightBold-BP3Before05ptAfter05pt"/>
            </w:pPr>
            <w:r w:rsidRPr="006F7BAF">
              <w:t>2</w:t>
            </w:r>
            <w:r>
              <w:t>0</w:t>
            </w:r>
            <w:r w:rsidRPr="006F7BAF">
              <w:t>12</w:t>
            </w:r>
            <w:r>
              <w:t>-13</w:t>
            </w:r>
          </w:p>
        </w:tc>
        <w:tc>
          <w:tcPr>
            <w:tcW w:w="2217" w:type="dxa"/>
            <w:tcBorders>
              <w:top w:val="single" w:sz="4" w:space="0" w:color="auto"/>
            </w:tcBorders>
            <w:noWrap/>
          </w:tcPr>
          <w:p w:rsidR="008803AC" w:rsidRPr="006F7BAF" w:rsidRDefault="008803AC" w:rsidP="00905823">
            <w:pPr>
              <w:pStyle w:val="StyleTableTextRightBold-BP3Before05ptAfter05pt"/>
            </w:pPr>
            <w:r w:rsidRPr="006F7BAF">
              <w:t> </w:t>
            </w:r>
          </w:p>
        </w:tc>
        <w:tc>
          <w:tcPr>
            <w:tcW w:w="1321" w:type="dxa"/>
            <w:tcBorders>
              <w:top w:val="single" w:sz="4" w:space="0" w:color="auto"/>
            </w:tcBorders>
            <w:noWrap/>
          </w:tcPr>
          <w:p w:rsidR="008803AC" w:rsidRPr="006F7BAF" w:rsidRDefault="008803AC" w:rsidP="00905823">
            <w:pPr>
              <w:pStyle w:val="StyleTableTextRightBold-BP3Before05ptAfter05pt"/>
            </w:pPr>
            <w:r w:rsidRPr="006F7BAF">
              <w:t>2</w:t>
            </w:r>
            <w:r>
              <w:t>0</w:t>
            </w:r>
            <w:r w:rsidRPr="006F7BAF">
              <w:t>12</w:t>
            </w:r>
            <w:r>
              <w:t>-13</w:t>
            </w:r>
          </w:p>
        </w:tc>
        <w:tc>
          <w:tcPr>
            <w:tcW w:w="1011" w:type="dxa"/>
            <w:tcBorders>
              <w:top w:val="single" w:sz="4" w:space="0" w:color="auto"/>
            </w:tcBorders>
            <w:noWrap/>
          </w:tcPr>
          <w:p w:rsidR="008803AC" w:rsidRPr="006F7BAF" w:rsidRDefault="008803AC" w:rsidP="00905823">
            <w:pPr>
              <w:pStyle w:val="StyleTableTextRightBold-BP3Before05ptAfter05pt"/>
            </w:pPr>
            <w:r w:rsidRPr="006F7BAF">
              <w:t>2013</w:t>
            </w:r>
            <w:r>
              <w:t>-14</w:t>
            </w:r>
          </w:p>
        </w:tc>
        <w:tc>
          <w:tcPr>
            <w:tcW w:w="564" w:type="dxa"/>
            <w:tcBorders>
              <w:top w:val="single" w:sz="4" w:space="0" w:color="auto"/>
            </w:tcBorders>
            <w:noWrap/>
          </w:tcPr>
          <w:p w:rsidR="008803AC" w:rsidRPr="006F7BAF" w:rsidRDefault="008803AC" w:rsidP="00905823">
            <w:pPr>
              <w:pStyle w:val="StyleTableTextRightBold-BP3Before05ptAfter05pt"/>
            </w:pPr>
            <w:r w:rsidRPr="006F7BAF">
              <w:t> </w:t>
            </w:r>
          </w:p>
        </w:tc>
        <w:tc>
          <w:tcPr>
            <w:tcW w:w="1011" w:type="dxa"/>
            <w:tcBorders>
              <w:top w:val="single" w:sz="4" w:space="0" w:color="auto"/>
            </w:tcBorders>
            <w:noWrap/>
          </w:tcPr>
          <w:p w:rsidR="008803AC" w:rsidRPr="006F7BAF" w:rsidRDefault="008803AC" w:rsidP="00905823">
            <w:pPr>
              <w:pStyle w:val="StyleTableTextRightBold-BP3Before05ptAfter05pt"/>
            </w:pPr>
            <w:r w:rsidRPr="006F7BAF">
              <w:t>2014</w:t>
            </w:r>
            <w:r>
              <w:t>-15</w:t>
            </w:r>
          </w:p>
        </w:tc>
        <w:tc>
          <w:tcPr>
            <w:tcW w:w="1011" w:type="dxa"/>
            <w:tcBorders>
              <w:top w:val="single" w:sz="4" w:space="0" w:color="auto"/>
            </w:tcBorders>
            <w:noWrap/>
          </w:tcPr>
          <w:p w:rsidR="008803AC" w:rsidRPr="006F7BAF" w:rsidRDefault="008803AC" w:rsidP="00905823">
            <w:pPr>
              <w:pStyle w:val="StyleTableTextRightBold-BP3Before05ptAfter05pt"/>
            </w:pPr>
            <w:r w:rsidRPr="006F7BAF">
              <w:t>2015</w:t>
            </w:r>
            <w:r>
              <w:t>-16</w:t>
            </w:r>
          </w:p>
        </w:tc>
        <w:tc>
          <w:tcPr>
            <w:tcW w:w="1011" w:type="dxa"/>
            <w:tcBorders>
              <w:top w:val="single" w:sz="4" w:space="0" w:color="auto"/>
            </w:tcBorders>
            <w:noWrap/>
          </w:tcPr>
          <w:p w:rsidR="008803AC" w:rsidRPr="006F7BAF" w:rsidRDefault="008803AC" w:rsidP="00905823">
            <w:pPr>
              <w:pStyle w:val="StyleTableTextRightBold-BP3Before05ptAfter05pt"/>
            </w:pPr>
            <w:r>
              <w:t>2016-17</w:t>
            </w:r>
          </w:p>
        </w:tc>
      </w:tr>
      <w:tr w:rsidR="004A4F80" w:rsidRPr="00E2103A" w:rsidTr="008803AC">
        <w:trPr>
          <w:trHeight w:val="170"/>
          <w:jc w:val="center"/>
        </w:trPr>
        <w:tc>
          <w:tcPr>
            <w:tcW w:w="1021" w:type="dxa"/>
            <w:noWrap/>
          </w:tcPr>
          <w:p w:rsidR="004A4F80" w:rsidRPr="00E2103A" w:rsidRDefault="004A4F80" w:rsidP="00D90F82">
            <w:pPr>
              <w:pStyle w:val="StyleTableTextRightBold-BP3Before05ptAfter05pt"/>
            </w:pPr>
            <w:r w:rsidRPr="00E2103A">
              <w:t>Budget</w:t>
            </w:r>
          </w:p>
        </w:tc>
        <w:tc>
          <w:tcPr>
            <w:tcW w:w="2217" w:type="dxa"/>
            <w:noWrap/>
          </w:tcPr>
          <w:p w:rsidR="004A4F80" w:rsidRPr="00E2103A" w:rsidRDefault="004A4F80">
            <w:pPr>
              <w:pStyle w:val="TableTextRightBold-BP3"/>
              <w:spacing w:before="10" w:after="10"/>
            </w:pPr>
          </w:p>
        </w:tc>
        <w:tc>
          <w:tcPr>
            <w:tcW w:w="1321" w:type="dxa"/>
            <w:noWrap/>
          </w:tcPr>
          <w:p w:rsidR="004A4F80" w:rsidRPr="00E2103A" w:rsidRDefault="004A4F80" w:rsidP="00D90F82">
            <w:pPr>
              <w:pStyle w:val="StyleTableTextRightBold-BP3Before05ptAfter05pt"/>
            </w:pPr>
            <w:r w:rsidRPr="00E2103A">
              <w:t>Est. Outcome</w:t>
            </w:r>
          </w:p>
        </w:tc>
        <w:tc>
          <w:tcPr>
            <w:tcW w:w="1011" w:type="dxa"/>
            <w:noWrap/>
          </w:tcPr>
          <w:p w:rsidR="004A4F80" w:rsidRPr="00E2103A" w:rsidRDefault="004A4F80" w:rsidP="00D90F82">
            <w:pPr>
              <w:pStyle w:val="StyleTableTextRightBold-BP3Before05ptAfter05pt"/>
            </w:pPr>
            <w:r w:rsidRPr="00E2103A">
              <w:t>Budget</w:t>
            </w:r>
          </w:p>
        </w:tc>
        <w:tc>
          <w:tcPr>
            <w:tcW w:w="564" w:type="dxa"/>
            <w:noWrap/>
          </w:tcPr>
          <w:p w:rsidR="004A4F80" w:rsidRPr="00E2103A" w:rsidRDefault="004A4F80" w:rsidP="00D90F82">
            <w:pPr>
              <w:pStyle w:val="StyleTableTextRightBold-BP3Before05ptAfter05pt"/>
            </w:pPr>
            <w:r w:rsidRPr="00E2103A">
              <w:t>Var</w:t>
            </w:r>
          </w:p>
        </w:tc>
        <w:tc>
          <w:tcPr>
            <w:tcW w:w="1011" w:type="dxa"/>
            <w:noWrap/>
          </w:tcPr>
          <w:p w:rsidR="004A4F80" w:rsidRPr="00E2103A" w:rsidRDefault="004A4F80" w:rsidP="00D90F82">
            <w:pPr>
              <w:pStyle w:val="StyleTableTextRightBold-BP3Before05ptAfter05pt"/>
            </w:pPr>
            <w:r w:rsidRPr="00E2103A">
              <w:t>Estimate</w:t>
            </w:r>
          </w:p>
        </w:tc>
        <w:tc>
          <w:tcPr>
            <w:tcW w:w="1011" w:type="dxa"/>
            <w:noWrap/>
          </w:tcPr>
          <w:p w:rsidR="004A4F80" w:rsidRPr="00E2103A" w:rsidRDefault="004A4F80" w:rsidP="00D90F82">
            <w:pPr>
              <w:pStyle w:val="StyleTableTextRightBold-BP3Before05ptAfter05pt"/>
            </w:pPr>
            <w:r w:rsidRPr="00E2103A">
              <w:t>Estimate</w:t>
            </w:r>
          </w:p>
        </w:tc>
        <w:tc>
          <w:tcPr>
            <w:tcW w:w="1011" w:type="dxa"/>
            <w:noWrap/>
          </w:tcPr>
          <w:p w:rsidR="004A4F80" w:rsidRPr="00E2103A" w:rsidRDefault="004A4F80" w:rsidP="00D90F82">
            <w:pPr>
              <w:pStyle w:val="StyleTableTextRightBold-BP3Before05ptAfter05pt"/>
            </w:pPr>
            <w:r w:rsidRPr="00E2103A">
              <w:t>Estimate</w:t>
            </w:r>
          </w:p>
        </w:tc>
      </w:tr>
      <w:tr w:rsidR="004A4F80" w:rsidRPr="00E2103A" w:rsidTr="008803AC">
        <w:trPr>
          <w:trHeight w:val="170"/>
          <w:jc w:val="center"/>
        </w:trPr>
        <w:tc>
          <w:tcPr>
            <w:tcW w:w="1021" w:type="dxa"/>
            <w:tcBorders>
              <w:bottom w:val="single" w:sz="4" w:space="0" w:color="auto"/>
            </w:tcBorders>
            <w:noWrap/>
          </w:tcPr>
          <w:p w:rsidR="004A4F80" w:rsidRPr="00E2103A" w:rsidRDefault="004A4F80" w:rsidP="00D90F82">
            <w:pPr>
              <w:pStyle w:val="StyleTableTextRightBold-BP3Before05ptAfter05pt"/>
            </w:pPr>
            <w:r w:rsidRPr="00E2103A">
              <w:t>$'000</w:t>
            </w:r>
          </w:p>
        </w:tc>
        <w:tc>
          <w:tcPr>
            <w:tcW w:w="2217" w:type="dxa"/>
            <w:tcBorders>
              <w:bottom w:val="single" w:sz="4" w:space="0" w:color="auto"/>
            </w:tcBorders>
            <w:noWrap/>
          </w:tcPr>
          <w:p w:rsidR="004A4F80" w:rsidRPr="00E2103A" w:rsidRDefault="004A4F80" w:rsidP="00D90F82">
            <w:pPr>
              <w:pStyle w:val="StyleTableTextRightBold-BP3Before05ptAfter05pt"/>
            </w:pPr>
            <w:r w:rsidRPr="00E2103A">
              <w:t> </w:t>
            </w:r>
          </w:p>
        </w:tc>
        <w:tc>
          <w:tcPr>
            <w:tcW w:w="1321" w:type="dxa"/>
            <w:tcBorders>
              <w:bottom w:val="single" w:sz="4" w:space="0" w:color="auto"/>
            </w:tcBorders>
            <w:noWrap/>
          </w:tcPr>
          <w:p w:rsidR="004A4F80" w:rsidRPr="00E2103A" w:rsidRDefault="004A4F80" w:rsidP="00D90F82">
            <w:pPr>
              <w:pStyle w:val="StyleTableTextRightBold-BP3Before05ptAfter05pt"/>
            </w:pPr>
            <w:r w:rsidRPr="00E2103A">
              <w:t>$'000</w:t>
            </w:r>
          </w:p>
        </w:tc>
        <w:tc>
          <w:tcPr>
            <w:tcW w:w="1011" w:type="dxa"/>
            <w:tcBorders>
              <w:bottom w:val="single" w:sz="4" w:space="0" w:color="auto"/>
            </w:tcBorders>
            <w:noWrap/>
          </w:tcPr>
          <w:p w:rsidR="004A4F80" w:rsidRPr="00E2103A" w:rsidRDefault="004A4F80" w:rsidP="00D90F82">
            <w:pPr>
              <w:pStyle w:val="StyleTableTextRightBold-BP3Before05ptAfter05pt"/>
            </w:pPr>
            <w:r w:rsidRPr="00E2103A">
              <w:t>$'000</w:t>
            </w:r>
          </w:p>
        </w:tc>
        <w:tc>
          <w:tcPr>
            <w:tcW w:w="564" w:type="dxa"/>
            <w:tcBorders>
              <w:bottom w:val="single" w:sz="4" w:space="0" w:color="auto"/>
            </w:tcBorders>
            <w:noWrap/>
          </w:tcPr>
          <w:p w:rsidR="004A4F80" w:rsidRPr="00E2103A" w:rsidRDefault="004A4F80" w:rsidP="00D90F82">
            <w:pPr>
              <w:pStyle w:val="StyleTableTextRightBold-BP3Before05ptAfter05pt"/>
            </w:pPr>
            <w:r w:rsidRPr="00E2103A">
              <w:t>%</w:t>
            </w:r>
          </w:p>
        </w:tc>
        <w:tc>
          <w:tcPr>
            <w:tcW w:w="1011" w:type="dxa"/>
            <w:tcBorders>
              <w:bottom w:val="single" w:sz="4" w:space="0" w:color="auto"/>
            </w:tcBorders>
            <w:noWrap/>
          </w:tcPr>
          <w:p w:rsidR="004A4F80" w:rsidRPr="00E2103A" w:rsidRDefault="004A4F80" w:rsidP="00D90F82">
            <w:pPr>
              <w:pStyle w:val="StyleTableTextRightBold-BP3Before05ptAfter05pt"/>
            </w:pPr>
            <w:r w:rsidRPr="00E2103A">
              <w:t>$'000</w:t>
            </w:r>
          </w:p>
        </w:tc>
        <w:tc>
          <w:tcPr>
            <w:tcW w:w="1011" w:type="dxa"/>
            <w:tcBorders>
              <w:bottom w:val="single" w:sz="4" w:space="0" w:color="auto"/>
            </w:tcBorders>
            <w:noWrap/>
          </w:tcPr>
          <w:p w:rsidR="004A4F80" w:rsidRPr="00E2103A" w:rsidRDefault="004A4F80" w:rsidP="00D90F82">
            <w:pPr>
              <w:pStyle w:val="StyleTableTextRightBold-BP3Before05ptAfter05pt"/>
            </w:pPr>
            <w:r w:rsidRPr="00E2103A">
              <w:t>$'000</w:t>
            </w:r>
          </w:p>
        </w:tc>
        <w:tc>
          <w:tcPr>
            <w:tcW w:w="1011" w:type="dxa"/>
            <w:tcBorders>
              <w:bottom w:val="single" w:sz="4" w:space="0" w:color="auto"/>
            </w:tcBorders>
            <w:noWrap/>
          </w:tcPr>
          <w:p w:rsidR="004A4F80" w:rsidRPr="00E2103A" w:rsidRDefault="004A4F80" w:rsidP="00D90F82">
            <w:pPr>
              <w:pStyle w:val="StyleTableTextRightBold-BP3Before05ptAfter05pt"/>
            </w:pPr>
            <w:r w:rsidRPr="00E2103A">
              <w:t>$'000</w:t>
            </w:r>
          </w:p>
        </w:tc>
      </w:tr>
      <w:tr w:rsidR="004A4F80" w:rsidRPr="00E2103A" w:rsidTr="008803AC">
        <w:trPr>
          <w:trHeight w:val="170"/>
          <w:jc w:val="center"/>
        </w:trPr>
        <w:tc>
          <w:tcPr>
            <w:tcW w:w="1021" w:type="dxa"/>
            <w:tcBorders>
              <w:top w:val="single" w:sz="4" w:space="0" w:color="auto"/>
            </w:tcBorders>
            <w:noWrap/>
          </w:tcPr>
          <w:p w:rsidR="004A4F80" w:rsidRPr="00E2103A" w:rsidRDefault="004A4F80">
            <w:pPr>
              <w:spacing w:before="16" w:after="16"/>
              <w:jc w:val="right"/>
              <w:rPr>
                <w:b/>
                <w:sz w:val="18"/>
                <w:szCs w:val="18"/>
                <w:lang w:eastAsia="en-AU"/>
              </w:rPr>
            </w:pPr>
          </w:p>
        </w:tc>
        <w:tc>
          <w:tcPr>
            <w:tcW w:w="2217" w:type="dxa"/>
            <w:tcBorders>
              <w:top w:val="single" w:sz="4" w:space="0" w:color="auto"/>
            </w:tcBorders>
            <w:noWrap/>
          </w:tcPr>
          <w:p w:rsidR="004A4F80" w:rsidRPr="007D17CA" w:rsidRDefault="004A4F80">
            <w:pPr>
              <w:pStyle w:val="TableTextLeftBold-BP3"/>
              <w:spacing w:before="16" w:after="16"/>
            </w:pPr>
            <w:r w:rsidRPr="007D17CA">
              <w:t>Fines</w:t>
            </w:r>
          </w:p>
        </w:tc>
        <w:tc>
          <w:tcPr>
            <w:tcW w:w="1321" w:type="dxa"/>
            <w:tcBorders>
              <w:top w:val="single" w:sz="4" w:space="0" w:color="auto"/>
            </w:tcBorders>
            <w:noWrap/>
          </w:tcPr>
          <w:p w:rsidR="004A4F80" w:rsidRPr="00E2103A" w:rsidRDefault="004A4F80">
            <w:pPr>
              <w:spacing w:before="16" w:after="16"/>
              <w:jc w:val="right"/>
              <w:rPr>
                <w:b/>
                <w:sz w:val="18"/>
                <w:szCs w:val="18"/>
                <w:lang w:eastAsia="en-AU"/>
              </w:rPr>
            </w:pPr>
          </w:p>
        </w:tc>
        <w:tc>
          <w:tcPr>
            <w:tcW w:w="1011" w:type="dxa"/>
            <w:tcBorders>
              <w:top w:val="single" w:sz="4" w:space="0" w:color="auto"/>
            </w:tcBorders>
            <w:noWrap/>
          </w:tcPr>
          <w:p w:rsidR="004A4F80" w:rsidRPr="00E2103A" w:rsidRDefault="004A4F80">
            <w:pPr>
              <w:spacing w:before="16" w:after="16"/>
              <w:jc w:val="right"/>
              <w:rPr>
                <w:b/>
                <w:sz w:val="18"/>
                <w:szCs w:val="18"/>
                <w:lang w:eastAsia="en-AU"/>
              </w:rPr>
            </w:pPr>
          </w:p>
        </w:tc>
        <w:tc>
          <w:tcPr>
            <w:tcW w:w="564" w:type="dxa"/>
            <w:tcBorders>
              <w:top w:val="single" w:sz="4" w:space="0" w:color="auto"/>
            </w:tcBorders>
            <w:noWrap/>
          </w:tcPr>
          <w:p w:rsidR="004A4F80" w:rsidRPr="00E2103A" w:rsidRDefault="004A4F80">
            <w:pPr>
              <w:spacing w:before="16" w:after="16"/>
              <w:rPr>
                <w:b/>
                <w:sz w:val="18"/>
                <w:szCs w:val="18"/>
                <w:lang w:eastAsia="en-AU"/>
              </w:rPr>
            </w:pPr>
          </w:p>
        </w:tc>
        <w:tc>
          <w:tcPr>
            <w:tcW w:w="1011" w:type="dxa"/>
            <w:tcBorders>
              <w:top w:val="single" w:sz="4" w:space="0" w:color="auto"/>
            </w:tcBorders>
            <w:noWrap/>
          </w:tcPr>
          <w:p w:rsidR="004A4F80" w:rsidRPr="00E2103A" w:rsidRDefault="004A4F80">
            <w:pPr>
              <w:spacing w:before="16" w:after="16"/>
              <w:jc w:val="right"/>
              <w:rPr>
                <w:b/>
                <w:sz w:val="18"/>
                <w:szCs w:val="18"/>
                <w:lang w:eastAsia="en-AU"/>
              </w:rPr>
            </w:pPr>
          </w:p>
        </w:tc>
        <w:tc>
          <w:tcPr>
            <w:tcW w:w="1011" w:type="dxa"/>
            <w:tcBorders>
              <w:top w:val="single" w:sz="4" w:space="0" w:color="auto"/>
            </w:tcBorders>
            <w:noWrap/>
          </w:tcPr>
          <w:p w:rsidR="004A4F80" w:rsidRPr="00E2103A" w:rsidRDefault="004A4F80">
            <w:pPr>
              <w:spacing w:before="16" w:after="16"/>
              <w:jc w:val="right"/>
              <w:rPr>
                <w:b/>
                <w:sz w:val="18"/>
                <w:szCs w:val="18"/>
                <w:lang w:eastAsia="en-AU"/>
              </w:rPr>
            </w:pPr>
          </w:p>
        </w:tc>
        <w:tc>
          <w:tcPr>
            <w:tcW w:w="1011" w:type="dxa"/>
            <w:tcBorders>
              <w:top w:val="single" w:sz="4" w:space="0" w:color="auto"/>
            </w:tcBorders>
            <w:noWrap/>
          </w:tcPr>
          <w:p w:rsidR="004A4F80" w:rsidRPr="00E2103A" w:rsidRDefault="004A4F80">
            <w:pPr>
              <w:spacing w:before="16" w:after="16"/>
              <w:jc w:val="right"/>
              <w:rPr>
                <w:b/>
                <w:sz w:val="18"/>
                <w:szCs w:val="18"/>
                <w:lang w:eastAsia="en-AU"/>
              </w:rPr>
            </w:pP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18,484</w:t>
            </w:r>
          </w:p>
        </w:tc>
        <w:tc>
          <w:tcPr>
            <w:tcW w:w="2217" w:type="dxa"/>
            <w:noWrap/>
          </w:tcPr>
          <w:p w:rsidR="00523F78" w:rsidRPr="007D17CA" w:rsidRDefault="00523F78" w:rsidP="000B3623">
            <w:pPr>
              <w:pStyle w:val="TableTextLeft-BP3"/>
              <w:rPr>
                <w:szCs w:val="20"/>
              </w:rPr>
            </w:pPr>
            <w:r w:rsidRPr="007D17CA">
              <w:rPr>
                <w:szCs w:val="20"/>
              </w:rPr>
              <w:t>Traffic Infringement Fines</w:t>
            </w:r>
          </w:p>
        </w:tc>
        <w:tc>
          <w:tcPr>
            <w:tcW w:w="1321" w:type="dxa"/>
            <w:noWrap/>
          </w:tcPr>
          <w:p w:rsidR="00523F78" w:rsidRDefault="00523F78">
            <w:pPr>
              <w:jc w:val="right"/>
              <w:rPr>
                <w:rFonts w:cs="Arial"/>
                <w:sz w:val="18"/>
                <w:szCs w:val="18"/>
              </w:rPr>
            </w:pPr>
            <w:r>
              <w:rPr>
                <w:rFonts w:cs="Arial"/>
                <w:sz w:val="18"/>
                <w:szCs w:val="18"/>
              </w:rPr>
              <w:t>18,402</w:t>
            </w:r>
          </w:p>
        </w:tc>
        <w:tc>
          <w:tcPr>
            <w:tcW w:w="1011" w:type="dxa"/>
            <w:noWrap/>
          </w:tcPr>
          <w:p w:rsidR="00523F78" w:rsidRDefault="00523F78">
            <w:pPr>
              <w:jc w:val="right"/>
              <w:rPr>
                <w:rFonts w:cs="Arial"/>
                <w:sz w:val="18"/>
                <w:szCs w:val="18"/>
              </w:rPr>
            </w:pPr>
            <w:r>
              <w:rPr>
                <w:rFonts w:cs="Arial"/>
                <w:sz w:val="18"/>
                <w:szCs w:val="18"/>
              </w:rPr>
              <w:t>23,530</w:t>
            </w:r>
          </w:p>
        </w:tc>
        <w:tc>
          <w:tcPr>
            <w:tcW w:w="564" w:type="dxa"/>
            <w:noWrap/>
          </w:tcPr>
          <w:p w:rsidR="00523F78" w:rsidRDefault="00523F78">
            <w:pPr>
              <w:jc w:val="right"/>
              <w:rPr>
                <w:rFonts w:cs="Arial"/>
                <w:sz w:val="18"/>
                <w:szCs w:val="18"/>
              </w:rPr>
            </w:pPr>
            <w:r>
              <w:rPr>
                <w:rFonts w:cs="Arial"/>
                <w:sz w:val="18"/>
                <w:szCs w:val="18"/>
              </w:rPr>
              <w:t xml:space="preserve">28 </w:t>
            </w:r>
          </w:p>
        </w:tc>
        <w:tc>
          <w:tcPr>
            <w:tcW w:w="1011" w:type="dxa"/>
            <w:noWrap/>
          </w:tcPr>
          <w:p w:rsidR="00523F78" w:rsidRDefault="00523F78">
            <w:pPr>
              <w:jc w:val="right"/>
              <w:rPr>
                <w:rFonts w:cs="Arial"/>
                <w:sz w:val="18"/>
                <w:szCs w:val="18"/>
              </w:rPr>
            </w:pPr>
            <w:r>
              <w:rPr>
                <w:rFonts w:cs="Arial"/>
                <w:sz w:val="18"/>
                <w:szCs w:val="18"/>
              </w:rPr>
              <w:t>23,898</w:t>
            </w:r>
          </w:p>
        </w:tc>
        <w:tc>
          <w:tcPr>
            <w:tcW w:w="1011" w:type="dxa"/>
            <w:noWrap/>
          </w:tcPr>
          <w:p w:rsidR="00523F78" w:rsidRDefault="00523F78">
            <w:pPr>
              <w:jc w:val="right"/>
              <w:rPr>
                <w:rFonts w:cs="Arial"/>
                <w:sz w:val="18"/>
                <w:szCs w:val="18"/>
              </w:rPr>
            </w:pPr>
            <w:r>
              <w:rPr>
                <w:rFonts w:cs="Arial"/>
                <w:sz w:val="18"/>
                <w:szCs w:val="18"/>
              </w:rPr>
              <w:t>24,016</w:t>
            </w:r>
          </w:p>
        </w:tc>
        <w:tc>
          <w:tcPr>
            <w:tcW w:w="1011" w:type="dxa"/>
            <w:noWrap/>
          </w:tcPr>
          <w:p w:rsidR="00523F78" w:rsidRDefault="00523F78">
            <w:pPr>
              <w:jc w:val="right"/>
              <w:rPr>
                <w:rFonts w:cs="Arial"/>
                <w:sz w:val="18"/>
                <w:szCs w:val="18"/>
              </w:rPr>
            </w:pPr>
            <w:r>
              <w:rPr>
                <w:rFonts w:cs="Arial"/>
                <w:sz w:val="18"/>
                <w:szCs w:val="18"/>
              </w:rPr>
              <w:t>24,179</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308</w:t>
            </w:r>
          </w:p>
        </w:tc>
        <w:tc>
          <w:tcPr>
            <w:tcW w:w="2217" w:type="dxa"/>
            <w:noWrap/>
          </w:tcPr>
          <w:p w:rsidR="00523F78" w:rsidRPr="007D17CA" w:rsidRDefault="00523F78" w:rsidP="000B3623">
            <w:pPr>
              <w:pStyle w:val="TableTextLeft-BP3"/>
              <w:rPr>
                <w:szCs w:val="20"/>
              </w:rPr>
            </w:pPr>
            <w:r w:rsidRPr="007D17CA">
              <w:rPr>
                <w:szCs w:val="20"/>
              </w:rPr>
              <w:t>Court Fines</w:t>
            </w:r>
          </w:p>
        </w:tc>
        <w:tc>
          <w:tcPr>
            <w:tcW w:w="1321" w:type="dxa"/>
            <w:noWrap/>
          </w:tcPr>
          <w:p w:rsidR="00523F78" w:rsidRDefault="00523F78">
            <w:pPr>
              <w:jc w:val="right"/>
              <w:rPr>
                <w:rFonts w:cs="Arial"/>
                <w:sz w:val="18"/>
                <w:szCs w:val="18"/>
              </w:rPr>
            </w:pPr>
            <w:r>
              <w:rPr>
                <w:rFonts w:cs="Arial"/>
                <w:sz w:val="18"/>
                <w:szCs w:val="18"/>
              </w:rPr>
              <w:t>202</w:t>
            </w:r>
          </w:p>
        </w:tc>
        <w:tc>
          <w:tcPr>
            <w:tcW w:w="1011" w:type="dxa"/>
            <w:noWrap/>
          </w:tcPr>
          <w:p w:rsidR="00523F78" w:rsidRDefault="00523F78">
            <w:pPr>
              <w:jc w:val="right"/>
              <w:rPr>
                <w:rFonts w:cs="Arial"/>
                <w:sz w:val="18"/>
                <w:szCs w:val="18"/>
              </w:rPr>
            </w:pPr>
            <w:r>
              <w:rPr>
                <w:rFonts w:cs="Arial"/>
                <w:sz w:val="18"/>
                <w:szCs w:val="18"/>
              </w:rPr>
              <w:t>615</w:t>
            </w:r>
          </w:p>
        </w:tc>
        <w:tc>
          <w:tcPr>
            <w:tcW w:w="564" w:type="dxa"/>
            <w:noWrap/>
          </w:tcPr>
          <w:p w:rsidR="00523F78" w:rsidRDefault="00523F78">
            <w:pPr>
              <w:jc w:val="right"/>
              <w:rPr>
                <w:rFonts w:cs="Arial"/>
                <w:sz w:val="18"/>
                <w:szCs w:val="18"/>
              </w:rPr>
            </w:pPr>
            <w:r>
              <w:rPr>
                <w:rFonts w:cs="Arial"/>
                <w:sz w:val="18"/>
                <w:szCs w:val="18"/>
              </w:rPr>
              <w:t xml:space="preserve">204 </w:t>
            </w:r>
          </w:p>
        </w:tc>
        <w:tc>
          <w:tcPr>
            <w:tcW w:w="1011" w:type="dxa"/>
            <w:noWrap/>
          </w:tcPr>
          <w:p w:rsidR="00523F78" w:rsidRDefault="00523F78">
            <w:pPr>
              <w:jc w:val="right"/>
              <w:rPr>
                <w:rFonts w:cs="Arial"/>
                <w:sz w:val="18"/>
                <w:szCs w:val="18"/>
              </w:rPr>
            </w:pPr>
            <w:r>
              <w:rPr>
                <w:rFonts w:cs="Arial"/>
                <w:sz w:val="18"/>
                <w:szCs w:val="18"/>
              </w:rPr>
              <w:t>638</w:t>
            </w:r>
          </w:p>
        </w:tc>
        <w:tc>
          <w:tcPr>
            <w:tcW w:w="1011" w:type="dxa"/>
            <w:noWrap/>
          </w:tcPr>
          <w:p w:rsidR="00523F78" w:rsidRDefault="00523F78">
            <w:pPr>
              <w:jc w:val="right"/>
              <w:rPr>
                <w:rFonts w:cs="Arial"/>
                <w:sz w:val="18"/>
                <w:szCs w:val="18"/>
              </w:rPr>
            </w:pPr>
            <w:r>
              <w:rPr>
                <w:rFonts w:cs="Arial"/>
                <w:sz w:val="18"/>
                <w:szCs w:val="18"/>
              </w:rPr>
              <w:t>640</w:t>
            </w:r>
          </w:p>
        </w:tc>
        <w:tc>
          <w:tcPr>
            <w:tcW w:w="1011" w:type="dxa"/>
            <w:noWrap/>
          </w:tcPr>
          <w:p w:rsidR="00523F78" w:rsidRDefault="00523F78">
            <w:pPr>
              <w:jc w:val="right"/>
              <w:rPr>
                <w:rFonts w:cs="Arial"/>
                <w:sz w:val="18"/>
                <w:szCs w:val="18"/>
              </w:rPr>
            </w:pPr>
            <w:r>
              <w:rPr>
                <w:rFonts w:cs="Arial"/>
                <w:sz w:val="18"/>
                <w:szCs w:val="18"/>
              </w:rPr>
              <w:t>643</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9,175</w:t>
            </w:r>
          </w:p>
        </w:tc>
        <w:tc>
          <w:tcPr>
            <w:tcW w:w="2217" w:type="dxa"/>
            <w:noWrap/>
          </w:tcPr>
          <w:p w:rsidR="00523F78" w:rsidRPr="007D17CA" w:rsidRDefault="00523F78" w:rsidP="000B3623">
            <w:pPr>
              <w:pStyle w:val="TableTextLeft-BP3"/>
              <w:rPr>
                <w:szCs w:val="20"/>
              </w:rPr>
            </w:pPr>
            <w:r w:rsidRPr="007D17CA">
              <w:rPr>
                <w:szCs w:val="20"/>
              </w:rPr>
              <w:t>Parking Fines</w:t>
            </w:r>
          </w:p>
        </w:tc>
        <w:tc>
          <w:tcPr>
            <w:tcW w:w="1321" w:type="dxa"/>
            <w:noWrap/>
          </w:tcPr>
          <w:p w:rsidR="00523F78" w:rsidRDefault="00523F78">
            <w:pPr>
              <w:jc w:val="right"/>
              <w:rPr>
                <w:rFonts w:cs="Arial"/>
                <w:sz w:val="18"/>
                <w:szCs w:val="18"/>
              </w:rPr>
            </w:pPr>
            <w:r>
              <w:rPr>
                <w:rFonts w:cs="Arial"/>
                <w:sz w:val="18"/>
                <w:szCs w:val="18"/>
              </w:rPr>
              <w:t>9,758</w:t>
            </w:r>
          </w:p>
        </w:tc>
        <w:tc>
          <w:tcPr>
            <w:tcW w:w="1011" w:type="dxa"/>
            <w:noWrap/>
          </w:tcPr>
          <w:p w:rsidR="00523F78" w:rsidRDefault="00523F78">
            <w:pPr>
              <w:jc w:val="right"/>
              <w:rPr>
                <w:rFonts w:cs="Arial"/>
                <w:sz w:val="18"/>
                <w:szCs w:val="18"/>
              </w:rPr>
            </w:pPr>
            <w:r>
              <w:rPr>
                <w:rFonts w:cs="Arial"/>
                <w:sz w:val="18"/>
                <w:szCs w:val="18"/>
              </w:rPr>
              <w:t>10,444</w:t>
            </w:r>
          </w:p>
        </w:tc>
        <w:tc>
          <w:tcPr>
            <w:tcW w:w="564" w:type="dxa"/>
            <w:noWrap/>
          </w:tcPr>
          <w:p w:rsidR="00523F78" w:rsidRDefault="00523F78">
            <w:pPr>
              <w:jc w:val="right"/>
              <w:rPr>
                <w:rFonts w:cs="Arial"/>
                <w:sz w:val="18"/>
                <w:szCs w:val="18"/>
              </w:rPr>
            </w:pPr>
            <w:r>
              <w:rPr>
                <w:rFonts w:cs="Arial"/>
                <w:sz w:val="18"/>
                <w:szCs w:val="18"/>
              </w:rPr>
              <w:t xml:space="preserve">7 </w:t>
            </w:r>
          </w:p>
        </w:tc>
        <w:tc>
          <w:tcPr>
            <w:tcW w:w="1011" w:type="dxa"/>
            <w:noWrap/>
          </w:tcPr>
          <w:p w:rsidR="00523F78" w:rsidRDefault="00523F78">
            <w:pPr>
              <w:jc w:val="right"/>
              <w:rPr>
                <w:rFonts w:cs="Arial"/>
                <w:sz w:val="18"/>
                <w:szCs w:val="18"/>
              </w:rPr>
            </w:pPr>
            <w:r>
              <w:rPr>
                <w:rFonts w:cs="Arial"/>
                <w:sz w:val="18"/>
                <w:szCs w:val="18"/>
              </w:rPr>
              <w:t>10,498</w:t>
            </w:r>
          </w:p>
        </w:tc>
        <w:tc>
          <w:tcPr>
            <w:tcW w:w="1011" w:type="dxa"/>
            <w:noWrap/>
          </w:tcPr>
          <w:p w:rsidR="00523F78" w:rsidRDefault="00523F78">
            <w:pPr>
              <w:jc w:val="right"/>
              <w:rPr>
                <w:rFonts w:cs="Arial"/>
                <w:sz w:val="18"/>
                <w:szCs w:val="18"/>
              </w:rPr>
            </w:pPr>
            <w:r>
              <w:rPr>
                <w:rFonts w:cs="Arial"/>
                <w:sz w:val="18"/>
                <w:szCs w:val="18"/>
              </w:rPr>
              <w:t>10,551</w:t>
            </w:r>
          </w:p>
        </w:tc>
        <w:tc>
          <w:tcPr>
            <w:tcW w:w="1011" w:type="dxa"/>
            <w:noWrap/>
          </w:tcPr>
          <w:p w:rsidR="00523F78" w:rsidRDefault="00523F78">
            <w:pPr>
              <w:jc w:val="right"/>
              <w:rPr>
                <w:rFonts w:cs="Arial"/>
                <w:sz w:val="18"/>
                <w:szCs w:val="18"/>
              </w:rPr>
            </w:pPr>
            <w:r>
              <w:rPr>
                <w:rFonts w:cs="Arial"/>
                <w:sz w:val="18"/>
                <w:szCs w:val="18"/>
              </w:rPr>
              <w:t>10,606</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399</w:t>
            </w:r>
          </w:p>
        </w:tc>
        <w:tc>
          <w:tcPr>
            <w:tcW w:w="2217" w:type="dxa"/>
            <w:noWrap/>
          </w:tcPr>
          <w:p w:rsidR="00523F78" w:rsidRPr="007D17CA" w:rsidRDefault="00523F78" w:rsidP="000B3623">
            <w:pPr>
              <w:pStyle w:val="TableTextLeft-BP3"/>
              <w:rPr>
                <w:szCs w:val="20"/>
              </w:rPr>
            </w:pPr>
            <w:r w:rsidRPr="007D17CA">
              <w:rPr>
                <w:szCs w:val="20"/>
              </w:rPr>
              <w:t>Other Fines</w:t>
            </w:r>
          </w:p>
        </w:tc>
        <w:tc>
          <w:tcPr>
            <w:tcW w:w="1321" w:type="dxa"/>
            <w:noWrap/>
          </w:tcPr>
          <w:p w:rsidR="00523F78" w:rsidRDefault="00523F78">
            <w:pPr>
              <w:jc w:val="right"/>
              <w:rPr>
                <w:rFonts w:cs="Arial"/>
                <w:sz w:val="18"/>
                <w:szCs w:val="18"/>
              </w:rPr>
            </w:pPr>
            <w:r>
              <w:rPr>
                <w:rFonts w:cs="Arial"/>
                <w:sz w:val="18"/>
                <w:szCs w:val="18"/>
              </w:rPr>
              <w:t>399</w:t>
            </w:r>
          </w:p>
        </w:tc>
        <w:tc>
          <w:tcPr>
            <w:tcW w:w="1011" w:type="dxa"/>
            <w:noWrap/>
          </w:tcPr>
          <w:p w:rsidR="00523F78" w:rsidRDefault="00523F78">
            <w:pPr>
              <w:jc w:val="right"/>
              <w:rPr>
                <w:rFonts w:cs="Arial"/>
                <w:sz w:val="18"/>
                <w:szCs w:val="18"/>
              </w:rPr>
            </w:pPr>
            <w:r>
              <w:rPr>
                <w:rFonts w:cs="Arial"/>
                <w:sz w:val="18"/>
                <w:szCs w:val="18"/>
              </w:rPr>
              <w:t>410</w:t>
            </w:r>
          </w:p>
        </w:tc>
        <w:tc>
          <w:tcPr>
            <w:tcW w:w="564" w:type="dxa"/>
            <w:noWrap/>
          </w:tcPr>
          <w:p w:rsidR="00523F78" w:rsidRDefault="00523F78">
            <w:pPr>
              <w:jc w:val="right"/>
              <w:rPr>
                <w:rFonts w:cs="Arial"/>
                <w:sz w:val="18"/>
                <w:szCs w:val="18"/>
              </w:rPr>
            </w:pPr>
            <w:r>
              <w:rPr>
                <w:rFonts w:cs="Arial"/>
                <w:sz w:val="18"/>
                <w:szCs w:val="18"/>
              </w:rPr>
              <w:t xml:space="preserve">3 </w:t>
            </w:r>
          </w:p>
        </w:tc>
        <w:tc>
          <w:tcPr>
            <w:tcW w:w="1011" w:type="dxa"/>
            <w:noWrap/>
          </w:tcPr>
          <w:p w:rsidR="00523F78" w:rsidRDefault="00523F78">
            <w:pPr>
              <w:jc w:val="right"/>
              <w:rPr>
                <w:rFonts w:cs="Arial"/>
                <w:sz w:val="18"/>
                <w:szCs w:val="18"/>
              </w:rPr>
            </w:pPr>
            <w:r>
              <w:rPr>
                <w:rFonts w:cs="Arial"/>
                <w:sz w:val="18"/>
                <w:szCs w:val="18"/>
              </w:rPr>
              <w:t>417</w:t>
            </w:r>
          </w:p>
        </w:tc>
        <w:tc>
          <w:tcPr>
            <w:tcW w:w="1011" w:type="dxa"/>
            <w:noWrap/>
          </w:tcPr>
          <w:p w:rsidR="00523F78" w:rsidRDefault="00523F78">
            <w:pPr>
              <w:jc w:val="right"/>
              <w:rPr>
                <w:rFonts w:cs="Arial"/>
                <w:sz w:val="18"/>
                <w:szCs w:val="18"/>
              </w:rPr>
            </w:pPr>
            <w:r>
              <w:rPr>
                <w:rFonts w:cs="Arial"/>
                <w:sz w:val="18"/>
                <w:szCs w:val="18"/>
              </w:rPr>
              <w:t>428</w:t>
            </w:r>
          </w:p>
        </w:tc>
        <w:tc>
          <w:tcPr>
            <w:tcW w:w="1011" w:type="dxa"/>
            <w:noWrap/>
          </w:tcPr>
          <w:p w:rsidR="00523F78" w:rsidRDefault="00523F78">
            <w:pPr>
              <w:jc w:val="right"/>
              <w:rPr>
                <w:rFonts w:cs="Arial"/>
                <w:sz w:val="18"/>
                <w:szCs w:val="18"/>
              </w:rPr>
            </w:pPr>
            <w:r>
              <w:rPr>
                <w:rFonts w:cs="Arial"/>
                <w:sz w:val="18"/>
                <w:szCs w:val="18"/>
              </w:rPr>
              <w:t>436</w:t>
            </w:r>
          </w:p>
        </w:tc>
      </w:tr>
      <w:tr w:rsidR="00523F78" w:rsidRPr="00E2103A" w:rsidTr="008803AC">
        <w:trPr>
          <w:trHeight w:val="170"/>
          <w:jc w:val="center"/>
        </w:trPr>
        <w:tc>
          <w:tcPr>
            <w:tcW w:w="1021" w:type="dxa"/>
            <w:noWrap/>
          </w:tcPr>
          <w:p w:rsidR="00523F78" w:rsidRDefault="00523F78" w:rsidP="00905823">
            <w:pPr>
              <w:jc w:val="right"/>
              <w:rPr>
                <w:rFonts w:cs="Calibri"/>
                <w:b/>
                <w:bCs/>
                <w:sz w:val="18"/>
                <w:szCs w:val="18"/>
              </w:rPr>
            </w:pPr>
            <w:r>
              <w:rPr>
                <w:rFonts w:cs="Calibri"/>
                <w:b/>
                <w:bCs/>
                <w:sz w:val="18"/>
                <w:szCs w:val="18"/>
              </w:rPr>
              <w:t>28,366</w:t>
            </w:r>
          </w:p>
        </w:tc>
        <w:tc>
          <w:tcPr>
            <w:tcW w:w="2217" w:type="dxa"/>
            <w:noWrap/>
          </w:tcPr>
          <w:p w:rsidR="00523F78" w:rsidRPr="007D17CA" w:rsidRDefault="00523F78">
            <w:pPr>
              <w:pStyle w:val="TableTextLeftBold-BP3"/>
              <w:spacing w:before="16" w:after="16"/>
            </w:pPr>
            <w:r w:rsidRPr="007D17CA">
              <w:t>Total Fines</w:t>
            </w:r>
          </w:p>
        </w:tc>
        <w:tc>
          <w:tcPr>
            <w:tcW w:w="1321" w:type="dxa"/>
            <w:noWrap/>
          </w:tcPr>
          <w:p w:rsidR="00523F78" w:rsidRDefault="00523F78">
            <w:pPr>
              <w:jc w:val="right"/>
              <w:rPr>
                <w:rFonts w:cs="Arial"/>
                <w:b/>
                <w:bCs/>
                <w:sz w:val="18"/>
                <w:szCs w:val="18"/>
              </w:rPr>
            </w:pPr>
            <w:r>
              <w:rPr>
                <w:rFonts w:cs="Arial"/>
                <w:b/>
                <w:bCs/>
                <w:sz w:val="18"/>
                <w:szCs w:val="18"/>
              </w:rPr>
              <w:t>28,761</w:t>
            </w:r>
          </w:p>
        </w:tc>
        <w:tc>
          <w:tcPr>
            <w:tcW w:w="1011" w:type="dxa"/>
            <w:noWrap/>
          </w:tcPr>
          <w:p w:rsidR="00523F78" w:rsidRDefault="00523F78">
            <w:pPr>
              <w:jc w:val="right"/>
              <w:rPr>
                <w:rFonts w:cs="Arial"/>
                <w:b/>
                <w:bCs/>
                <w:sz w:val="18"/>
                <w:szCs w:val="18"/>
              </w:rPr>
            </w:pPr>
            <w:r>
              <w:rPr>
                <w:rFonts w:cs="Arial"/>
                <w:b/>
                <w:bCs/>
                <w:sz w:val="18"/>
                <w:szCs w:val="18"/>
              </w:rPr>
              <w:t>34,999</w:t>
            </w:r>
          </w:p>
        </w:tc>
        <w:tc>
          <w:tcPr>
            <w:tcW w:w="564" w:type="dxa"/>
            <w:noWrap/>
          </w:tcPr>
          <w:p w:rsidR="00523F78" w:rsidRDefault="00523F78">
            <w:pPr>
              <w:jc w:val="right"/>
              <w:rPr>
                <w:rFonts w:cs="Arial"/>
                <w:b/>
                <w:bCs/>
                <w:sz w:val="18"/>
                <w:szCs w:val="18"/>
              </w:rPr>
            </w:pPr>
            <w:r>
              <w:rPr>
                <w:rFonts w:cs="Arial"/>
                <w:b/>
                <w:bCs/>
                <w:sz w:val="18"/>
                <w:szCs w:val="18"/>
              </w:rPr>
              <w:t xml:space="preserve">22 </w:t>
            </w:r>
          </w:p>
        </w:tc>
        <w:tc>
          <w:tcPr>
            <w:tcW w:w="1011" w:type="dxa"/>
            <w:noWrap/>
          </w:tcPr>
          <w:p w:rsidR="00523F78" w:rsidRDefault="00523F78">
            <w:pPr>
              <w:jc w:val="right"/>
              <w:rPr>
                <w:rFonts w:cs="Arial"/>
                <w:b/>
                <w:bCs/>
                <w:sz w:val="18"/>
                <w:szCs w:val="18"/>
              </w:rPr>
            </w:pPr>
            <w:r>
              <w:rPr>
                <w:rFonts w:cs="Arial"/>
                <w:b/>
                <w:bCs/>
                <w:sz w:val="18"/>
                <w:szCs w:val="18"/>
              </w:rPr>
              <w:t>35,451</w:t>
            </w:r>
          </w:p>
        </w:tc>
        <w:tc>
          <w:tcPr>
            <w:tcW w:w="1011" w:type="dxa"/>
            <w:noWrap/>
          </w:tcPr>
          <w:p w:rsidR="00523F78" w:rsidRDefault="00523F78">
            <w:pPr>
              <w:jc w:val="right"/>
              <w:rPr>
                <w:rFonts w:cs="Arial"/>
                <w:b/>
                <w:bCs/>
                <w:sz w:val="18"/>
                <w:szCs w:val="18"/>
              </w:rPr>
            </w:pPr>
            <w:r>
              <w:rPr>
                <w:rFonts w:cs="Arial"/>
                <w:b/>
                <w:bCs/>
                <w:sz w:val="18"/>
                <w:szCs w:val="18"/>
              </w:rPr>
              <w:t>35,635</w:t>
            </w:r>
          </w:p>
        </w:tc>
        <w:tc>
          <w:tcPr>
            <w:tcW w:w="1011" w:type="dxa"/>
            <w:noWrap/>
          </w:tcPr>
          <w:p w:rsidR="00523F78" w:rsidRDefault="00523F78">
            <w:pPr>
              <w:jc w:val="right"/>
              <w:rPr>
                <w:rFonts w:cs="Arial"/>
                <w:b/>
                <w:bCs/>
                <w:sz w:val="18"/>
                <w:szCs w:val="18"/>
              </w:rPr>
            </w:pPr>
            <w:r>
              <w:rPr>
                <w:rFonts w:cs="Arial"/>
                <w:b/>
                <w:bCs/>
                <w:sz w:val="18"/>
                <w:szCs w:val="18"/>
              </w:rPr>
              <w:t>35,864</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p>
        </w:tc>
        <w:tc>
          <w:tcPr>
            <w:tcW w:w="2217" w:type="dxa"/>
            <w:noWrap/>
          </w:tcPr>
          <w:p w:rsidR="00523F78" w:rsidRPr="007D17CA" w:rsidRDefault="00523F78">
            <w:pPr>
              <w:pStyle w:val="TableTextLeftBold-BP3"/>
              <w:spacing w:before="16" w:after="16"/>
            </w:pPr>
            <w:r w:rsidRPr="007D17CA">
              <w:t>Other</w:t>
            </w:r>
          </w:p>
        </w:tc>
        <w:tc>
          <w:tcPr>
            <w:tcW w:w="1321" w:type="dxa"/>
            <w:noWrap/>
          </w:tcPr>
          <w:p w:rsidR="00523F78" w:rsidRDefault="00523F78">
            <w:pPr>
              <w:jc w:val="right"/>
              <w:rPr>
                <w:rFonts w:cs="Arial"/>
                <w:sz w:val="18"/>
                <w:szCs w:val="18"/>
              </w:rPr>
            </w:pPr>
          </w:p>
        </w:tc>
        <w:tc>
          <w:tcPr>
            <w:tcW w:w="1011" w:type="dxa"/>
            <w:noWrap/>
          </w:tcPr>
          <w:p w:rsidR="00523F78" w:rsidRDefault="00523F78">
            <w:pPr>
              <w:jc w:val="right"/>
              <w:rPr>
                <w:rFonts w:cs="Arial"/>
                <w:sz w:val="18"/>
                <w:szCs w:val="18"/>
              </w:rPr>
            </w:pPr>
          </w:p>
        </w:tc>
        <w:tc>
          <w:tcPr>
            <w:tcW w:w="564" w:type="dxa"/>
            <w:noWrap/>
          </w:tcPr>
          <w:p w:rsidR="00523F78" w:rsidRDefault="00523F78">
            <w:pPr>
              <w:jc w:val="right"/>
              <w:rPr>
                <w:rFonts w:cs="Arial"/>
                <w:sz w:val="18"/>
                <w:szCs w:val="18"/>
              </w:rPr>
            </w:pPr>
          </w:p>
        </w:tc>
        <w:tc>
          <w:tcPr>
            <w:tcW w:w="1011" w:type="dxa"/>
            <w:noWrap/>
          </w:tcPr>
          <w:p w:rsidR="00523F78" w:rsidRDefault="00523F78">
            <w:pPr>
              <w:jc w:val="right"/>
              <w:rPr>
                <w:rFonts w:cs="Arial"/>
                <w:sz w:val="18"/>
                <w:szCs w:val="18"/>
              </w:rPr>
            </w:pPr>
          </w:p>
        </w:tc>
        <w:tc>
          <w:tcPr>
            <w:tcW w:w="1011" w:type="dxa"/>
            <w:noWrap/>
          </w:tcPr>
          <w:p w:rsidR="00523F78" w:rsidRDefault="00523F78">
            <w:pPr>
              <w:jc w:val="right"/>
              <w:rPr>
                <w:rFonts w:cs="Arial"/>
                <w:sz w:val="18"/>
                <w:szCs w:val="18"/>
              </w:rPr>
            </w:pPr>
          </w:p>
        </w:tc>
        <w:tc>
          <w:tcPr>
            <w:tcW w:w="1011" w:type="dxa"/>
            <w:noWrap/>
          </w:tcPr>
          <w:p w:rsidR="00523F78" w:rsidRDefault="00523F78">
            <w:pPr>
              <w:jc w:val="right"/>
              <w:rPr>
                <w:rFonts w:cs="Arial"/>
                <w:sz w:val="18"/>
                <w:szCs w:val="18"/>
              </w:rPr>
            </w:pP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16,832</w:t>
            </w:r>
          </w:p>
        </w:tc>
        <w:tc>
          <w:tcPr>
            <w:tcW w:w="2217" w:type="dxa"/>
            <w:noWrap/>
          </w:tcPr>
          <w:p w:rsidR="00523F78" w:rsidRPr="007D17CA" w:rsidRDefault="00523F78" w:rsidP="000B3623">
            <w:pPr>
              <w:pStyle w:val="TableTextLeft-BP3"/>
              <w:rPr>
                <w:szCs w:val="20"/>
              </w:rPr>
            </w:pPr>
            <w:r w:rsidRPr="007D17CA">
              <w:rPr>
                <w:szCs w:val="20"/>
              </w:rPr>
              <w:t>Superannuation Contribution</w:t>
            </w:r>
          </w:p>
        </w:tc>
        <w:tc>
          <w:tcPr>
            <w:tcW w:w="1321" w:type="dxa"/>
            <w:noWrap/>
          </w:tcPr>
          <w:p w:rsidR="00523F78" w:rsidRDefault="00523F78">
            <w:pPr>
              <w:jc w:val="right"/>
              <w:rPr>
                <w:rFonts w:cs="Arial"/>
                <w:sz w:val="18"/>
                <w:szCs w:val="18"/>
              </w:rPr>
            </w:pPr>
            <w:r>
              <w:rPr>
                <w:rFonts w:cs="Arial"/>
                <w:sz w:val="18"/>
                <w:szCs w:val="18"/>
              </w:rPr>
              <w:t>14,836</w:t>
            </w:r>
          </w:p>
        </w:tc>
        <w:tc>
          <w:tcPr>
            <w:tcW w:w="1011" w:type="dxa"/>
            <w:noWrap/>
          </w:tcPr>
          <w:p w:rsidR="00523F78" w:rsidRDefault="00523F78">
            <w:pPr>
              <w:jc w:val="right"/>
              <w:rPr>
                <w:rFonts w:cs="Arial"/>
                <w:sz w:val="18"/>
                <w:szCs w:val="18"/>
              </w:rPr>
            </w:pPr>
            <w:r>
              <w:rPr>
                <w:rFonts w:cs="Arial"/>
                <w:sz w:val="18"/>
                <w:szCs w:val="18"/>
              </w:rPr>
              <w:t>14,224</w:t>
            </w:r>
          </w:p>
        </w:tc>
        <w:tc>
          <w:tcPr>
            <w:tcW w:w="564" w:type="dxa"/>
            <w:noWrap/>
          </w:tcPr>
          <w:p w:rsidR="00523F78" w:rsidRDefault="00523F78">
            <w:pPr>
              <w:jc w:val="right"/>
              <w:rPr>
                <w:rFonts w:cs="Arial"/>
                <w:sz w:val="18"/>
                <w:szCs w:val="18"/>
              </w:rPr>
            </w:pPr>
            <w:r>
              <w:rPr>
                <w:rFonts w:cs="Arial"/>
                <w:sz w:val="18"/>
                <w:szCs w:val="18"/>
              </w:rPr>
              <w:t xml:space="preserve">-4 </w:t>
            </w:r>
          </w:p>
        </w:tc>
        <w:tc>
          <w:tcPr>
            <w:tcW w:w="1011" w:type="dxa"/>
            <w:noWrap/>
          </w:tcPr>
          <w:p w:rsidR="00523F78" w:rsidRDefault="00523F78">
            <w:pPr>
              <w:jc w:val="right"/>
              <w:rPr>
                <w:rFonts w:cs="Arial"/>
                <w:sz w:val="18"/>
                <w:szCs w:val="18"/>
              </w:rPr>
            </w:pPr>
            <w:r>
              <w:rPr>
                <w:rFonts w:cs="Arial"/>
                <w:sz w:val="18"/>
                <w:szCs w:val="18"/>
              </w:rPr>
              <w:t>13,541</w:t>
            </w:r>
          </w:p>
        </w:tc>
        <w:tc>
          <w:tcPr>
            <w:tcW w:w="1011" w:type="dxa"/>
            <w:noWrap/>
          </w:tcPr>
          <w:p w:rsidR="00523F78" w:rsidRDefault="00523F78">
            <w:pPr>
              <w:jc w:val="right"/>
              <w:rPr>
                <w:rFonts w:cs="Arial"/>
                <w:sz w:val="18"/>
                <w:szCs w:val="18"/>
              </w:rPr>
            </w:pPr>
            <w:r>
              <w:rPr>
                <w:rFonts w:cs="Arial"/>
                <w:sz w:val="18"/>
                <w:szCs w:val="18"/>
              </w:rPr>
              <w:t>12,893</w:t>
            </w:r>
          </w:p>
        </w:tc>
        <w:tc>
          <w:tcPr>
            <w:tcW w:w="1011" w:type="dxa"/>
            <w:noWrap/>
          </w:tcPr>
          <w:p w:rsidR="00523F78" w:rsidRDefault="00523F78">
            <w:pPr>
              <w:jc w:val="right"/>
              <w:rPr>
                <w:rFonts w:cs="Arial"/>
                <w:sz w:val="18"/>
                <w:szCs w:val="18"/>
              </w:rPr>
            </w:pPr>
            <w:r>
              <w:rPr>
                <w:rFonts w:cs="Arial"/>
                <w:sz w:val="18"/>
                <w:szCs w:val="18"/>
              </w:rPr>
              <w:t>12,317</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10,043</w:t>
            </w:r>
          </w:p>
        </w:tc>
        <w:tc>
          <w:tcPr>
            <w:tcW w:w="2217" w:type="dxa"/>
            <w:noWrap/>
          </w:tcPr>
          <w:p w:rsidR="00523F78" w:rsidRPr="007D17CA" w:rsidRDefault="00523F78" w:rsidP="000B3623">
            <w:pPr>
              <w:pStyle w:val="TableTextLeft-BP3"/>
              <w:rPr>
                <w:szCs w:val="20"/>
              </w:rPr>
            </w:pPr>
            <w:r w:rsidRPr="007D17CA">
              <w:rPr>
                <w:szCs w:val="20"/>
              </w:rPr>
              <w:t>Rents and Commutation</w:t>
            </w:r>
          </w:p>
        </w:tc>
        <w:tc>
          <w:tcPr>
            <w:tcW w:w="1321" w:type="dxa"/>
            <w:noWrap/>
          </w:tcPr>
          <w:p w:rsidR="00523F78" w:rsidRDefault="00523F78">
            <w:pPr>
              <w:jc w:val="right"/>
              <w:rPr>
                <w:rFonts w:cs="Arial"/>
                <w:sz w:val="18"/>
                <w:szCs w:val="18"/>
              </w:rPr>
            </w:pPr>
            <w:r>
              <w:rPr>
                <w:rFonts w:cs="Arial"/>
                <w:sz w:val="18"/>
                <w:szCs w:val="18"/>
              </w:rPr>
              <w:t>12,384</w:t>
            </w:r>
          </w:p>
        </w:tc>
        <w:tc>
          <w:tcPr>
            <w:tcW w:w="1011" w:type="dxa"/>
            <w:noWrap/>
          </w:tcPr>
          <w:p w:rsidR="00523F78" w:rsidRDefault="00523F78">
            <w:pPr>
              <w:jc w:val="right"/>
              <w:rPr>
                <w:rFonts w:cs="Arial"/>
                <w:sz w:val="18"/>
                <w:szCs w:val="18"/>
              </w:rPr>
            </w:pPr>
            <w:r>
              <w:rPr>
                <w:rFonts w:cs="Arial"/>
                <w:sz w:val="18"/>
                <w:szCs w:val="18"/>
              </w:rPr>
              <w:t>14,339</w:t>
            </w:r>
          </w:p>
        </w:tc>
        <w:tc>
          <w:tcPr>
            <w:tcW w:w="564" w:type="dxa"/>
            <w:noWrap/>
          </w:tcPr>
          <w:p w:rsidR="00523F78" w:rsidRDefault="00523F78">
            <w:pPr>
              <w:jc w:val="right"/>
              <w:rPr>
                <w:rFonts w:cs="Arial"/>
                <w:sz w:val="18"/>
                <w:szCs w:val="18"/>
              </w:rPr>
            </w:pPr>
            <w:r>
              <w:rPr>
                <w:rFonts w:cs="Arial"/>
                <w:sz w:val="18"/>
                <w:szCs w:val="18"/>
              </w:rPr>
              <w:t xml:space="preserve">16 </w:t>
            </w:r>
          </w:p>
        </w:tc>
        <w:tc>
          <w:tcPr>
            <w:tcW w:w="1011" w:type="dxa"/>
            <w:noWrap/>
          </w:tcPr>
          <w:p w:rsidR="00523F78" w:rsidRDefault="00523F78">
            <w:pPr>
              <w:jc w:val="right"/>
              <w:rPr>
                <w:rFonts w:cs="Arial"/>
                <w:sz w:val="18"/>
                <w:szCs w:val="18"/>
              </w:rPr>
            </w:pPr>
            <w:r>
              <w:rPr>
                <w:rFonts w:cs="Arial"/>
                <w:sz w:val="18"/>
                <w:szCs w:val="18"/>
              </w:rPr>
              <w:t>15,665</w:t>
            </w:r>
          </w:p>
        </w:tc>
        <w:tc>
          <w:tcPr>
            <w:tcW w:w="1011" w:type="dxa"/>
            <w:noWrap/>
          </w:tcPr>
          <w:p w:rsidR="00523F78" w:rsidRDefault="00523F78">
            <w:pPr>
              <w:jc w:val="right"/>
              <w:rPr>
                <w:rFonts w:cs="Arial"/>
                <w:sz w:val="18"/>
                <w:szCs w:val="18"/>
              </w:rPr>
            </w:pPr>
            <w:r>
              <w:rPr>
                <w:rFonts w:cs="Arial"/>
                <w:sz w:val="18"/>
                <w:szCs w:val="18"/>
              </w:rPr>
              <w:t>16,537</w:t>
            </w:r>
          </w:p>
        </w:tc>
        <w:tc>
          <w:tcPr>
            <w:tcW w:w="1011" w:type="dxa"/>
            <w:noWrap/>
          </w:tcPr>
          <w:p w:rsidR="00523F78" w:rsidRDefault="00523F78">
            <w:pPr>
              <w:jc w:val="right"/>
              <w:rPr>
                <w:rFonts w:cs="Arial"/>
                <w:sz w:val="18"/>
                <w:szCs w:val="18"/>
              </w:rPr>
            </w:pPr>
            <w:r>
              <w:rPr>
                <w:rFonts w:cs="Arial"/>
                <w:sz w:val="18"/>
                <w:szCs w:val="18"/>
              </w:rPr>
              <w:t>16,813</w:t>
            </w:r>
          </w:p>
        </w:tc>
      </w:tr>
      <w:tr w:rsidR="00523F78" w:rsidRPr="00E2103A" w:rsidTr="008803AC">
        <w:trPr>
          <w:trHeight w:val="170"/>
          <w:jc w:val="center"/>
        </w:trPr>
        <w:tc>
          <w:tcPr>
            <w:tcW w:w="1021" w:type="dxa"/>
            <w:noWrap/>
          </w:tcPr>
          <w:p w:rsidR="00523F78" w:rsidRDefault="00523F78" w:rsidP="00905823">
            <w:pPr>
              <w:jc w:val="right"/>
              <w:rPr>
                <w:rFonts w:cs="Calibri"/>
                <w:sz w:val="18"/>
                <w:szCs w:val="18"/>
              </w:rPr>
            </w:pPr>
            <w:r>
              <w:rPr>
                <w:rFonts w:cs="Calibri"/>
                <w:sz w:val="18"/>
                <w:szCs w:val="18"/>
              </w:rPr>
              <w:t>18,693</w:t>
            </w:r>
          </w:p>
        </w:tc>
        <w:tc>
          <w:tcPr>
            <w:tcW w:w="2217" w:type="dxa"/>
            <w:noWrap/>
          </w:tcPr>
          <w:p w:rsidR="00523F78" w:rsidRPr="007D17CA" w:rsidRDefault="00523F78" w:rsidP="000B3623">
            <w:pPr>
              <w:pStyle w:val="TableTextLeft-BP3"/>
              <w:rPr>
                <w:szCs w:val="20"/>
              </w:rPr>
            </w:pPr>
            <w:r w:rsidRPr="007D17CA">
              <w:rPr>
                <w:szCs w:val="20"/>
              </w:rPr>
              <w:t>Contributions</w:t>
            </w:r>
          </w:p>
        </w:tc>
        <w:tc>
          <w:tcPr>
            <w:tcW w:w="1321" w:type="dxa"/>
            <w:noWrap/>
          </w:tcPr>
          <w:p w:rsidR="00523F78" w:rsidRDefault="00523F78">
            <w:pPr>
              <w:jc w:val="right"/>
              <w:rPr>
                <w:rFonts w:cs="Arial"/>
                <w:sz w:val="18"/>
                <w:szCs w:val="18"/>
              </w:rPr>
            </w:pPr>
            <w:r>
              <w:rPr>
                <w:rFonts w:cs="Arial"/>
                <w:sz w:val="18"/>
                <w:szCs w:val="18"/>
              </w:rPr>
              <w:t>18,693</w:t>
            </w:r>
          </w:p>
        </w:tc>
        <w:tc>
          <w:tcPr>
            <w:tcW w:w="1011" w:type="dxa"/>
            <w:noWrap/>
          </w:tcPr>
          <w:p w:rsidR="00523F78" w:rsidRDefault="00523F78">
            <w:pPr>
              <w:jc w:val="right"/>
              <w:rPr>
                <w:rFonts w:cs="Arial"/>
                <w:sz w:val="18"/>
                <w:szCs w:val="18"/>
              </w:rPr>
            </w:pPr>
            <w:r>
              <w:rPr>
                <w:rFonts w:cs="Arial"/>
                <w:sz w:val="18"/>
                <w:szCs w:val="18"/>
              </w:rPr>
              <w:t>18,670</w:t>
            </w:r>
          </w:p>
        </w:tc>
        <w:tc>
          <w:tcPr>
            <w:tcW w:w="564" w:type="dxa"/>
            <w:noWrap/>
          </w:tcPr>
          <w:p w:rsidR="00523F78" w:rsidRDefault="00523F78">
            <w:pPr>
              <w:jc w:val="right"/>
              <w:rPr>
                <w:rFonts w:cs="Arial"/>
                <w:sz w:val="18"/>
                <w:szCs w:val="18"/>
              </w:rPr>
            </w:pPr>
            <w:r>
              <w:rPr>
                <w:rFonts w:cs="Arial"/>
                <w:sz w:val="18"/>
                <w:szCs w:val="18"/>
              </w:rPr>
              <w:t xml:space="preserve">.. </w:t>
            </w:r>
          </w:p>
        </w:tc>
        <w:tc>
          <w:tcPr>
            <w:tcW w:w="1011" w:type="dxa"/>
            <w:noWrap/>
          </w:tcPr>
          <w:p w:rsidR="00523F78" w:rsidRDefault="00523F78">
            <w:pPr>
              <w:jc w:val="right"/>
              <w:rPr>
                <w:rFonts w:cs="Arial"/>
                <w:sz w:val="18"/>
                <w:szCs w:val="18"/>
              </w:rPr>
            </w:pPr>
            <w:r>
              <w:rPr>
                <w:rFonts w:cs="Arial"/>
                <w:sz w:val="18"/>
                <w:szCs w:val="18"/>
              </w:rPr>
              <w:t>18,647</w:t>
            </w:r>
          </w:p>
        </w:tc>
        <w:tc>
          <w:tcPr>
            <w:tcW w:w="1011" w:type="dxa"/>
            <w:noWrap/>
          </w:tcPr>
          <w:p w:rsidR="00523F78" w:rsidRDefault="00523F78">
            <w:pPr>
              <w:jc w:val="right"/>
              <w:rPr>
                <w:rFonts w:cs="Arial"/>
                <w:sz w:val="18"/>
                <w:szCs w:val="18"/>
              </w:rPr>
            </w:pPr>
            <w:r>
              <w:rPr>
                <w:rFonts w:cs="Arial"/>
                <w:sz w:val="18"/>
                <w:szCs w:val="18"/>
              </w:rPr>
              <w:t>18,647</w:t>
            </w:r>
          </w:p>
        </w:tc>
        <w:tc>
          <w:tcPr>
            <w:tcW w:w="1011" w:type="dxa"/>
            <w:noWrap/>
          </w:tcPr>
          <w:p w:rsidR="00523F78" w:rsidRDefault="00523F78">
            <w:pPr>
              <w:jc w:val="right"/>
              <w:rPr>
                <w:rFonts w:cs="Arial"/>
                <w:sz w:val="18"/>
                <w:szCs w:val="18"/>
              </w:rPr>
            </w:pPr>
            <w:r>
              <w:rPr>
                <w:rFonts w:cs="Arial"/>
                <w:sz w:val="18"/>
                <w:szCs w:val="18"/>
              </w:rPr>
              <w:t>18,647</w:t>
            </w:r>
          </w:p>
        </w:tc>
      </w:tr>
      <w:tr w:rsidR="00B6432F" w:rsidRPr="00E2103A" w:rsidTr="008803AC">
        <w:trPr>
          <w:trHeight w:val="170"/>
          <w:jc w:val="center"/>
        </w:trPr>
        <w:tc>
          <w:tcPr>
            <w:tcW w:w="1021" w:type="dxa"/>
            <w:noWrap/>
          </w:tcPr>
          <w:p w:rsidR="00B6432F" w:rsidRDefault="00B6432F" w:rsidP="00905823">
            <w:pPr>
              <w:jc w:val="right"/>
              <w:rPr>
                <w:rFonts w:cs="Calibri"/>
                <w:sz w:val="18"/>
                <w:szCs w:val="18"/>
              </w:rPr>
            </w:pPr>
            <w:r>
              <w:rPr>
                <w:rFonts w:cs="Calibri"/>
                <w:sz w:val="18"/>
                <w:szCs w:val="18"/>
              </w:rPr>
              <w:t>40,831</w:t>
            </w:r>
          </w:p>
        </w:tc>
        <w:tc>
          <w:tcPr>
            <w:tcW w:w="2217" w:type="dxa"/>
            <w:noWrap/>
          </w:tcPr>
          <w:p w:rsidR="00B6432F" w:rsidRPr="007D17CA" w:rsidRDefault="00B6432F" w:rsidP="000B3623">
            <w:pPr>
              <w:pStyle w:val="TableTextLeft-BP3"/>
              <w:rPr>
                <w:szCs w:val="20"/>
              </w:rPr>
            </w:pPr>
            <w:r w:rsidRPr="007D17CA">
              <w:rPr>
                <w:szCs w:val="20"/>
              </w:rPr>
              <w:t>Other Miscellaneous Revenue</w:t>
            </w:r>
          </w:p>
        </w:tc>
        <w:tc>
          <w:tcPr>
            <w:tcW w:w="1321" w:type="dxa"/>
            <w:noWrap/>
          </w:tcPr>
          <w:p w:rsidR="00B6432F" w:rsidRDefault="00B6432F">
            <w:pPr>
              <w:jc w:val="right"/>
              <w:rPr>
                <w:rFonts w:cs="Arial"/>
                <w:sz w:val="18"/>
                <w:szCs w:val="18"/>
              </w:rPr>
            </w:pPr>
            <w:r>
              <w:rPr>
                <w:rFonts w:cs="Arial"/>
                <w:sz w:val="18"/>
                <w:szCs w:val="18"/>
              </w:rPr>
              <w:t>43,138</w:t>
            </w:r>
          </w:p>
        </w:tc>
        <w:tc>
          <w:tcPr>
            <w:tcW w:w="1011" w:type="dxa"/>
            <w:noWrap/>
          </w:tcPr>
          <w:p w:rsidR="00B6432F" w:rsidRDefault="00B6432F">
            <w:pPr>
              <w:jc w:val="right"/>
              <w:rPr>
                <w:rFonts w:cs="Arial"/>
                <w:sz w:val="18"/>
                <w:szCs w:val="18"/>
              </w:rPr>
            </w:pPr>
            <w:r>
              <w:rPr>
                <w:rFonts w:cs="Arial"/>
                <w:sz w:val="18"/>
                <w:szCs w:val="18"/>
              </w:rPr>
              <w:t>49,189</w:t>
            </w:r>
          </w:p>
        </w:tc>
        <w:tc>
          <w:tcPr>
            <w:tcW w:w="564" w:type="dxa"/>
            <w:noWrap/>
          </w:tcPr>
          <w:p w:rsidR="00B6432F" w:rsidRDefault="00B6432F">
            <w:pPr>
              <w:jc w:val="right"/>
              <w:rPr>
                <w:rFonts w:cs="Arial"/>
                <w:sz w:val="18"/>
                <w:szCs w:val="18"/>
              </w:rPr>
            </w:pPr>
            <w:r>
              <w:rPr>
                <w:rFonts w:cs="Arial"/>
                <w:sz w:val="18"/>
                <w:szCs w:val="18"/>
              </w:rPr>
              <w:t xml:space="preserve">14 </w:t>
            </w:r>
          </w:p>
        </w:tc>
        <w:tc>
          <w:tcPr>
            <w:tcW w:w="1011" w:type="dxa"/>
            <w:noWrap/>
          </w:tcPr>
          <w:p w:rsidR="00B6432F" w:rsidRDefault="00B6432F">
            <w:pPr>
              <w:jc w:val="right"/>
              <w:rPr>
                <w:rFonts w:cs="Arial"/>
                <w:sz w:val="18"/>
                <w:szCs w:val="18"/>
              </w:rPr>
            </w:pPr>
            <w:r>
              <w:rPr>
                <w:rFonts w:cs="Arial"/>
                <w:sz w:val="18"/>
                <w:szCs w:val="18"/>
              </w:rPr>
              <w:t>49,416</w:t>
            </w:r>
          </w:p>
        </w:tc>
        <w:tc>
          <w:tcPr>
            <w:tcW w:w="1011" w:type="dxa"/>
            <w:noWrap/>
          </w:tcPr>
          <w:p w:rsidR="00B6432F" w:rsidRDefault="00B6432F">
            <w:pPr>
              <w:jc w:val="right"/>
              <w:rPr>
                <w:rFonts w:cs="Arial"/>
                <w:sz w:val="18"/>
                <w:szCs w:val="18"/>
              </w:rPr>
            </w:pPr>
            <w:r>
              <w:rPr>
                <w:rFonts w:cs="Arial"/>
                <w:sz w:val="18"/>
                <w:szCs w:val="18"/>
              </w:rPr>
              <w:t>50,764</w:t>
            </w:r>
          </w:p>
        </w:tc>
        <w:tc>
          <w:tcPr>
            <w:tcW w:w="1011" w:type="dxa"/>
            <w:noWrap/>
          </w:tcPr>
          <w:p w:rsidR="00B6432F" w:rsidRDefault="00B6432F">
            <w:pPr>
              <w:jc w:val="right"/>
              <w:rPr>
                <w:rFonts w:cs="Arial"/>
                <w:sz w:val="18"/>
                <w:szCs w:val="18"/>
              </w:rPr>
            </w:pPr>
            <w:r>
              <w:rPr>
                <w:rFonts w:cs="Arial"/>
                <w:sz w:val="18"/>
                <w:szCs w:val="18"/>
              </w:rPr>
              <w:t>52,544</w:t>
            </w:r>
          </w:p>
        </w:tc>
      </w:tr>
      <w:tr w:rsidR="00B6432F" w:rsidRPr="00E2103A" w:rsidTr="008803AC">
        <w:trPr>
          <w:trHeight w:val="170"/>
          <w:jc w:val="center"/>
        </w:trPr>
        <w:tc>
          <w:tcPr>
            <w:tcW w:w="1021" w:type="dxa"/>
            <w:tcBorders>
              <w:bottom w:val="single" w:sz="4" w:space="0" w:color="auto"/>
            </w:tcBorders>
            <w:noWrap/>
          </w:tcPr>
          <w:p w:rsidR="00B6432F" w:rsidRDefault="00B6432F" w:rsidP="00905823">
            <w:pPr>
              <w:jc w:val="right"/>
              <w:rPr>
                <w:rFonts w:cs="Calibri"/>
                <w:b/>
                <w:bCs/>
                <w:sz w:val="18"/>
                <w:szCs w:val="18"/>
              </w:rPr>
            </w:pPr>
            <w:r>
              <w:rPr>
                <w:rFonts w:cs="Calibri"/>
                <w:b/>
                <w:bCs/>
                <w:sz w:val="18"/>
                <w:szCs w:val="18"/>
              </w:rPr>
              <w:t>86,399</w:t>
            </w:r>
          </w:p>
        </w:tc>
        <w:tc>
          <w:tcPr>
            <w:tcW w:w="2217" w:type="dxa"/>
            <w:tcBorders>
              <w:bottom w:val="single" w:sz="4" w:space="0" w:color="auto"/>
            </w:tcBorders>
            <w:noWrap/>
          </w:tcPr>
          <w:p w:rsidR="00B6432F" w:rsidRPr="007D17CA" w:rsidRDefault="00B6432F">
            <w:pPr>
              <w:pStyle w:val="TableTextLeftBold-BP3"/>
              <w:spacing w:before="16" w:after="16"/>
            </w:pPr>
            <w:r w:rsidRPr="007D17CA">
              <w:t>Total Other</w:t>
            </w:r>
          </w:p>
        </w:tc>
        <w:tc>
          <w:tcPr>
            <w:tcW w:w="1321" w:type="dxa"/>
            <w:tcBorders>
              <w:bottom w:val="single" w:sz="4" w:space="0" w:color="auto"/>
            </w:tcBorders>
            <w:noWrap/>
          </w:tcPr>
          <w:p w:rsidR="00B6432F" w:rsidRDefault="00B6432F">
            <w:pPr>
              <w:jc w:val="right"/>
              <w:rPr>
                <w:rFonts w:cs="Arial"/>
                <w:b/>
                <w:bCs/>
                <w:sz w:val="18"/>
                <w:szCs w:val="18"/>
              </w:rPr>
            </w:pPr>
            <w:r>
              <w:rPr>
                <w:rFonts w:cs="Arial"/>
                <w:b/>
                <w:bCs/>
                <w:sz w:val="18"/>
                <w:szCs w:val="18"/>
              </w:rPr>
              <w:t>89,051</w:t>
            </w:r>
          </w:p>
        </w:tc>
        <w:tc>
          <w:tcPr>
            <w:tcW w:w="1011" w:type="dxa"/>
            <w:tcBorders>
              <w:bottom w:val="single" w:sz="4" w:space="0" w:color="auto"/>
            </w:tcBorders>
            <w:noWrap/>
          </w:tcPr>
          <w:p w:rsidR="00B6432F" w:rsidRDefault="00B6432F">
            <w:pPr>
              <w:jc w:val="right"/>
              <w:rPr>
                <w:rFonts w:cs="Arial"/>
                <w:b/>
                <w:bCs/>
                <w:sz w:val="18"/>
                <w:szCs w:val="18"/>
              </w:rPr>
            </w:pPr>
            <w:r>
              <w:rPr>
                <w:rFonts w:cs="Arial"/>
                <w:b/>
                <w:bCs/>
                <w:sz w:val="18"/>
                <w:szCs w:val="18"/>
              </w:rPr>
              <w:t>96,422</w:t>
            </w:r>
          </w:p>
        </w:tc>
        <w:tc>
          <w:tcPr>
            <w:tcW w:w="564" w:type="dxa"/>
            <w:tcBorders>
              <w:bottom w:val="single" w:sz="4" w:space="0" w:color="auto"/>
            </w:tcBorders>
            <w:noWrap/>
          </w:tcPr>
          <w:p w:rsidR="00B6432F" w:rsidRDefault="00B6432F">
            <w:pPr>
              <w:jc w:val="right"/>
              <w:rPr>
                <w:rFonts w:cs="Arial"/>
                <w:b/>
                <w:bCs/>
                <w:sz w:val="18"/>
                <w:szCs w:val="18"/>
              </w:rPr>
            </w:pPr>
            <w:r>
              <w:rPr>
                <w:rFonts w:cs="Arial"/>
                <w:b/>
                <w:bCs/>
                <w:sz w:val="18"/>
                <w:szCs w:val="18"/>
              </w:rPr>
              <w:t xml:space="preserve">8 </w:t>
            </w:r>
          </w:p>
        </w:tc>
        <w:tc>
          <w:tcPr>
            <w:tcW w:w="1011" w:type="dxa"/>
            <w:tcBorders>
              <w:bottom w:val="single" w:sz="4" w:space="0" w:color="auto"/>
            </w:tcBorders>
            <w:noWrap/>
          </w:tcPr>
          <w:p w:rsidR="00B6432F" w:rsidRDefault="00B6432F">
            <w:pPr>
              <w:jc w:val="right"/>
              <w:rPr>
                <w:rFonts w:cs="Arial"/>
                <w:b/>
                <w:bCs/>
                <w:sz w:val="18"/>
                <w:szCs w:val="18"/>
              </w:rPr>
            </w:pPr>
            <w:r>
              <w:rPr>
                <w:rFonts w:cs="Arial"/>
                <w:b/>
                <w:bCs/>
                <w:sz w:val="18"/>
                <w:szCs w:val="18"/>
              </w:rPr>
              <w:t>97,269</w:t>
            </w:r>
          </w:p>
        </w:tc>
        <w:tc>
          <w:tcPr>
            <w:tcW w:w="1011" w:type="dxa"/>
            <w:tcBorders>
              <w:bottom w:val="single" w:sz="4" w:space="0" w:color="auto"/>
            </w:tcBorders>
            <w:noWrap/>
          </w:tcPr>
          <w:p w:rsidR="00B6432F" w:rsidRDefault="00B6432F">
            <w:pPr>
              <w:jc w:val="right"/>
              <w:rPr>
                <w:rFonts w:cs="Arial"/>
                <w:b/>
                <w:bCs/>
                <w:sz w:val="18"/>
                <w:szCs w:val="18"/>
              </w:rPr>
            </w:pPr>
            <w:r>
              <w:rPr>
                <w:rFonts w:cs="Arial"/>
                <w:b/>
                <w:bCs/>
                <w:sz w:val="18"/>
                <w:szCs w:val="18"/>
              </w:rPr>
              <w:t>98,841</w:t>
            </w:r>
          </w:p>
        </w:tc>
        <w:tc>
          <w:tcPr>
            <w:tcW w:w="1011" w:type="dxa"/>
            <w:tcBorders>
              <w:bottom w:val="single" w:sz="4" w:space="0" w:color="auto"/>
            </w:tcBorders>
            <w:noWrap/>
          </w:tcPr>
          <w:p w:rsidR="00B6432F" w:rsidRDefault="00B6432F">
            <w:pPr>
              <w:jc w:val="right"/>
              <w:rPr>
                <w:rFonts w:cs="Arial"/>
                <w:b/>
                <w:bCs/>
                <w:sz w:val="18"/>
                <w:szCs w:val="18"/>
              </w:rPr>
            </w:pPr>
            <w:r>
              <w:rPr>
                <w:rFonts w:cs="Arial"/>
                <w:b/>
                <w:bCs/>
                <w:sz w:val="18"/>
                <w:szCs w:val="18"/>
              </w:rPr>
              <w:t>100,321</w:t>
            </w:r>
          </w:p>
        </w:tc>
      </w:tr>
      <w:tr w:rsidR="00B6432F" w:rsidRPr="00E2103A" w:rsidTr="007D17CA">
        <w:trPr>
          <w:trHeight w:val="170"/>
          <w:jc w:val="center"/>
        </w:trPr>
        <w:tc>
          <w:tcPr>
            <w:tcW w:w="1021" w:type="dxa"/>
            <w:tcBorders>
              <w:top w:val="single" w:sz="4" w:space="0" w:color="auto"/>
              <w:bottom w:val="single" w:sz="4" w:space="0" w:color="auto"/>
            </w:tcBorders>
            <w:noWrap/>
            <w:vAlign w:val="center"/>
          </w:tcPr>
          <w:p w:rsidR="00B6432F" w:rsidRPr="009B556A" w:rsidRDefault="00B6432F" w:rsidP="007D17CA">
            <w:pPr>
              <w:jc w:val="right"/>
              <w:rPr>
                <w:rFonts w:cs="Calibri"/>
                <w:b/>
                <w:bCs/>
                <w:sz w:val="18"/>
                <w:szCs w:val="18"/>
              </w:rPr>
            </w:pPr>
            <w:r>
              <w:rPr>
                <w:rFonts w:cs="Calibri"/>
                <w:b/>
                <w:bCs/>
                <w:sz w:val="18"/>
                <w:szCs w:val="18"/>
              </w:rPr>
              <w:t>114,765</w:t>
            </w:r>
          </w:p>
        </w:tc>
        <w:tc>
          <w:tcPr>
            <w:tcW w:w="2217" w:type="dxa"/>
            <w:tcBorders>
              <w:top w:val="single" w:sz="4" w:space="0" w:color="auto"/>
              <w:bottom w:val="single" w:sz="4" w:space="0" w:color="auto"/>
            </w:tcBorders>
            <w:noWrap/>
          </w:tcPr>
          <w:p w:rsidR="00B6432F" w:rsidRPr="007D17CA" w:rsidRDefault="00B6432F">
            <w:pPr>
              <w:pStyle w:val="TableTextLeftBold-BP3"/>
              <w:spacing w:before="16" w:after="16"/>
            </w:pPr>
            <w:r w:rsidRPr="007D17CA">
              <w:t>Total Other Revenue</w:t>
            </w:r>
          </w:p>
        </w:tc>
        <w:tc>
          <w:tcPr>
            <w:tcW w:w="1321"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117,812</w:t>
            </w:r>
          </w:p>
        </w:tc>
        <w:tc>
          <w:tcPr>
            <w:tcW w:w="1011"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131,421</w:t>
            </w:r>
          </w:p>
        </w:tc>
        <w:tc>
          <w:tcPr>
            <w:tcW w:w="564"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 xml:space="preserve">12 </w:t>
            </w:r>
          </w:p>
        </w:tc>
        <w:tc>
          <w:tcPr>
            <w:tcW w:w="1011"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132,720</w:t>
            </w:r>
          </w:p>
        </w:tc>
        <w:tc>
          <w:tcPr>
            <w:tcW w:w="1011"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134,476</w:t>
            </w:r>
          </w:p>
        </w:tc>
        <w:tc>
          <w:tcPr>
            <w:tcW w:w="1011" w:type="dxa"/>
            <w:tcBorders>
              <w:top w:val="single" w:sz="4" w:space="0" w:color="auto"/>
              <w:bottom w:val="single" w:sz="4" w:space="0" w:color="auto"/>
            </w:tcBorders>
            <w:noWrap/>
            <w:vAlign w:val="center"/>
          </w:tcPr>
          <w:p w:rsidR="00B6432F" w:rsidRDefault="00B6432F" w:rsidP="007D17CA">
            <w:pPr>
              <w:jc w:val="right"/>
              <w:rPr>
                <w:rFonts w:cs="Arial"/>
                <w:b/>
                <w:bCs/>
                <w:sz w:val="18"/>
                <w:szCs w:val="18"/>
              </w:rPr>
            </w:pPr>
            <w:r>
              <w:rPr>
                <w:rFonts w:cs="Arial"/>
                <w:b/>
                <w:bCs/>
                <w:sz w:val="18"/>
                <w:szCs w:val="18"/>
              </w:rPr>
              <w:t>136,185</w:t>
            </w:r>
          </w:p>
        </w:tc>
      </w:tr>
    </w:tbl>
    <w:p w:rsidR="004A4F80" w:rsidRPr="00F411BF" w:rsidRDefault="004A4F80" w:rsidP="00BD38E0">
      <w:pPr>
        <w:pStyle w:val="Heading4"/>
        <w:keepNext w:val="0"/>
        <w:spacing w:before="240"/>
      </w:pPr>
      <w:r w:rsidRPr="00F411BF">
        <w:t xml:space="preserve">Traffic Infringement Fines </w:t>
      </w:r>
    </w:p>
    <w:p w:rsidR="004A4F80" w:rsidRPr="00F411BF" w:rsidRDefault="004A4F80" w:rsidP="00BD38E0">
      <w:pPr>
        <w:pStyle w:val="BodyText"/>
        <w:keepNext w:val="0"/>
        <w:rPr>
          <w:rFonts w:eastAsia="Arial Unicode MS"/>
        </w:rPr>
      </w:pPr>
      <w:r w:rsidRPr="00F411BF">
        <w:t>The estimated revenue from traf</w:t>
      </w:r>
      <w:r w:rsidR="00F411BF" w:rsidRPr="00F411BF">
        <w:t>fic i</w:t>
      </w:r>
      <w:r w:rsidR="00F411BF" w:rsidRPr="00CB5D5E">
        <w:t>nfrin</w:t>
      </w:r>
      <w:r w:rsidR="001011BA" w:rsidRPr="00CB5D5E">
        <w:t xml:space="preserve">gement fines in </w:t>
      </w:r>
      <w:r w:rsidR="008803AC" w:rsidRPr="00CB5D5E">
        <w:t>2012-13</w:t>
      </w:r>
      <w:r w:rsidR="001011BA" w:rsidRPr="00CB5D5E">
        <w:t xml:space="preserve"> is $</w:t>
      </w:r>
      <w:r w:rsidR="00CB5D5E" w:rsidRPr="00CB5D5E">
        <w:t>18.4</w:t>
      </w:r>
      <w:r w:rsidRPr="00CB5D5E">
        <w:t xml:space="preserve"> million and the </w:t>
      </w:r>
      <w:r w:rsidR="00F411BF" w:rsidRPr="00CB5D5E">
        <w:t xml:space="preserve">forecast for </w:t>
      </w:r>
      <w:r w:rsidR="008803AC" w:rsidRPr="00CB5D5E">
        <w:t>2013-14</w:t>
      </w:r>
      <w:r w:rsidR="00F411BF" w:rsidRPr="00CB5D5E">
        <w:t xml:space="preserve"> </w:t>
      </w:r>
      <w:r w:rsidR="001011BA" w:rsidRPr="00CB5D5E">
        <w:t>is $</w:t>
      </w:r>
      <w:r w:rsidR="00CB5D5E" w:rsidRPr="00CB5D5E">
        <w:t>2</w:t>
      </w:r>
      <w:r w:rsidR="00C2368E">
        <w:t>3.5</w:t>
      </w:r>
      <w:r w:rsidR="006765DC" w:rsidRPr="0027012C">
        <w:t> million</w:t>
      </w:r>
      <w:r w:rsidR="001011BA" w:rsidRPr="0027012C">
        <w:t>.  The increase of $</w:t>
      </w:r>
      <w:r w:rsidR="00C2368E">
        <w:t>5.1</w:t>
      </w:r>
      <w:r w:rsidR="005A6A60">
        <w:t xml:space="preserve"> million mainly reflects initiatives, indexation and an increase in penalty units applied.</w:t>
      </w:r>
    </w:p>
    <w:p w:rsidR="004A4F80" w:rsidRPr="00BD38E0" w:rsidRDefault="004A4F80" w:rsidP="00BD38E0">
      <w:pPr>
        <w:pStyle w:val="Heading4"/>
      </w:pPr>
      <w:r w:rsidRPr="00BD38E0">
        <w:t>Parking Fines</w:t>
      </w:r>
    </w:p>
    <w:p w:rsidR="000B3623" w:rsidRDefault="004A4F80" w:rsidP="00BD38E0">
      <w:pPr>
        <w:pStyle w:val="BodyText"/>
        <w:keepNext w:val="0"/>
        <w:rPr>
          <w:lang w:eastAsia="en-AU"/>
        </w:rPr>
      </w:pPr>
      <w:r w:rsidRPr="00F411BF">
        <w:rPr>
          <w:lang w:eastAsia="en-AU"/>
        </w:rPr>
        <w:t xml:space="preserve">Parking fine </w:t>
      </w:r>
      <w:r w:rsidRPr="00CB5D5E">
        <w:rPr>
          <w:lang w:eastAsia="en-AU"/>
        </w:rPr>
        <w:t xml:space="preserve">revenue is expected to </w:t>
      </w:r>
      <w:r w:rsidR="00C2368E">
        <w:rPr>
          <w:lang w:eastAsia="en-AU"/>
        </w:rPr>
        <w:t>in</w:t>
      </w:r>
      <w:r w:rsidRPr="00CB5D5E">
        <w:rPr>
          <w:lang w:eastAsia="en-AU"/>
        </w:rPr>
        <w:t>cre</w:t>
      </w:r>
      <w:r w:rsidR="005D5A51" w:rsidRPr="00CB5D5E">
        <w:rPr>
          <w:lang w:eastAsia="en-AU"/>
        </w:rPr>
        <w:t xml:space="preserve">ase </w:t>
      </w:r>
      <w:r w:rsidR="00CB5D5E" w:rsidRPr="00CB5D5E">
        <w:rPr>
          <w:lang w:eastAsia="en-AU"/>
        </w:rPr>
        <w:t xml:space="preserve">slightly </w:t>
      </w:r>
      <w:r w:rsidR="005D5A51" w:rsidRPr="00CB5D5E">
        <w:rPr>
          <w:lang w:eastAsia="en-AU"/>
        </w:rPr>
        <w:t>from $</w:t>
      </w:r>
      <w:r w:rsidR="00CB5D5E" w:rsidRPr="00CB5D5E">
        <w:rPr>
          <w:lang w:eastAsia="en-AU"/>
        </w:rPr>
        <w:t>9.</w:t>
      </w:r>
      <w:r w:rsidR="00E14837">
        <w:rPr>
          <w:lang w:eastAsia="en-AU"/>
        </w:rPr>
        <w:t>8</w:t>
      </w:r>
      <w:r w:rsidR="00F411BF" w:rsidRPr="00CB5D5E">
        <w:rPr>
          <w:lang w:eastAsia="en-AU"/>
        </w:rPr>
        <w:t xml:space="preserve"> million in </w:t>
      </w:r>
      <w:r w:rsidR="008803AC" w:rsidRPr="00CB5D5E">
        <w:rPr>
          <w:lang w:eastAsia="en-AU"/>
        </w:rPr>
        <w:t>2012-13</w:t>
      </w:r>
      <w:r w:rsidR="00F411BF" w:rsidRPr="00CB5D5E">
        <w:rPr>
          <w:lang w:eastAsia="en-AU"/>
        </w:rPr>
        <w:t xml:space="preserve"> to </w:t>
      </w:r>
      <w:r w:rsidR="00CB5D5E" w:rsidRPr="00CB5D5E">
        <w:rPr>
          <w:lang w:eastAsia="en-AU"/>
        </w:rPr>
        <w:t>$</w:t>
      </w:r>
      <w:r w:rsidR="00C2368E">
        <w:rPr>
          <w:lang w:eastAsia="en-AU"/>
        </w:rPr>
        <w:t>10.4</w:t>
      </w:r>
      <w:r w:rsidR="00F411BF" w:rsidRPr="00CB5D5E">
        <w:rPr>
          <w:lang w:eastAsia="en-AU"/>
        </w:rPr>
        <w:t xml:space="preserve"> million in </w:t>
      </w:r>
      <w:r w:rsidR="008803AC" w:rsidRPr="00CB5D5E">
        <w:rPr>
          <w:lang w:eastAsia="en-AU"/>
        </w:rPr>
        <w:t>2013-14</w:t>
      </w:r>
      <w:r w:rsidRPr="00CB5D5E">
        <w:rPr>
          <w:lang w:eastAsia="en-AU"/>
        </w:rPr>
        <w:t>.</w:t>
      </w:r>
      <w:r w:rsidRPr="00F411BF">
        <w:rPr>
          <w:lang w:eastAsia="en-AU"/>
        </w:rPr>
        <w:t xml:space="preserve"> </w:t>
      </w:r>
    </w:p>
    <w:p w:rsidR="000B5A7B" w:rsidRPr="00BD38E0" w:rsidRDefault="004A4F80" w:rsidP="00BD38E0">
      <w:pPr>
        <w:pStyle w:val="Heading4"/>
        <w:keepNext w:val="0"/>
      </w:pPr>
      <w:r w:rsidRPr="00BD38E0">
        <w:t xml:space="preserve">Superannuation Contributions </w:t>
      </w:r>
    </w:p>
    <w:p w:rsidR="001521A9" w:rsidRPr="001521A9" w:rsidRDefault="001521A9" w:rsidP="00BD38E0">
      <w:pPr>
        <w:pStyle w:val="BodyText"/>
        <w:keepNext w:val="0"/>
      </w:pPr>
      <w:r w:rsidRPr="001521A9">
        <w:t xml:space="preserve">This item represents the payment of employer superannuation contributions to the Territory Banking Account (TBA) by the PTE sector and external sector (ActewAGL).  The contribution calculations are based on annual actuarially determined employer contribution rates for either the CSS or PSS membership.  This item also includes the employee contributions to the TBA by those Members of the Legislative Assembly </w:t>
      </w:r>
      <w:r w:rsidR="00530B50">
        <w:t>who</w:t>
      </w:r>
      <w:r w:rsidRPr="001521A9">
        <w:t xml:space="preserve"> are members of the defined benefit superannuation arrangement.  </w:t>
      </w:r>
    </w:p>
    <w:p w:rsidR="004A4F80" w:rsidRPr="00BD38E0" w:rsidRDefault="004A4F80" w:rsidP="00BD38E0">
      <w:pPr>
        <w:pStyle w:val="Heading4"/>
        <w:keepNext w:val="0"/>
      </w:pPr>
      <w:r w:rsidRPr="00BD38E0">
        <w:t>Rents and Commutation</w:t>
      </w:r>
    </w:p>
    <w:p w:rsidR="00BD38E0" w:rsidRDefault="004A4F80" w:rsidP="00BD38E0">
      <w:pPr>
        <w:pStyle w:val="BodyText"/>
        <w:keepNext w:val="0"/>
      </w:pPr>
      <w:r w:rsidRPr="00F411BF">
        <w:t>Rents and commutation income i</w:t>
      </w:r>
      <w:r w:rsidR="005D5A51">
        <w:t xml:space="preserve">s </w:t>
      </w:r>
      <w:r w:rsidR="005D5A51" w:rsidRPr="007926A5">
        <w:t xml:space="preserve">expected to </w:t>
      </w:r>
      <w:r w:rsidR="007926A5" w:rsidRPr="007926A5">
        <w:t>increase by $2.</w:t>
      </w:r>
      <w:r w:rsidR="00B64D8B">
        <w:t>3</w:t>
      </w:r>
      <w:r w:rsidRPr="007926A5">
        <w:t> mill</w:t>
      </w:r>
      <w:r w:rsidR="00F411BF" w:rsidRPr="007926A5">
        <w:t xml:space="preserve">ion in </w:t>
      </w:r>
      <w:r w:rsidR="00CB5D5E" w:rsidRPr="007926A5">
        <w:t>the</w:t>
      </w:r>
      <w:r w:rsidR="00CB5D5E">
        <w:t xml:space="preserve"> estimated outcome</w:t>
      </w:r>
      <w:r w:rsidR="007926A5">
        <w:t xml:space="preserve"> from the original budget and increase by $</w:t>
      </w:r>
      <w:r w:rsidR="00E14837">
        <w:t>2</w:t>
      </w:r>
      <w:r w:rsidR="007926A5">
        <w:t> million in the 2013-14 Budget from the estimated outcome</w:t>
      </w:r>
      <w:r w:rsidR="00CB5D5E">
        <w:t>.</w:t>
      </w:r>
      <w:r w:rsidR="007926A5">
        <w:t xml:space="preserve">  The increases are due to higher rental revenue received</w:t>
      </w:r>
      <w:r w:rsidR="00E14837">
        <w:t xml:space="preserve"> under the land rent scheme</w:t>
      </w:r>
      <w:r w:rsidR="007926A5">
        <w:t>.</w:t>
      </w:r>
    </w:p>
    <w:p w:rsidR="004A4F80" w:rsidRPr="00BD38E0" w:rsidRDefault="004A4F80" w:rsidP="00BD38E0">
      <w:pPr>
        <w:pStyle w:val="Heading4"/>
        <w:keepNext w:val="0"/>
        <w:spacing w:before="0"/>
      </w:pPr>
      <w:r w:rsidRPr="00BD38E0">
        <w:lastRenderedPageBreak/>
        <w:t xml:space="preserve">Contributions </w:t>
      </w:r>
    </w:p>
    <w:p w:rsidR="004A4F80" w:rsidRPr="00243EEB" w:rsidRDefault="00243EEB" w:rsidP="00BD38E0">
      <w:pPr>
        <w:pStyle w:val="BodyText"/>
        <w:keepNext w:val="0"/>
      </w:pPr>
      <w:r>
        <w:t xml:space="preserve">This item includes voluntary contributions, fundraising and excursion funds, and revenue from hire of school buildings, which are collected by Schools and the Education and Training Directorate.  </w:t>
      </w:r>
    </w:p>
    <w:p w:rsidR="004A4F80" w:rsidRPr="005A06AC" w:rsidRDefault="004A4F80" w:rsidP="00BD38E0">
      <w:pPr>
        <w:pStyle w:val="Heading4"/>
        <w:keepNext w:val="0"/>
      </w:pPr>
      <w:r w:rsidRPr="005A06AC">
        <w:t>Other Miscellaneous Revenue</w:t>
      </w:r>
      <w:r w:rsidR="001521A9">
        <w:t xml:space="preserve"> </w:t>
      </w:r>
    </w:p>
    <w:p w:rsidR="007514A8" w:rsidRDefault="007514A8" w:rsidP="00BD38E0">
      <w:pPr>
        <w:pStyle w:val="BodyText"/>
        <w:keepNext w:val="0"/>
      </w:pPr>
      <w:r w:rsidRPr="008B5548">
        <w:t>Oth</w:t>
      </w:r>
      <w:r w:rsidR="00BD20EC">
        <w:t>er miscellaneous revenue will in</w:t>
      </w:r>
      <w:r w:rsidRPr="008B5548">
        <w:t>crea</w:t>
      </w:r>
      <w:r w:rsidRPr="00BD20EC">
        <w:t>se from $</w:t>
      </w:r>
      <w:r w:rsidR="00E14837">
        <w:t>43.1</w:t>
      </w:r>
      <w:r w:rsidRPr="00BD20EC">
        <w:t xml:space="preserve"> million in the </w:t>
      </w:r>
      <w:r w:rsidR="00217AB5" w:rsidRPr="00BD20EC">
        <w:t xml:space="preserve">2012-13 </w:t>
      </w:r>
      <w:r w:rsidRPr="00BD20EC">
        <w:t>estimated outcome to $</w:t>
      </w:r>
      <w:r w:rsidR="00E14837">
        <w:t>49.2</w:t>
      </w:r>
      <w:r w:rsidRPr="00BD20EC">
        <w:t xml:space="preserve"> million in the </w:t>
      </w:r>
      <w:r w:rsidR="00217AB5" w:rsidRPr="00BD20EC">
        <w:t>2013-14</w:t>
      </w:r>
      <w:r w:rsidRPr="00BD20EC">
        <w:t xml:space="preserve"> Budget.</w:t>
      </w:r>
      <w:r w:rsidR="008B5548" w:rsidRPr="00BD20EC">
        <w:t xml:space="preserve"> </w:t>
      </w:r>
      <w:r w:rsidRPr="00BD20EC">
        <w:t xml:space="preserve"> The </w:t>
      </w:r>
      <w:r w:rsidR="00BD20EC" w:rsidRPr="00BD20EC">
        <w:t>in</w:t>
      </w:r>
      <w:r w:rsidRPr="00BD20EC">
        <w:t xml:space="preserve">crease is mainly due to </w:t>
      </w:r>
      <w:r w:rsidR="00BD20EC" w:rsidRPr="00BD20EC">
        <w:t>legal recoveries and investment fee rebates</w:t>
      </w:r>
      <w:r w:rsidR="00EE3B9B" w:rsidRPr="00BD20EC">
        <w:t>.</w:t>
      </w:r>
    </w:p>
    <w:p w:rsidR="00D30922" w:rsidRPr="004621C5" w:rsidRDefault="00D30922" w:rsidP="00D30922">
      <w:pPr>
        <w:pStyle w:val="TableNumber"/>
      </w:pPr>
      <w:r w:rsidRPr="004621C5">
        <w:t xml:space="preserve">Table </w:t>
      </w:r>
      <w:r w:rsidR="00451B47" w:rsidRPr="004621C5">
        <w:t>3</w:t>
      </w:r>
      <w:r w:rsidRPr="004621C5">
        <w:t>.1.15</w:t>
      </w:r>
    </w:p>
    <w:p w:rsidR="00D30922" w:rsidRPr="00E2103A" w:rsidRDefault="00D30922" w:rsidP="00D30922">
      <w:pPr>
        <w:pStyle w:val="TableName"/>
      </w:pPr>
      <w:r w:rsidRPr="004621C5">
        <w:t xml:space="preserve">Breakdown </w:t>
      </w:r>
      <w:r w:rsidR="007D17CA">
        <w:t>–</w:t>
      </w:r>
      <w:r w:rsidRPr="004621C5">
        <w:t xml:space="preserve"> Other Miscellaneous Revenue</w:t>
      </w:r>
    </w:p>
    <w:tbl>
      <w:tblPr>
        <w:tblW w:w="9100" w:type="dxa"/>
        <w:tblLook w:val="0000"/>
      </w:tblPr>
      <w:tblGrid>
        <w:gridCol w:w="3351"/>
        <w:gridCol w:w="1405"/>
        <w:gridCol w:w="1086"/>
        <w:gridCol w:w="1086"/>
        <w:gridCol w:w="1086"/>
        <w:gridCol w:w="1086"/>
      </w:tblGrid>
      <w:tr w:rsidR="00217AB5" w:rsidRPr="00443CCA" w:rsidTr="00BD38E0">
        <w:trPr>
          <w:trHeight w:val="170"/>
        </w:trPr>
        <w:tc>
          <w:tcPr>
            <w:tcW w:w="3117" w:type="dxa"/>
            <w:tcBorders>
              <w:top w:val="single" w:sz="4" w:space="0" w:color="auto"/>
            </w:tcBorders>
            <w:noWrap/>
          </w:tcPr>
          <w:p w:rsidR="00217AB5" w:rsidRPr="00443CCA" w:rsidRDefault="00217AB5" w:rsidP="00D30922">
            <w:pPr>
              <w:pStyle w:val="StyleTableTextRightBold-BP3Before05ptAfter05pt"/>
              <w:rPr>
                <w:szCs w:val="18"/>
              </w:rPr>
            </w:pPr>
            <w:r w:rsidRPr="00443CCA">
              <w:rPr>
                <w:szCs w:val="18"/>
              </w:rPr>
              <w:t> </w:t>
            </w:r>
          </w:p>
        </w:tc>
        <w:tc>
          <w:tcPr>
            <w:tcW w:w="1307" w:type="dxa"/>
            <w:tcBorders>
              <w:top w:val="single" w:sz="4" w:space="0" w:color="auto"/>
            </w:tcBorders>
            <w:noWrap/>
          </w:tcPr>
          <w:p w:rsidR="00217AB5" w:rsidRPr="00443CCA" w:rsidRDefault="00217AB5" w:rsidP="00905823">
            <w:pPr>
              <w:pStyle w:val="StyleTableTextRightBold-BP3Before05ptAfter05pt"/>
              <w:rPr>
                <w:szCs w:val="18"/>
              </w:rPr>
            </w:pPr>
            <w:r w:rsidRPr="00443CCA">
              <w:rPr>
                <w:szCs w:val="18"/>
              </w:rPr>
              <w:t>2012-13</w:t>
            </w:r>
          </w:p>
        </w:tc>
        <w:tc>
          <w:tcPr>
            <w:tcW w:w="1011" w:type="dxa"/>
            <w:tcBorders>
              <w:top w:val="single" w:sz="4" w:space="0" w:color="auto"/>
            </w:tcBorders>
            <w:noWrap/>
          </w:tcPr>
          <w:p w:rsidR="00217AB5" w:rsidRPr="00443CCA" w:rsidRDefault="00217AB5" w:rsidP="00905823">
            <w:pPr>
              <w:pStyle w:val="StyleTableTextRightBold-BP3Before05ptAfter05pt"/>
              <w:rPr>
                <w:szCs w:val="18"/>
              </w:rPr>
            </w:pPr>
            <w:r w:rsidRPr="00443CCA">
              <w:rPr>
                <w:szCs w:val="18"/>
              </w:rPr>
              <w:t>2013-14</w:t>
            </w:r>
          </w:p>
        </w:tc>
        <w:tc>
          <w:tcPr>
            <w:tcW w:w="1011" w:type="dxa"/>
            <w:tcBorders>
              <w:top w:val="single" w:sz="4" w:space="0" w:color="auto"/>
            </w:tcBorders>
            <w:noWrap/>
          </w:tcPr>
          <w:p w:rsidR="00217AB5" w:rsidRPr="00443CCA" w:rsidRDefault="00217AB5" w:rsidP="00905823">
            <w:pPr>
              <w:pStyle w:val="StyleTableTextRightBold-BP3Before05ptAfter05pt"/>
              <w:rPr>
                <w:szCs w:val="18"/>
              </w:rPr>
            </w:pPr>
            <w:r w:rsidRPr="00443CCA">
              <w:rPr>
                <w:szCs w:val="18"/>
              </w:rPr>
              <w:t>2014-15</w:t>
            </w:r>
          </w:p>
        </w:tc>
        <w:tc>
          <w:tcPr>
            <w:tcW w:w="1011" w:type="dxa"/>
            <w:tcBorders>
              <w:top w:val="single" w:sz="4" w:space="0" w:color="auto"/>
            </w:tcBorders>
            <w:noWrap/>
          </w:tcPr>
          <w:p w:rsidR="00217AB5" w:rsidRPr="00443CCA" w:rsidRDefault="00217AB5" w:rsidP="00905823">
            <w:pPr>
              <w:pStyle w:val="StyleTableTextRightBold-BP3Before05ptAfter05pt"/>
              <w:rPr>
                <w:szCs w:val="18"/>
              </w:rPr>
            </w:pPr>
            <w:r w:rsidRPr="00443CCA">
              <w:rPr>
                <w:szCs w:val="18"/>
              </w:rPr>
              <w:t>2015-16</w:t>
            </w:r>
          </w:p>
        </w:tc>
        <w:tc>
          <w:tcPr>
            <w:tcW w:w="1011" w:type="dxa"/>
            <w:tcBorders>
              <w:top w:val="single" w:sz="4" w:space="0" w:color="auto"/>
            </w:tcBorders>
            <w:noWrap/>
          </w:tcPr>
          <w:p w:rsidR="00217AB5" w:rsidRPr="00443CCA" w:rsidRDefault="00217AB5" w:rsidP="00D30922">
            <w:pPr>
              <w:pStyle w:val="StyleTableTextRightBold-BP3Before05ptAfter05pt"/>
              <w:rPr>
                <w:szCs w:val="18"/>
              </w:rPr>
            </w:pPr>
            <w:r w:rsidRPr="00443CCA">
              <w:rPr>
                <w:szCs w:val="18"/>
              </w:rPr>
              <w:t>2016-17</w:t>
            </w:r>
          </w:p>
        </w:tc>
      </w:tr>
      <w:tr w:rsidR="00D30922" w:rsidRPr="00443CCA" w:rsidTr="00BD38E0">
        <w:trPr>
          <w:trHeight w:val="170"/>
        </w:trPr>
        <w:tc>
          <w:tcPr>
            <w:tcW w:w="3117" w:type="dxa"/>
            <w:noWrap/>
          </w:tcPr>
          <w:p w:rsidR="00D30922" w:rsidRPr="00443CCA" w:rsidRDefault="00D30922" w:rsidP="00D30922">
            <w:pPr>
              <w:pStyle w:val="TableTextRightBold-BP3"/>
              <w:spacing w:before="10" w:after="10"/>
              <w:rPr>
                <w:szCs w:val="18"/>
              </w:rPr>
            </w:pPr>
          </w:p>
        </w:tc>
        <w:tc>
          <w:tcPr>
            <w:tcW w:w="1307" w:type="dxa"/>
            <w:noWrap/>
          </w:tcPr>
          <w:p w:rsidR="00D30922" w:rsidRPr="00443CCA" w:rsidRDefault="00D30922" w:rsidP="00D30922">
            <w:pPr>
              <w:pStyle w:val="StyleTableTextRightBold-BP3Before05ptAfter05pt"/>
              <w:rPr>
                <w:szCs w:val="18"/>
              </w:rPr>
            </w:pPr>
            <w:r w:rsidRPr="00443CCA">
              <w:rPr>
                <w:szCs w:val="18"/>
              </w:rPr>
              <w:t>Est. Outcome</w:t>
            </w:r>
          </w:p>
        </w:tc>
        <w:tc>
          <w:tcPr>
            <w:tcW w:w="1011" w:type="dxa"/>
            <w:noWrap/>
          </w:tcPr>
          <w:p w:rsidR="00D30922" w:rsidRPr="00443CCA" w:rsidRDefault="00D30922" w:rsidP="00D30922">
            <w:pPr>
              <w:pStyle w:val="StyleTableTextRightBold-BP3Before05ptAfter05pt"/>
              <w:rPr>
                <w:szCs w:val="18"/>
              </w:rPr>
            </w:pPr>
            <w:r w:rsidRPr="00443CCA">
              <w:rPr>
                <w:szCs w:val="18"/>
              </w:rPr>
              <w:t>Budget</w:t>
            </w:r>
          </w:p>
        </w:tc>
        <w:tc>
          <w:tcPr>
            <w:tcW w:w="1011" w:type="dxa"/>
            <w:noWrap/>
          </w:tcPr>
          <w:p w:rsidR="00D30922" w:rsidRPr="00443CCA" w:rsidRDefault="00D30922" w:rsidP="00D30922">
            <w:pPr>
              <w:pStyle w:val="StyleTableTextRightBold-BP3Before05ptAfter05pt"/>
              <w:rPr>
                <w:szCs w:val="18"/>
              </w:rPr>
            </w:pPr>
            <w:r w:rsidRPr="00443CCA">
              <w:rPr>
                <w:szCs w:val="18"/>
              </w:rPr>
              <w:t>Estimate</w:t>
            </w:r>
          </w:p>
        </w:tc>
        <w:tc>
          <w:tcPr>
            <w:tcW w:w="1011" w:type="dxa"/>
            <w:noWrap/>
          </w:tcPr>
          <w:p w:rsidR="00D30922" w:rsidRPr="00443CCA" w:rsidRDefault="00D30922" w:rsidP="00D30922">
            <w:pPr>
              <w:pStyle w:val="StyleTableTextRightBold-BP3Before05ptAfter05pt"/>
              <w:rPr>
                <w:szCs w:val="18"/>
              </w:rPr>
            </w:pPr>
            <w:r w:rsidRPr="00443CCA">
              <w:rPr>
                <w:szCs w:val="18"/>
              </w:rPr>
              <w:t>Estimate</w:t>
            </w:r>
          </w:p>
        </w:tc>
        <w:tc>
          <w:tcPr>
            <w:tcW w:w="1011" w:type="dxa"/>
            <w:noWrap/>
          </w:tcPr>
          <w:p w:rsidR="00D30922" w:rsidRPr="00443CCA" w:rsidRDefault="00D30922" w:rsidP="00D30922">
            <w:pPr>
              <w:pStyle w:val="StyleTableTextRightBold-BP3Before05ptAfter05pt"/>
              <w:rPr>
                <w:szCs w:val="18"/>
              </w:rPr>
            </w:pPr>
            <w:r w:rsidRPr="00443CCA">
              <w:rPr>
                <w:szCs w:val="18"/>
              </w:rPr>
              <w:t>Estimate</w:t>
            </w:r>
          </w:p>
        </w:tc>
      </w:tr>
      <w:tr w:rsidR="00D30922" w:rsidRPr="00443CCA" w:rsidTr="00BD38E0">
        <w:trPr>
          <w:trHeight w:val="170"/>
        </w:trPr>
        <w:tc>
          <w:tcPr>
            <w:tcW w:w="3117"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 </w:t>
            </w:r>
          </w:p>
        </w:tc>
        <w:tc>
          <w:tcPr>
            <w:tcW w:w="1307"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$'000</w:t>
            </w:r>
          </w:p>
        </w:tc>
        <w:tc>
          <w:tcPr>
            <w:tcW w:w="1011"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$'000</w:t>
            </w:r>
          </w:p>
        </w:tc>
        <w:tc>
          <w:tcPr>
            <w:tcW w:w="1011"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$'000</w:t>
            </w:r>
          </w:p>
        </w:tc>
        <w:tc>
          <w:tcPr>
            <w:tcW w:w="1011"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$'000</w:t>
            </w:r>
          </w:p>
        </w:tc>
        <w:tc>
          <w:tcPr>
            <w:tcW w:w="1011" w:type="dxa"/>
            <w:tcBorders>
              <w:bottom w:val="single" w:sz="4" w:space="0" w:color="auto"/>
            </w:tcBorders>
            <w:noWrap/>
          </w:tcPr>
          <w:p w:rsidR="00D30922" w:rsidRPr="00443CCA" w:rsidRDefault="00D30922" w:rsidP="00D30922">
            <w:pPr>
              <w:pStyle w:val="StyleTableTextRightBold-BP3Before05ptAfter05pt"/>
              <w:rPr>
                <w:szCs w:val="18"/>
              </w:rPr>
            </w:pPr>
            <w:r w:rsidRPr="00443CCA">
              <w:rPr>
                <w:szCs w:val="18"/>
              </w:rPr>
              <w:t>$'000</w:t>
            </w:r>
          </w:p>
        </w:tc>
      </w:tr>
      <w:tr w:rsidR="00B6432F" w:rsidRPr="00443CCA" w:rsidTr="00BD38E0">
        <w:trPr>
          <w:trHeight w:val="170"/>
        </w:trPr>
        <w:tc>
          <w:tcPr>
            <w:tcW w:w="3117" w:type="dxa"/>
            <w:noWrap/>
            <w:vAlign w:val="bottom"/>
          </w:tcPr>
          <w:p w:rsidR="00B6432F" w:rsidRPr="007D17CA" w:rsidRDefault="00E14837">
            <w:pPr>
              <w:rPr>
                <w:sz w:val="20"/>
              </w:rPr>
            </w:pPr>
            <w:r w:rsidRPr="007D17CA">
              <w:rPr>
                <w:sz w:val="20"/>
              </w:rPr>
              <w:t>Public Monies</w:t>
            </w:r>
          </w:p>
        </w:tc>
        <w:tc>
          <w:tcPr>
            <w:tcW w:w="1307" w:type="dxa"/>
            <w:noWrap/>
            <w:vAlign w:val="bottom"/>
          </w:tcPr>
          <w:p w:rsidR="00B6432F" w:rsidRDefault="00B6432F">
            <w:pPr>
              <w:jc w:val="right"/>
              <w:rPr>
                <w:sz w:val="18"/>
                <w:szCs w:val="18"/>
              </w:rPr>
            </w:pPr>
            <w:r>
              <w:rPr>
                <w:sz w:val="18"/>
                <w:szCs w:val="18"/>
              </w:rPr>
              <w:t>1,100</w:t>
            </w:r>
          </w:p>
        </w:tc>
        <w:tc>
          <w:tcPr>
            <w:tcW w:w="1011" w:type="dxa"/>
            <w:noWrap/>
            <w:vAlign w:val="bottom"/>
          </w:tcPr>
          <w:p w:rsidR="00B6432F" w:rsidRDefault="00E14837" w:rsidP="00E14837">
            <w:pPr>
              <w:jc w:val="right"/>
              <w:rPr>
                <w:sz w:val="18"/>
                <w:szCs w:val="18"/>
              </w:rPr>
            </w:pPr>
            <w:r>
              <w:rPr>
                <w:sz w:val="18"/>
                <w:szCs w:val="18"/>
              </w:rPr>
              <w:t>-</w:t>
            </w:r>
          </w:p>
        </w:tc>
        <w:tc>
          <w:tcPr>
            <w:tcW w:w="1011" w:type="dxa"/>
            <w:noWrap/>
            <w:vAlign w:val="bottom"/>
          </w:tcPr>
          <w:p w:rsidR="00B6432F" w:rsidRDefault="00E14837" w:rsidP="00E14837">
            <w:pPr>
              <w:jc w:val="right"/>
              <w:rPr>
                <w:sz w:val="18"/>
                <w:szCs w:val="18"/>
              </w:rPr>
            </w:pPr>
            <w:r>
              <w:rPr>
                <w:sz w:val="18"/>
                <w:szCs w:val="18"/>
              </w:rPr>
              <w:t>-</w:t>
            </w:r>
          </w:p>
        </w:tc>
        <w:tc>
          <w:tcPr>
            <w:tcW w:w="1011" w:type="dxa"/>
            <w:noWrap/>
            <w:vAlign w:val="bottom"/>
          </w:tcPr>
          <w:p w:rsidR="00B6432F" w:rsidRDefault="00E14837" w:rsidP="00E14837">
            <w:pPr>
              <w:jc w:val="right"/>
              <w:rPr>
                <w:sz w:val="18"/>
                <w:szCs w:val="18"/>
              </w:rPr>
            </w:pPr>
            <w:r>
              <w:rPr>
                <w:sz w:val="18"/>
                <w:szCs w:val="18"/>
              </w:rPr>
              <w:t>-</w:t>
            </w:r>
          </w:p>
        </w:tc>
        <w:tc>
          <w:tcPr>
            <w:tcW w:w="1011" w:type="dxa"/>
            <w:noWrap/>
            <w:vAlign w:val="bottom"/>
          </w:tcPr>
          <w:p w:rsidR="00B6432F" w:rsidRDefault="00E14837" w:rsidP="00E14837">
            <w:pPr>
              <w:jc w:val="right"/>
              <w:rPr>
                <w:sz w:val="18"/>
                <w:szCs w:val="18"/>
              </w:rPr>
            </w:pPr>
            <w:r>
              <w:rPr>
                <w:sz w:val="18"/>
                <w:szCs w:val="18"/>
              </w:rPr>
              <w:t>-</w:t>
            </w:r>
          </w:p>
        </w:tc>
      </w:tr>
      <w:tr w:rsidR="00B6432F" w:rsidRPr="00443CCA" w:rsidTr="00BD38E0">
        <w:trPr>
          <w:trHeight w:val="170"/>
        </w:trPr>
        <w:tc>
          <w:tcPr>
            <w:tcW w:w="3117" w:type="dxa"/>
            <w:noWrap/>
            <w:vAlign w:val="bottom"/>
          </w:tcPr>
          <w:p w:rsidR="00B6432F" w:rsidRPr="007D17CA" w:rsidRDefault="00E14837" w:rsidP="00E14837">
            <w:pPr>
              <w:ind w:left="142" w:hanging="142"/>
              <w:rPr>
                <w:sz w:val="20"/>
              </w:rPr>
            </w:pPr>
            <w:r w:rsidRPr="007D17CA">
              <w:rPr>
                <w:sz w:val="20"/>
              </w:rPr>
              <w:t>Revenue from Financial Inv</w:t>
            </w:r>
            <w:r w:rsidR="00B6432F" w:rsidRPr="007D17CA">
              <w:rPr>
                <w:sz w:val="20"/>
              </w:rPr>
              <w:t>estments</w:t>
            </w:r>
          </w:p>
        </w:tc>
        <w:tc>
          <w:tcPr>
            <w:tcW w:w="1307" w:type="dxa"/>
            <w:noWrap/>
            <w:vAlign w:val="bottom"/>
          </w:tcPr>
          <w:p w:rsidR="00B6432F" w:rsidRDefault="00B6432F">
            <w:pPr>
              <w:jc w:val="right"/>
              <w:rPr>
                <w:sz w:val="18"/>
                <w:szCs w:val="18"/>
              </w:rPr>
            </w:pPr>
            <w:r>
              <w:rPr>
                <w:sz w:val="18"/>
                <w:szCs w:val="18"/>
              </w:rPr>
              <w:t>2,343</w:t>
            </w:r>
          </w:p>
        </w:tc>
        <w:tc>
          <w:tcPr>
            <w:tcW w:w="1011" w:type="dxa"/>
            <w:noWrap/>
            <w:vAlign w:val="bottom"/>
          </w:tcPr>
          <w:p w:rsidR="00B6432F" w:rsidRDefault="00B6432F">
            <w:pPr>
              <w:jc w:val="right"/>
              <w:rPr>
                <w:sz w:val="18"/>
                <w:szCs w:val="18"/>
              </w:rPr>
            </w:pPr>
            <w:r>
              <w:rPr>
                <w:sz w:val="18"/>
                <w:szCs w:val="18"/>
              </w:rPr>
              <w:t>4,024</w:t>
            </w:r>
          </w:p>
        </w:tc>
        <w:tc>
          <w:tcPr>
            <w:tcW w:w="1011" w:type="dxa"/>
            <w:noWrap/>
            <w:vAlign w:val="bottom"/>
          </w:tcPr>
          <w:p w:rsidR="00B6432F" w:rsidRDefault="00B6432F">
            <w:pPr>
              <w:jc w:val="right"/>
              <w:rPr>
                <w:sz w:val="18"/>
                <w:szCs w:val="18"/>
              </w:rPr>
            </w:pPr>
            <w:r>
              <w:rPr>
                <w:sz w:val="18"/>
                <w:szCs w:val="18"/>
              </w:rPr>
              <w:t>4,265</w:t>
            </w:r>
          </w:p>
        </w:tc>
        <w:tc>
          <w:tcPr>
            <w:tcW w:w="1011" w:type="dxa"/>
            <w:noWrap/>
            <w:vAlign w:val="bottom"/>
          </w:tcPr>
          <w:p w:rsidR="00B6432F" w:rsidRDefault="00B6432F">
            <w:pPr>
              <w:jc w:val="right"/>
              <w:rPr>
                <w:sz w:val="18"/>
                <w:szCs w:val="18"/>
              </w:rPr>
            </w:pPr>
            <w:r>
              <w:rPr>
                <w:sz w:val="18"/>
                <w:szCs w:val="18"/>
              </w:rPr>
              <w:t>4,581</w:t>
            </w:r>
          </w:p>
        </w:tc>
        <w:tc>
          <w:tcPr>
            <w:tcW w:w="1011" w:type="dxa"/>
            <w:noWrap/>
            <w:vAlign w:val="bottom"/>
          </w:tcPr>
          <w:p w:rsidR="00B6432F" w:rsidRDefault="00B6432F">
            <w:pPr>
              <w:jc w:val="right"/>
              <w:rPr>
                <w:sz w:val="18"/>
                <w:szCs w:val="18"/>
              </w:rPr>
            </w:pPr>
            <w:r>
              <w:rPr>
                <w:sz w:val="18"/>
                <w:szCs w:val="18"/>
              </w:rPr>
              <w:t>4,921</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Donations</w:t>
            </w:r>
          </w:p>
        </w:tc>
        <w:tc>
          <w:tcPr>
            <w:tcW w:w="1307" w:type="dxa"/>
            <w:noWrap/>
            <w:vAlign w:val="bottom"/>
          </w:tcPr>
          <w:p w:rsidR="00B6432F" w:rsidRDefault="00B6432F">
            <w:pPr>
              <w:jc w:val="right"/>
              <w:rPr>
                <w:sz w:val="18"/>
                <w:szCs w:val="18"/>
              </w:rPr>
            </w:pPr>
            <w:r>
              <w:rPr>
                <w:sz w:val="18"/>
                <w:szCs w:val="18"/>
              </w:rPr>
              <w:t>1,064</w:t>
            </w:r>
          </w:p>
        </w:tc>
        <w:tc>
          <w:tcPr>
            <w:tcW w:w="1011" w:type="dxa"/>
            <w:noWrap/>
            <w:vAlign w:val="bottom"/>
          </w:tcPr>
          <w:p w:rsidR="00B6432F" w:rsidRDefault="00B6432F">
            <w:pPr>
              <w:jc w:val="right"/>
              <w:rPr>
                <w:sz w:val="18"/>
                <w:szCs w:val="18"/>
              </w:rPr>
            </w:pPr>
            <w:r>
              <w:rPr>
                <w:sz w:val="18"/>
                <w:szCs w:val="18"/>
              </w:rPr>
              <w:t>1,064</w:t>
            </w:r>
          </w:p>
        </w:tc>
        <w:tc>
          <w:tcPr>
            <w:tcW w:w="1011" w:type="dxa"/>
            <w:noWrap/>
            <w:vAlign w:val="bottom"/>
          </w:tcPr>
          <w:p w:rsidR="00B6432F" w:rsidRDefault="00B6432F">
            <w:pPr>
              <w:jc w:val="right"/>
              <w:rPr>
                <w:sz w:val="18"/>
                <w:szCs w:val="18"/>
              </w:rPr>
            </w:pPr>
            <w:r>
              <w:rPr>
                <w:sz w:val="18"/>
                <w:szCs w:val="18"/>
              </w:rPr>
              <w:t>1,084</w:t>
            </w:r>
          </w:p>
        </w:tc>
        <w:tc>
          <w:tcPr>
            <w:tcW w:w="1011" w:type="dxa"/>
            <w:noWrap/>
            <w:vAlign w:val="bottom"/>
          </w:tcPr>
          <w:p w:rsidR="00B6432F" w:rsidRDefault="00B6432F">
            <w:pPr>
              <w:jc w:val="right"/>
              <w:rPr>
                <w:sz w:val="18"/>
                <w:szCs w:val="18"/>
              </w:rPr>
            </w:pPr>
            <w:r>
              <w:rPr>
                <w:sz w:val="18"/>
                <w:szCs w:val="18"/>
              </w:rPr>
              <w:t>1,104</w:t>
            </w:r>
          </w:p>
        </w:tc>
        <w:tc>
          <w:tcPr>
            <w:tcW w:w="1011" w:type="dxa"/>
            <w:noWrap/>
            <w:vAlign w:val="bottom"/>
          </w:tcPr>
          <w:p w:rsidR="00B6432F" w:rsidRDefault="00B6432F">
            <w:pPr>
              <w:jc w:val="right"/>
              <w:rPr>
                <w:sz w:val="18"/>
                <w:szCs w:val="18"/>
              </w:rPr>
            </w:pPr>
            <w:r>
              <w:rPr>
                <w:sz w:val="18"/>
                <w:szCs w:val="18"/>
              </w:rPr>
              <w:t>1,124</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Sponsorships</w:t>
            </w:r>
          </w:p>
        </w:tc>
        <w:tc>
          <w:tcPr>
            <w:tcW w:w="1307" w:type="dxa"/>
            <w:noWrap/>
            <w:vAlign w:val="bottom"/>
          </w:tcPr>
          <w:p w:rsidR="00B6432F" w:rsidRDefault="00B6432F">
            <w:pPr>
              <w:jc w:val="right"/>
              <w:rPr>
                <w:sz w:val="18"/>
                <w:szCs w:val="18"/>
              </w:rPr>
            </w:pPr>
            <w:r>
              <w:rPr>
                <w:sz w:val="18"/>
                <w:szCs w:val="18"/>
              </w:rPr>
              <w:t>193</w:t>
            </w:r>
          </w:p>
        </w:tc>
        <w:tc>
          <w:tcPr>
            <w:tcW w:w="1011" w:type="dxa"/>
            <w:noWrap/>
            <w:vAlign w:val="bottom"/>
          </w:tcPr>
          <w:p w:rsidR="00B6432F" w:rsidRDefault="00B6432F">
            <w:pPr>
              <w:jc w:val="right"/>
              <w:rPr>
                <w:sz w:val="18"/>
                <w:szCs w:val="18"/>
              </w:rPr>
            </w:pPr>
            <w:r>
              <w:rPr>
                <w:sz w:val="18"/>
                <w:szCs w:val="18"/>
              </w:rPr>
              <w:t>198</w:t>
            </w:r>
          </w:p>
        </w:tc>
        <w:tc>
          <w:tcPr>
            <w:tcW w:w="1011" w:type="dxa"/>
            <w:noWrap/>
            <w:vAlign w:val="bottom"/>
          </w:tcPr>
          <w:p w:rsidR="00B6432F" w:rsidRDefault="00B6432F">
            <w:pPr>
              <w:jc w:val="right"/>
              <w:rPr>
                <w:sz w:val="18"/>
                <w:szCs w:val="18"/>
              </w:rPr>
            </w:pPr>
            <w:r>
              <w:rPr>
                <w:sz w:val="18"/>
                <w:szCs w:val="18"/>
              </w:rPr>
              <w:t>203</w:t>
            </w:r>
          </w:p>
        </w:tc>
        <w:tc>
          <w:tcPr>
            <w:tcW w:w="1011" w:type="dxa"/>
            <w:noWrap/>
            <w:vAlign w:val="bottom"/>
          </w:tcPr>
          <w:p w:rsidR="00B6432F" w:rsidRDefault="00B6432F">
            <w:pPr>
              <w:jc w:val="right"/>
              <w:rPr>
                <w:sz w:val="18"/>
                <w:szCs w:val="18"/>
              </w:rPr>
            </w:pPr>
            <w:r>
              <w:rPr>
                <w:sz w:val="18"/>
                <w:szCs w:val="18"/>
              </w:rPr>
              <w:t>203</w:t>
            </w:r>
          </w:p>
        </w:tc>
        <w:tc>
          <w:tcPr>
            <w:tcW w:w="1011" w:type="dxa"/>
            <w:noWrap/>
            <w:vAlign w:val="bottom"/>
          </w:tcPr>
          <w:p w:rsidR="00B6432F" w:rsidRDefault="00B6432F">
            <w:pPr>
              <w:jc w:val="right"/>
              <w:rPr>
                <w:sz w:val="18"/>
                <w:szCs w:val="18"/>
              </w:rPr>
            </w:pPr>
            <w:r>
              <w:rPr>
                <w:sz w:val="18"/>
                <w:szCs w:val="18"/>
              </w:rPr>
              <w:t>203</w:t>
            </w:r>
          </w:p>
        </w:tc>
      </w:tr>
      <w:tr w:rsidR="00B6432F" w:rsidRPr="00443CCA" w:rsidTr="00BD38E0">
        <w:trPr>
          <w:trHeight w:val="170"/>
        </w:trPr>
        <w:tc>
          <w:tcPr>
            <w:tcW w:w="3117" w:type="dxa"/>
            <w:noWrap/>
            <w:vAlign w:val="bottom"/>
          </w:tcPr>
          <w:p w:rsidR="00B6432F" w:rsidRPr="007D17CA" w:rsidRDefault="002A1A30">
            <w:pPr>
              <w:rPr>
                <w:sz w:val="20"/>
              </w:rPr>
            </w:pPr>
            <w:r w:rsidRPr="007D17CA">
              <w:rPr>
                <w:sz w:val="20"/>
              </w:rPr>
              <w:t xml:space="preserve">Other </w:t>
            </w:r>
            <w:r w:rsidR="00B6432F" w:rsidRPr="007D17CA">
              <w:rPr>
                <w:sz w:val="20"/>
              </w:rPr>
              <w:t>Grants</w:t>
            </w:r>
          </w:p>
        </w:tc>
        <w:tc>
          <w:tcPr>
            <w:tcW w:w="1307" w:type="dxa"/>
            <w:noWrap/>
            <w:vAlign w:val="bottom"/>
          </w:tcPr>
          <w:p w:rsidR="00B6432F" w:rsidRDefault="00B6432F">
            <w:pPr>
              <w:jc w:val="right"/>
              <w:rPr>
                <w:sz w:val="18"/>
                <w:szCs w:val="18"/>
              </w:rPr>
            </w:pPr>
            <w:r>
              <w:rPr>
                <w:sz w:val="18"/>
                <w:szCs w:val="18"/>
              </w:rPr>
              <w:t>22,546</w:t>
            </w:r>
          </w:p>
        </w:tc>
        <w:tc>
          <w:tcPr>
            <w:tcW w:w="1011" w:type="dxa"/>
            <w:noWrap/>
            <w:vAlign w:val="bottom"/>
          </w:tcPr>
          <w:p w:rsidR="00B6432F" w:rsidRDefault="00B6432F">
            <w:pPr>
              <w:jc w:val="right"/>
              <w:rPr>
                <w:sz w:val="18"/>
                <w:szCs w:val="18"/>
              </w:rPr>
            </w:pPr>
            <w:r>
              <w:rPr>
                <w:sz w:val="18"/>
                <w:szCs w:val="18"/>
              </w:rPr>
              <w:t>23,104</w:t>
            </w:r>
          </w:p>
        </w:tc>
        <w:tc>
          <w:tcPr>
            <w:tcW w:w="1011" w:type="dxa"/>
            <w:noWrap/>
            <w:vAlign w:val="bottom"/>
          </w:tcPr>
          <w:p w:rsidR="00B6432F" w:rsidRDefault="00B6432F">
            <w:pPr>
              <w:jc w:val="right"/>
              <w:rPr>
                <w:sz w:val="18"/>
                <w:szCs w:val="18"/>
              </w:rPr>
            </w:pPr>
            <w:r>
              <w:rPr>
                <w:sz w:val="18"/>
                <w:szCs w:val="18"/>
              </w:rPr>
              <w:t>23,801</w:t>
            </w:r>
          </w:p>
        </w:tc>
        <w:tc>
          <w:tcPr>
            <w:tcW w:w="1011" w:type="dxa"/>
            <w:noWrap/>
            <w:vAlign w:val="bottom"/>
          </w:tcPr>
          <w:p w:rsidR="00B6432F" w:rsidRDefault="00B6432F">
            <w:pPr>
              <w:jc w:val="right"/>
              <w:rPr>
                <w:sz w:val="18"/>
                <w:szCs w:val="18"/>
              </w:rPr>
            </w:pPr>
            <w:r>
              <w:rPr>
                <w:sz w:val="18"/>
                <w:szCs w:val="18"/>
              </w:rPr>
              <w:t>24,470</w:t>
            </w:r>
          </w:p>
        </w:tc>
        <w:tc>
          <w:tcPr>
            <w:tcW w:w="1011" w:type="dxa"/>
            <w:noWrap/>
            <w:vAlign w:val="bottom"/>
          </w:tcPr>
          <w:p w:rsidR="00B6432F" w:rsidRDefault="00B6432F">
            <w:pPr>
              <w:jc w:val="right"/>
              <w:rPr>
                <w:sz w:val="18"/>
                <w:szCs w:val="18"/>
              </w:rPr>
            </w:pPr>
            <w:r>
              <w:rPr>
                <w:sz w:val="18"/>
                <w:szCs w:val="18"/>
              </w:rPr>
              <w:t>25,170</w:t>
            </w:r>
          </w:p>
        </w:tc>
      </w:tr>
      <w:tr w:rsidR="00B6432F" w:rsidRPr="00443CCA" w:rsidTr="00BD38E0">
        <w:trPr>
          <w:trHeight w:val="151"/>
        </w:trPr>
        <w:tc>
          <w:tcPr>
            <w:tcW w:w="3117" w:type="dxa"/>
            <w:noWrap/>
            <w:vAlign w:val="bottom"/>
          </w:tcPr>
          <w:p w:rsidR="00B6432F" w:rsidRPr="007D17CA" w:rsidRDefault="00B6432F">
            <w:pPr>
              <w:rPr>
                <w:sz w:val="20"/>
              </w:rPr>
            </w:pPr>
            <w:r w:rsidRPr="007D17CA">
              <w:rPr>
                <w:sz w:val="20"/>
              </w:rPr>
              <w:t>Recoveries</w:t>
            </w:r>
          </w:p>
        </w:tc>
        <w:tc>
          <w:tcPr>
            <w:tcW w:w="1307" w:type="dxa"/>
            <w:noWrap/>
            <w:vAlign w:val="bottom"/>
          </w:tcPr>
          <w:p w:rsidR="00B6432F" w:rsidRDefault="00B6432F">
            <w:pPr>
              <w:jc w:val="right"/>
              <w:rPr>
                <w:sz w:val="18"/>
                <w:szCs w:val="18"/>
              </w:rPr>
            </w:pPr>
            <w:r>
              <w:rPr>
                <w:sz w:val="18"/>
                <w:szCs w:val="18"/>
              </w:rPr>
              <w:t>7,271</w:t>
            </w:r>
          </w:p>
        </w:tc>
        <w:tc>
          <w:tcPr>
            <w:tcW w:w="1011" w:type="dxa"/>
            <w:noWrap/>
            <w:vAlign w:val="bottom"/>
          </w:tcPr>
          <w:p w:rsidR="00B6432F" w:rsidRDefault="00B6432F">
            <w:pPr>
              <w:jc w:val="right"/>
              <w:rPr>
                <w:sz w:val="18"/>
                <w:szCs w:val="18"/>
              </w:rPr>
            </w:pPr>
            <w:r>
              <w:rPr>
                <w:sz w:val="18"/>
                <w:szCs w:val="18"/>
              </w:rPr>
              <w:t>12,407</w:t>
            </w:r>
          </w:p>
        </w:tc>
        <w:tc>
          <w:tcPr>
            <w:tcW w:w="1011" w:type="dxa"/>
            <w:noWrap/>
            <w:vAlign w:val="bottom"/>
          </w:tcPr>
          <w:p w:rsidR="00B6432F" w:rsidRDefault="00B6432F">
            <w:pPr>
              <w:jc w:val="right"/>
              <w:rPr>
                <w:sz w:val="18"/>
                <w:szCs w:val="18"/>
              </w:rPr>
            </w:pPr>
            <w:r>
              <w:rPr>
                <w:sz w:val="18"/>
                <w:szCs w:val="18"/>
              </w:rPr>
              <w:t>12,171</w:t>
            </w:r>
          </w:p>
        </w:tc>
        <w:tc>
          <w:tcPr>
            <w:tcW w:w="1011" w:type="dxa"/>
            <w:noWrap/>
            <w:vAlign w:val="bottom"/>
          </w:tcPr>
          <w:p w:rsidR="00B6432F" w:rsidRDefault="00B6432F">
            <w:pPr>
              <w:jc w:val="right"/>
              <w:rPr>
                <w:sz w:val="18"/>
                <w:szCs w:val="18"/>
              </w:rPr>
            </w:pPr>
            <w:r>
              <w:rPr>
                <w:sz w:val="18"/>
                <w:szCs w:val="18"/>
              </w:rPr>
              <w:t>12,411</w:t>
            </w:r>
          </w:p>
        </w:tc>
        <w:tc>
          <w:tcPr>
            <w:tcW w:w="1011" w:type="dxa"/>
            <w:noWrap/>
            <w:vAlign w:val="bottom"/>
          </w:tcPr>
          <w:p w:rsidR="00B6432F" w:rsidRDefault="00B6432F">
            <w:pPr>
              <w:jc w:val="right"/>
              <w:rPr>
                <w:sz w:val="18"/>
                <w:szCs w:val="18"/>
              </w:rPr>
            </w:pPr>
            <w:r>
              <w:rPr>
                <w:sz w:val="18"/>
                <w:szCs w:val="18"/>
              </w:rPr>
              <w:t>13,062</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Salary Packaging</w:t>
            </w:r>
          </w:p>
        </w:tc>
        <w:tc>
          <w:tcPr>
            <w:tcW w:w="1307" w:type="dxa"/>
            <w:noWrap/>
            <w:vAlign w:val="bottom"/>
          </w:tcPr>
          <w:p w:rsidR="00B6432F" w:rsidRDefault="00B6432F">
            <w:pPr>
              <w:jc w:val="right"/>
              <w:rPr>
                <w:sz w:val="18"/>
                <w:szCs w:val="18"/>
              </w:rPr>
            </w:pPr>
            <w:r>
              <w:rPr>
                <w:sz w:val="18"/>
                <w:szCs w:val="18"/>
              </w:rPr>
              <w:t>1,674</w:t>
            </w:r>
          </w:p>
        </w:tc>
        <w:tc>
          <w:tcPr>
            <w:tcW w:w="1011" w:type="dxa"/>
            <w:noWrap/>
            <w:vAlign w:val="bottom"/>
          </w:tcPr>
          <w:p w:rsidR="00B6432F" w:rsidRDefault="00B6432F">
            <w:pPr>
              <w:jc w:val="right"/>
              <w:rPr>
                <w:sz w:val="18"/>
                <w:szCs w:val="18"/>
              </w:rPr>
            </w:pPr>
            <w:r>
              <w:rPr>
                <w:sz w:val="18"/>
                <w:szCs w:val="18"/>
              </w:rPr>
              <w:t>1,693</w:t>
            </w:r>
          </w:p>
        </w:tc>
        <w:tc>
          <w:tcPr>
            <w:tcW w:w="1011" w:type="dxa"/>
            <w:noWrap/>
            <w:vAlign w:val="bottom"/>
          </w:tcPr>
          <w:p w:rsidR="00B6432F" w:rsidRDefault="00B6432F">
            <w:pPr>
              <w:jc w:val="right"/>
              <w:rPr>
                <w:sz w:val="18"/>
                <w:szCs w:val="18"/>
              </w:rPr>
            </w:pPr>
            <w:r>
              <w:rPr>
                <w:sz w:val="18"/>
                <w:szCs w:val="18"/>
              </w:rPr>
              <w:t>1,716</w:t>
            </w:r>
          </w:p>
        </w:tc>
        <w:tc>
          <w:tcPr>
            <w:tcW w:w="1011" w:type="dxa"/>
            <w:noWrap/>
            <w:vAlign w:val="bottom"/>
          </w:tcPr>
          <w:p w:rsidR="00B6432F" w:rsidRDefault="00B6432F">
            <w:pPr>
              <w:jc w:val="right"/>
              <w:rPr>
                <w:sz w:val="18"/>
                <w:szCs w:val="18"/>
              </w:rPr>
            </w:pPr>
            <w:r>
              <w:rPr>
                <w:sz w:val="18"/>
                <w:szCs w:val="18"/>
              </w:rPr>
              <w:t>1,740</w:t>
            </w:r>
          </w:p>
        </w:tc>
        <w:tc>
          <w:tcPr>
            <w:tcW w:w="1011" w:type="dxa"/>
            <w:noWrap/>
            <w:vAlign w:val="bottom"/>
          </w:tcPr>
          <w:p w:rsidR="00B6432F" w:rsidRDefault="00B6432F">
            <w:pPr>
              <w:jc w:val="right"/>
              <w:rPr>
                <w:sz w:val="18"/>
                <w:szCs w:val="18"/>
              </w:rPr>
            </w:pPr>
            <w:r>
              <w:rPr>
                <w:sz w:val="18"/>
                <w:szCs w:val="18"/>
              </w:rPr>
              <w:t>1,764</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Contributions</w:t>
            </w:r>
          </w:p>
        </w:tc>
        <w:tc>
          <w:tcPr>
            <w:tcW w:w="1307" w:type="dxa"/>
            <w:noWrap/>
            <w:vAlign w:val="bottom"/>
          </w:tcPr>
          <w:p w:rsidR="00B6432F" w:rsidRDefault="00B6432F">
            <w:pPr>
              <w:jc w:val="right"/>
              <w:rPr>
                <w:sz w:val="18"/>
                <w:szCs w:val="18"/>
              </w:rPr>
            </w:pPr>
            <w:r>
              <w:rPr>
                <w:sz w:val="18"/>
                <w:szCs w:val="18"/>
              </w:rPr>
              <w:t>1,164</w:t>
            </w:r>
          </w:p>
        </w:tc>
        <w:tc>
          <w:tcPr>
            <w:tcW w:w="1011" w:type="dxa"/>
            <w:noWrap/>
            <w:vAlign w:val="bottom"/>
          </w:tcPr>
          <w:p w:rsidR="00B6432F" w:rsidRDefault="00B6432F">
            <w:pPr>
              <w:jc w:val="right"/>
              <w:rPr>
                <w:sz w:val="18"/>
                <w:szCs w:val="18"/>
              </w:rPr>
            </w:pPr>
            <w:r>
              <w:rPr>
                <w:sz w:val="18"/>
                <w:szCs w:val="18"/>
              </w:rPr>
              <w:t>1,500</w:t>
            </w:r>
          </w:p>
        </w:tc>
        <w:tc>
          <w:tcPr>
            <w:tcW w:w="1011" w:type="dxa"/>
            <w:noWrap/>
            <w:vAlign w:val="bottom"/>
          </w:tcPr>
          <w:p w:rsidR="00B6432F" w:rsidRDefault="00B6432F">
            <w:pPr>
              <w:jc w:val="right"/>
              <w:rPr>
                <w:sz w:val="18"/>
                <w:szCs w:val="18"/>
              </w:rPr>
            </w:pPr>
            <w:r>
              <w:rPr>
                <w:sz w:val="18"/>
                <w:szCs w:val="18"/>
              </w:rPr>
              <w:t>1,035</w:t>
            </w:r>
          </w:p>
        </w:tc>
        <w:tc>
          <w:tcPr>
            <w:tcW w:w="1011" w:type="dxa"/>
            <w:noWrap/>
            <w:vAlign w:val="bottom"/>
          </w:tcPr>
          <w:p w:rsidR="00B6432F" w:rsidRDefault="00B6432F">
            <w:pPr>
              <w:jc w:val="right"/>
              <w:rPr>
                <w:sz w:val="18"/>
                <w:szCs w:val="18"/>
              </w:rPr>
            </w:pPr>
            <w:r>
              <w:rPr>
                <w:sz w:val="18"/>
                <w:szCs w:val="18"/>
              </w:rPr>
              <w:t>1,126</w:t>
            </w:r>
          </w:p>
        </w:tc>
        <w:tc>
          <w:tcPr>
            <w:tcW w:w="1011" w:type="dxa"/>
            <w:noWrap/>
            <w:vAlign w:val="bottom"/>
          </w:tcPr>
          <w:p w:rsidR="00B6432F" w:rsidRDefault="00B6432F">
            <w:pPr>
              <w:jc w:val="right"/>
              <w:rPr>
                <w:sz w:val="18"/>
                <w:szCs w:val="18"/>
              </w:rPr>
            </w:pPr>
            <w:r>
              <w:rPr>
                <w:sz w:val="18"/>
                <w:szCs w:val="18"/>
              </w:rPr>
              <w:t>1,124</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Perpetual Care Trust</w:t>
            </w:r>
          </w:p>
        </w:tc>
        <w:tc>
          <w:tcPr>
            <w:tcW w:w="1307" w:type="dxa"/>
            <w:noWrap/>
            <w:vAlign w:val="bottom"/>
          </w:tcPr>
          <w:p w:rsidR="00B6432F" w:rsidRDefault="00B6432F">
            <w:pPr>
              <w:jc w:val="right"/>
              <w:rPr>
                <w:sz w:val="18"/>
                <w:szCs w:val="18"/>
              </w:rPr>
            </w:pPr>
            <w:r>
              <w:rPr>
                <w:sz w:val="18"/>
                <w:szCs w:val="18"/>
              </w:rPr>
              <w:t>1,712</w:t>
            </w:r>
          </w:p>
        </w:tc>
        <w:tc>
          <w:tcPr>
            <w:tcW w:w="1011" w:type="dxa"/>
            <w:noWrap/>
            <w:vAlign w:val="bottom"/>
          </w:tcPr>
          <w:p w:rsidR="00B6432F" w:rsidRDefault="00B6432F">
            <w:pPr>
              <w:jc w:val="right"/>
              <w:rPr>
                <w:sz w:val="18"/>
                <w:szCs w:val="18"/>
              </w:rPr>
            </w:pPr>
            <w:r>
              <w:rPr>
                <w:sz w:val="18"/>
                <w:szCs w:val="18"/>
              </w:rPr>
              <w:t>1,904</w:t>
            </w:r>
          </w:p>
        </w:tc>
        <w:tc>
          <w:tcPr>
            <w:tcW w:w="1011" w:type="dxa"/>
            <w:noWrap/>
            <w:vAlign w:val="bottom"/>
          </w:tcPr>
          <w:p w:rsidR="00B6432F" w:rsidRDefault="00B6432F">
            <w:pPr>
              <w:jc w:val="right"/>
              <w:rPr>
                <w:sz w:val="18"/>
                <w:szCs w:val="18"/>
              </w:rPr>
            </w:pPr>
            <w:r>
              <w:rPr>
                <w:sz w:val="18"/>
                <w:szCs w:val="18"/>
              </w:rPr>
              <w:t>1,952</w:t>
            </w:r>
          </w:p>
        </w:tc>
        <w:tc>
          <w:tcPr>
            <w:tcW w:w="1011" w:type="dxa"/>
            <w:noWrap/>
            <w:vAlign w:val="bottom"/>
          </w:tcPr>
          <w:p w:rsidR="00B6432F" w:rsidRDefault="00B6432F">
            <w:pPr>
              <w:jc w:val="right"/>
              <w:rPr>
                <w:sz w:val="18"/>
                <w:szCs w:val="18"/>
              </w:rPr>
            </w:pPr>
            <w:r>
              <w:rPr>
                <w:sz w:val="18"/>
                <w:szCs w:val="18"/>
              </w:rPr>
              <w:t>2,001</w:t>
            </w:r>
          </w:p>
        </w:tc>
        <w:tc>
          <w:tcPr>
            <w:tcW w:w="1011" w:type="dxa"/>
            <w:noWrap/>
            <w:vAlign w:val="bottom"/>
          </w:tcPr>
          <w:p w:rsidR="00B6432F" w:rsidRDefault="00B6432F">
            <w:pPr>
              <w:jc w:val="right"/>
              <w:rPr>
                <w:sz w:val="18"/>
                <w:szCs w:val="18"/>
              </w:rPr>
            </w:pPr>
            <w:r>
              <w:rPr>
                <w:sz w:val="18"/>
                <w:szCs w:val="18"/>
              </w:rPr>
              <w:t>2,081</w:t>
            </w:r>
          </w:p>
        </w:tc>
      </w:tr>
      <w:tr w:rsidR="00B6432F" w:rsidRPr="00443CCA" w:rsidTr="00BD38E0">
        <w:trPr>
          <w:trHeight w:val="170"/>
        </w:trPr>
        <w:tc>
          <w:tcPr>
            <w:tcW w:w="3117" w:type="dxa"/>
            <w:noWrap/>
            <w:vAlign w:val="bottom"/>
          </w:tcPr>
          <w:p w:rsidR="00B6432F" w:rsidRPr="007D17CA" w:rsidRDefault="00B6432F" w:rsidP="00443CCA">
            <w:pPr>
              <w:ind w:left="142" w:hanging="142"/>
              <w:rPr>
                <w:sz w:val="20"/>
              </w:rPr>
            </w:pPr>
            <w:r w:rsidRPr="007D17CA">
              <w:rPr>
                <w:sz w:val="20"/>
              </w:rPr>
              <w:t>Problem Gambling Assistance Fund and Racefield Payments</w:t>
            </w:r>
          </w:p>
        </w:tc>
        <w:tc>
          <w:tcPr>
            <w:tcW w:w="1307" w:type="dxa"/>
            <w:noWrap/>
            <w:vAlign w:val="bottom"/>
          </w:tcPr>
          <w:p w:rsidR="00B6432F" w:rsidRDefault="00B6432F">
            <w:pPr>
              <w:jc w:val="right"/>
              <w:rPr>
                <w:sz w:val="18"/>
                <w:szCs w:val="18"/>
              </w:rPr>
            </w:pPr>
            <w:r>
              <w:rPr>
                <w:sz w:val="18"/>
                <w:szCs w:val="18"/>
              </w:rPr>
              <w:t>1,162</w:t>
            </w:r>
          </w:p>
        </w:tc>
        <w:tc>
          <w:tcPr>
            <w:tcW w:w="1011" w:type="dxa"/>
            <w:noWrap/>
            <w:vAlign w:val="bottom"/>
          </w:tcPr>
          <w:p w:rsidR="00B6432F" w:rsidRDefault="00B6432F">
            <w:pPr>
              <w:jc w:val="right"/>
              <w:rPr>
                <w:sz w:val="18"/>
                <w:szCs w:val="18"/>
              </w:rPr>
            </w:pPr>
            <w:r>
              <w:rPr>
                <w:sz w:val="18"/>
                <w:szCs w:val="18"/>
              </w:rPr>
              <w:t>1,111</w:t>
            </w:r>
          </w:p>
        </w:tc>
        <w:tc>
          <w:tcPr>
            <w:tcW w:w="1011" w:type="dxa"/>
            <w:noWrap/>
            <w:vAlign w:val="bottom"/>
          </w:tcPr>
          <w:p w:rsidR="00B6432F" w:rsidRDefault="00B6432F">
            <w:pPr>
              <w:jc w:val="right"/>
              <w:rPr>
                <w:sz w:val="18"/>
                <w:szCs w:val="18"/>
              </w:rPr>
            </w:pPr>
            <w:r>
              <w:rPr>
                <w:sz w:val="18"/>
                <w:szCs w:val="18"/>
              </w:rPr>
              <w:t>1,139</w:t>
            </w:r>
          </w:p>
        </w:tc>
        <w:tc>
          <w:tcPr>
            <w:tcW w:w="1011" w:type="dxa"/>
            <w:noWrap/>
            <w:vAlign w:val="bottom"/>
          </w:tcPr>
          <w:p w:rsidR="00B6432F" w:rsidRDefault="00B6432F">
            <w:pPr>
              <w:jc w:val="right"/>
              <w:rPr>
                <w:sz w:val="18"/>
                <w:szCs w:val="18"/>
              </w:rPr>
            </w:pPr>
            <w:r>
              <w:rPr>
                <w:sz w:val="18"/>
                <w:szCs w:val="18"/>
              </w:rPr>
              <w:t>1,168</w:t>
            </w:r>
          </w:p>
        </w:tc>
        <w:tc>
          <w:tcPr>
            <w:tcW w:w="1011" w:type="dxa"/>
            <w:noWrap/>
            <w:vAlign w:val="bottom"/>
          </w:tcPr>
          <w:p w:rsidR="00B6432F" w:rsidRDefault="00B6432F">
            <w:pPr>
              <w:jc w:val="right"/>
              <w:rPr>
                <w:sz w:val="18"/>
                <w:szCs w:val="18"/>
              </w:rPr>
            </w:pPr>
            <w:r>
              <w:rPr>
                <w:sz w:val="18"/>
                <w:szCs w:val="18"/>
              </w:rPr>
              <w:t>1,197</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Regulatory Fees</w:t>
            </w:r>
          </w:p>
        </w:tc>
        <w:tc>
          <w:tcPr>
            <w:tcW w:w="1307" w:type="dxa"/>
            <w:noWrap/>
            <w:vAlign w:val="bottom"/>
          </w:tcPr>
          <w:p w:rsidR="00B6432F" w:rsidRDefault="00B6432F">
            <w:pPr>
              <w:jc w:val="right"/>
              <w:rPr>
                <w:sz w:val="18"/>
                <w:szCs w:val="18"/>
              </w:rPr>
            </w:pPr>
            <w:r>
              <w:rPr>
                <w:sz w:val="18"/>
                <w:szCs w:val="18"/>
              </w:rPr>
              <w:t>1,355</w:t>
            </w:r>
          </w:p>
        </w:tc>
        <w:tc>
          <w:tcPr>
            <w:tcW w:w="1011" w:type="dxa"/>
            <w:noWrap/>
            <w:vAlign w:val="bottom"/>
          </w:tcPr>
          <w:p w:rsidR="00B6432F" w:rsidRDefault="00B6432F">
            <w:pPr>
              <w:jc w:val="right"/>
              <w:rPr>
                <w:sz w:val="18"/>
                <w:szCs w:val="18"/>
              </w:rPr>
            </w:pPr>
            <w:r>
              <w:rPr>
                <w:sz w:val="18"/>
                <w:szCs w:val="18"/>
              </w:rPr>
              <w:t>1,363</w:t>
            </w:r>
          </w:p>
        </w:tc>
        <w:tc>
          <w:tcPr>
            <w:tcW w:w="1011" w:type="dxa"/>
            <w:noWrap/>
            <w:vAlign w:val="bottom"/>
          </w:tcPr>
          <w:p w:rsidR="00B6432F" w:rsidRDefault="00B6432F">
            <w:pPr>
              <w:jc w:val="right"/>
              <w:rPr>
                <w:sz w:val="18"/>
                <w:szCs w:val="18"/>
              </w:rPr>
            </w:pPr>
            <w:r>
              <w:rPr>
                <w:sz w:val="18"/>
                <w:szCs w:val="18"/>
              </w:rPr>
              <w:t>1,364</w:t>
            </w:r>
          </w:p>
        </w:tc>
        <w:tc>
          <w:tcPr>
            <w:tcW w:w="1011" w:type="dxa"/>
            <w:noWrap/>
            <w:vAlign w:val="bottom"/>
          </w:tcPr>
          <w:p w:rsidR="00B6432F" w:rsidRDefault="00B6432F">
            <w:pPr>
              <w:jc w:val="right"/>
              <w:rPr>
                <w:sz w:val="18"/>
                <w:szCs w:val="18"/>
              </w:rPr>
            </w:pPr>
            <w:r>
              <w:rPr>
                <w:sz w:val="18"/>
                <w:szCs w:val="18"/>
              </w:rPr>
              <w:t>1,366</w:t>
            </w:r>
          </w:p>
        </w:tc>
        <w:tc>
          <w:tcPr>
            <w:tcW w:w="1011" w:type="dxa"/>
            <w:noWrap/>
            <w:vAlign w:val="bottom"/>
          </w:tcPr>
          <w:p w:rsidR="00B6432F" w:rsidRDefault="00B6432F">
            <w:pPr>
              <w:jc w:val="right"/>
              <w:rPr>
                <w:sz w:val="18"/>
                <w:szCs w:val="18"/>
              </w:rPr>
            </w:pPr>
            <w:r>
              <w:rPr>
                <w:sz w:val="18"/>
                <w:szCs w:val="18"/>
              </w:rPr>
              <w:t>1,368</w:t>
            </w:r>
          </w:p>
        </w:tc>
      </w:tr>
      <w:tr w:rsidR="00B6432F" w:rsidRPr="00443CCA" w:rsidTr="00BD38E0">
        <w:trPr>
          <w:trHeight w:val="170"/>
        </w:trPr>
        <w:tc>
          <w:tcPr>
            <w:tcW w:w="3117" w:type="dxa"/>
            <w:noWrap/>
            <w:vAlign w:val="bottom"/>
          </w:tcPr>
          <w:p w:rsidR="00B6432F" w:rsidRPr="007D17CA" w:rsidRDefault="00B6432F">
            <w:pPr>
              <w:rPr>
                <w:sz w:val="20"/>
              </w:rPr>
            </w:pPr>
            <w:r w:rsidRPr="007D17CA">
              <w:rPr>
                <w:sz w:val="20"/>
              </w:rPr>
              <w:t>Unclaimed Monies</w:t>
            </w:r>
          </w:p>
        </w:tc>
        <w:tc>
          <w:tcPr>
            <w:tcW w:w="1307" w:type="dxa"/>
            <w:noWrap/>
            <w:vAlign w:val="bottom"/>
          </w:tcPr>
          <w:p w:rsidR="00B6432F" w:rsidRDefault="00B6432F">
            <w:pPr>
              <w:jc w:val="right"/>
              <w:rPr>
                <w:sz w:val="18"/>
                <w:szCs w:val="18"/>
              </w:rPr>
            </w:pPr>
            <w:r>
              <w:rPr>
                <w:sz w:val="18"/>
                <w:szCs w:val="18"/>
              </w:rPr>
              <w:t>30</w:t>
            </w:r>
          </w:p>
        </w:tc>
        <w:tc>
          <w:tcPr>
            <w:tcW w:w="1011" w:type="dxa"/>
            <w:noWrap/>
            <w:vAlign w:val="bottom"/>
          </w:tcPr>
          <w:p w:rsidR="00B6432F" w:rsidRDefault="00B6432F">
            <w:pPr>
              <w:jc w:val="right"/>
              <w:rPr>
                <w:sz w:val="18"/>
                <w:szCs w:val="18"/>
              </w:rPr>
            </w:pPr>
            <w:r>
              <w:rPr>
                <w:sz w:val="18"/>
                <w:szCs w:val="18"/>
              </w:rPr>
              <w:t>31</w:t>
            </w:r>
          </w:p>
        </w:tc>
        <w:tc>
          <w:tcPr>
            <w:tcW w:w="1011" w:type="dxa"/>
            <w:noWrap/>
            <w:vAlign w:val="bottom"/>
          </w:tcPr>
          <w:p w:rsidR="00B6432F" w:rsidRDefault="00B6432F">
            <w:pPr>
              <w:jc w:val="right"/>
              <w:rPr>
                <w:sz w:val="18"/>
                <w:szCs w:val="18"/>
              </w:rPr>
            </w:pPr>
            <w:r>
              <w:rPr>
                <w:sz w:val="18"/>
                <w:szCs w:val="18"/>
              </w:rPr>
              <w:t>32</w:t>
            </w:r>
          </w:p>
        </w:tc>
        <w:tc>
          <w:tcPr>
            <w:tcW w:w="1011" w:type="dxa"/>
            <w:noWrap/>
            <w:vAlign w:val="bottom"/>
          </w:tcPr>
          <w:p w:rsidR="00B6432F" w:rsidRDefault="00B6432F">
            <w:pPr>
              <w:jc w:val="right"/>
              <w:rPr>
                <w:sz w:val="18"/>
                <w:szCs w:val="18"/>
              </w:rPr>
            </w:pPr>
            <w:r>
              <w:rPr>
                <w:sz w:val="18"/>
                <w:szCs w:val="18"/>
              </w:rPr>
              <w:t>32</w:t>
            </w:r>
          </w:p>
        </w:tc>
        <w:tc>
          <w:tcPr>
            <w:tcW w:w="1011" w:type="dxa"/>
            <w:noWrap/>
            <w:vAlign w:val="bottom"/>
          </w:tcPr>
          <w:p w:rsidR="00B6432F" w:rsidRDefault="00B6432F">
            <w:pPr>
              <w:jc w:val="right"/>
              <w:rPr>
                <w:sz w:val="18"/>
                <w:szCs w:val="18"/>
              </w:rPr>
            </w:pPr>
            <w:r>
              <w:rPr>
                <w:sz w:val="18"/>
                <w:szCs w:val="18"/>
              </w:rPr>
              <w:t>33</w:t>
            </w:r>
          </w:p>
        </w:tc>
      </w:tr>
      <w:tr w:rsidR="00B6432F" w:rsidRPr="00443CCA" w:rsidTr="00BD38E0">
        <w:trPr>
          <w:trHeight w:val="170"/>
        </w:trPr>
        <w:tc>
          <w:tcPr>
            <w:tcW w:w="3117" w:type="dxa"/>
            <w:noWrap/>
            <w:vAlign w:val="bottom"/>
          </w:tcPr>
          <w:p w:rsidR="00B6432F" w:rsidRPr="007D17CA" w:rsidRDefault="00B6432F">
            <w:pPr>
              <w:rPr>
                <w:sz w:val="20"/>
                <w:highlight w:val="yellow"/>
              </w:rPr>
            </w:pPr>
            <w:r w:rsidRPr="007D17CA">
              <w:rPr>
                <w:sz w:val="20"/>
              </w:rPr>
              <w:t>Miscellaneous</w:t>
            </w:r>
          </w:p>
        </w:tc>
        <w:tc>
          <w:tcPr>
            <w:tcW w:w="1307" w:type="dxa"/>
            <w:noWrap/>
            <w:vAlign w:val="bottom"/>
          </w:tcPr>
          <w:p w:rsidR="00B6432F" w:rsidRDefault="00B6432F">
            <w:pPr>
              <w:jc w:val="right"/>
              <w:rPr>
                <w:sz w:val="18"/>
                <w:szCs w:val="18"/>
              </w:rPr>
            </w:pPr>
            <w:r>
              <w:rPr>
                <w:sz w:val="18"/>
                <w:szCs w:val="18"/>
              </w:rPr>
              <w:t>1,524</w:t>
            </w:r>
          </w:p>
        </w:tc>
        <w:tc>
          <w:tcPr>
            <w:tcW w:w="1011" w:type="dxa"/>
            <w:noWrap/>
            <w:vAlign w:val="bottom"/>
          </w:tcPr>
          <w:p w:rsidR="00B6432F" w:rsidRDefault="00B6432F">
            <w:pPr>
              <w:jc w:val="right"/>
              <w:rPr>
                <w:sz w:val="18"/>
                <w:szCs w:val="18"/>
              </w:rPr>
            </w:pPr>
            <w:r>
              <w:rPr>
                <w:sz w:val="18"/>
                <w:szCs w:val="18"/>
              </w:rPr>
              <w:t>790</w:t>
            </w:r>
          </w:p>
        </w:tc>
        <w:tc>
          <w:tcPr>
            <w:tcW w:w="1011" w:type="dxa"/>
            <w:noWrap/>
            <w:vAlign w:val="bottom"/>
          </w:tcPr>
          <w:p w:rsidR="00B6432F" w:rsidRDefault="00B6432F">
            <w:pPr>
              <w:jc w:val="right"/>
              <w:rPr>
                <w:sz w:val="18"/>
                <w:szCs w:val="18"/>
              </w:rPr>
            </w:pPr>
            <w:r>
              <w:rPr>
                <w:sz w:val="18"/>
                <w:szCs w:val="18"/>
              </w:rPr>
              <w:t>654</w:t>
            </w:r>
          </w:p>
        </w:tc>
        <w:tc>
          <w:tcPr>
            <w:tcW w:w="1011" w:type="dxa"/>
            <w:noWrap/>
            <w:vAlign w:val="bottom"/>
          </w:tcPr>
          <w:p w:rsidR="00B6432F" w:rsidRDefault="00B6432F">
            <w:pPr>
              <w:jc w:val="right"/>
              <w:rPr>
                <w:sz w:val="18"/>
                <w:szCs w:val="18"/>
              </w:rPr>
            </w:pPr>
            <w:r>
              <w:rPr>
                <w:sz w:val="18"/>
                <w:szCs w:val="18"/>
              </w:rPr>
              <w:t>562</w:t>
            </w:r>
          </w:p>
        </w:tc>
        <w:tc>
          <w:tcPr>
            <w:tcW w:w="1011" w:type="dxa"/>
            <w:noWrap/>
            <w:vAlign w:val="bottom"/>
          </w:tcPr>
          <w:p w:rsidR="00B6432F" w:rsidRDefault="00B6432F">
            <w:pPr>
              <w:jc w:val="right"/>
              <w:rPr>
                <w:sz w:val="18"/>
                <w:szCs w:val="18"/>
              </w:rPr>
            </w:pPr>
            <w:r>
              <w:rPr>
                <w:sz w:val="18"/>
                <w:szCs w:val="18"/>
              </w:rPr>
              <w:t>497</w:t>
            </w:r>
          </w:p>
        </w:tc>
      </w:tr>
      <w:tr w:rsidR="00B6432F" w:rsidRPr="00443CCA" w:rsidTr="007D17CA">
        <w:trPr>
          <w:trHeight w:val="170"/>
        </w:trPr>
        <w:tc>
          <w:tcPr>
            <w:tcW w:w="3117" w:type="dxa"/>
            <w:tcBorders>
              <w:top w:val="single" w:sz="4" w:space="0" w:color="auto"/>
              <w:bottom w:val="single" w:sz="4" w:space="0" w:color="auto"/>
            </w:tcBorders>
            <w:noWrap/>
          </w:tcPr>
          <w:p w:rsidR="00B6432F" w:rsidRPr="00443CCA" w:rsidRDefault="00B6432F" w:rsidP="007D17CA">
            <w:pPr>
              <w:pStyle w:val="TableTextLeftBold-BP3"/>
              <w:spacing w:before="16" w:after="16"/>
              <w:rPr>
                <w:szCs w:val="18"/>
              </w:rPr>
            </w:pPr>
            <w:r w:rsidRPr="00443CCA">
              <w:rPr>
                <w:szCs w:val="18"/>
              </w:rPr>
              <w:t>Total Other Miscellaneous Revenue</w:t>
            </w:r>
          </w:p>
        </w:tc>
        <w:tc>
          <w:tcPr>
            <w:tcW w:w="1307" w:type="dxa"/>
            <w:tcBorders>
              <w:top w:val="single" w:sz="4" w:space="0" w:color="auto"/>
              <w:bottom w:val="single" w:sz="4" w:space="0" w:color="auto"/>
            </w:tcBorders>
            <w:noWrap/>
            <w:vAlign w:val="center"/>
          </w:tcPr>
          <w:p w:rsidR="00B6432F" w:rsidRDefault="00B6432F" w:rsidP="007D17CA">
            <w:pPr>
              <w:jc w:val="right"/>
              <w:rPr>
                <w:b/>
                <w:bCs/>
                <w:sz w:val="18"/>
                <w:szCs w:val="18"/>
              </w:rPr>
            </w:pPr>
            <w:r>
              <w:rPr>
                <w:b/>
                <w:bCs/>
                <w:sz w:val="18"/>
                <w:szCs w:val="18"/>
              </w:rPr>
              <w:t>43,138</w:t>
            </w:r>
          </w:p>
        </w:tc>
        <w:tc>
          <w:tcPr>
            <w:tcW w:w="1011" w:type="dxa"/>
            <w:tcBorders>
              <w:top w:val="single" w:sz="4" w:space="0" w:color="auto"/>
              <w:bottom w:val="single" w:sz="4" w:space="0" w:color="auto"/>
            </w:tcBorders>
            <w:noWrap/>
            <w:vAlign w:val="center"/>
          </w:tcPr>
          <w:p w:rsidR="00B6432F" w:rsidRDefault="00B6432F" w:rsidP="007D17CA">
            <w:pPr>
              <w:jc w:val="right"/>
              <w:rPr>
                <w:b/>
                <w:bCs/>
                <w:sz w:val="18"/>
                <w:szCs w:val="18"/>
              </w:rPr>
            </w:pPr>
            <w:r>
              <w:rPr>
                <w:b/>
                <w:bCs/>
                <w:sz w:val="18"/>
                <w:szCs w:val="18"/>
              </w:rPr>
              <w:t>49,189</w:t>
            </w:r>
          </w:p>
        </w:tc>
        <w:tc>
          <w:tcPr>
            <w:tcW w:w="1011" w:type="dxa"/>
            <w:tcBorders>
              <w:top w:val="single" w:sz="4" w:space="0" w:color="auto"/>
              <w:bottom w:val="single" w:sz="4" w:space="0" w:color="auto"/>
            </w:tcBorders>
            <w:noWrap/>
            <w:vAlign w:val="center"/>
          </w:tcPr>
          <w:p w:rsidR="00B6432F" w:rsidRDefault="00B6432F" w:rsidP="007D17CA">
            <w:pPr>
              <w:jc w:val="right"/>
              <w:rPr>
                <w:b/>
                <w:bCs/>
                <w:sz w:val="18"/>
                <w:szCs w:val="18"/>
              </w:rPr>
            </w:pPr>
            <w:r>
              <w:rPr>
                <w:b/>
                <w:bCs/>
                <w:sz w:val="18"/>
                <w:szCs w:val="18"/>
              </w:rPr>
              <w:t>49,416</w:t>
            </w:r>
          </w:p>
        </w:tc>
        <w:tc>
          <w:tcPr>
            <w:tcW w:w="1011" w:type="dxa"/>
            <w:tcBorders>
              <w:top w:val="single" w:sz="4" w:space="0" w:color="auto"/>
              <w:bottom w:val="single" w:sz="4" w:space="0" w:color="auto"/>
            </w:tcBorders>
            <w:noWrap/>
            <w:vAlign w:val="center"/>
          </w:tcPr>
          <w:p w:rsidR="00B6432F" w:rsidRDefault="00B6432F" w:rsidP="007D17CA">
            <w:pPr>
              <w:jc w:val="right"/>
              <w:rPr>
                <w:b/>
                <w:bCs/>
                <w:sz w:val="18"/>
                <w:szCs w:val="18"/>
              </w:rPr>
            </w:pPr>
            <w:r>
              <w:rPr>
                <w:b/>
                <w:bCs/>
                <w:sz w:val="18"/>
                <w:szCs w:val="18"/>
              </w:rPr>
              <w:t>50,764</w:t>
            </w:r>
          </w:p>
        </w:tc>
        <w:tc>
          <w:tcPr>
            <w:tcW w:w="1011" w:type="dxa"/>
            <w:tcBorders>
              <w:top w:val="single" w:sz="4" w:space="0" w:color="auto"/>
              <w:bottom w:val="single" w:sz="4" w:space="0" w:color="auto"/>
            </w:tcBorders>
            <w:noWrap/>
            <w:vAlign w:val="center"/>
          </w:tcPr>
          <w:p w:rsidR="00B6432F" w:rsidRDefault="00B6432F" w:rsidP="007D17CA">
            <w:pPr>
              <w:jc w:val="right"/>
              <w:rPr>
                <w:b/>
                <w:bCs/>
                <w:sz w:val="18"/>
                <w:szCs w:val="18"/>
              </w:rPr>
            </w:pPr>
            <w:r>
              <w:rPr>
                <w:b/>
                <w:bCs/>
                <w:sz w:val="18"/>
                <w:szCs w:val="18"/>
              </w:rPr>
              <w:t>52,544</w:t>
            </w:r>
          </w:p>
        </w:tc>
      </w:tr>
    </w:tbl>
    <w:p w:rsidR="00BA26F6" w:rsidRDefault="00BA26F6" w:rsidP="00BD38E0">
      <w:pPr>
        <w:pStyle w:val="BodyText"/>
      </w:pPr>
    </w:p>
    <w:p w:rsidR="00BA26F6" w:rsidRDefault="00BA26F6">
      <w:r>
        <w:br w:type="page"/>
      </w:r>
    </w:p>
    <w:p w:rsidR="004A4F80" w:rsidRPr="00904CC8" w:rsidRDefault="004A4F80" w:rsidP="00BD38E0">
      <w:pPr>
        <w:pStyle w:val="BodyText"/>
      </w:pPr>
    </w:p>
    <w:sectPr w:rsidR="004A4F80" w:rsidRPr="00904CC8" w:rsidSect="00BA26F6">
      <w:footerReference w:type="default" r:id="rId9"/>
      <w:pgSz w:w="11907" w:h="16840" w:code="9"/>
      <w:pgMar w:top="1151" w:right="1440" w:bottom="1729" w:left="1440" w:header="720" w:footer="720" w:gutter="0"/>
      <w:pgNumType w:start="6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0C" w:rsidRDefault="000D5F0C">
      <w:r>
        <w:separator/>
      </w:r>
    </w:p>
  </w:endnote>
  <w:endnote w:type="continuationSeparator" w:id="0">
    <w:p w:rsidR="000D5F0C" w:rsidRDefault="000D5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fficinaSerif-Book">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3"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0C" w:rsidRDefault="000D5F0C">
    <w:pPr>
      <w:pStyle w:val="FooterBP"/>
    </w:pPr>
    <w:r>
      <w:t>2013-14 Budget Paper No. 3</w:t>
    </w:r>
    <w:r>
      <w:tab/>
    </w:r>
    <w:r w:rsidR="00EC3AB2">
      <w:rPr>
        <w:rStyle w:val="PageNumber"/>
        <w:rFonts w:cs="Calibri"/>
      </w:rPr>
      <w:fldChar w:fldCharType="begin"/>
    </w:r>
    <w:r w:rsidR="00BA26F6">
      <w:rPr>
        <w:rStyle w:val="PageNumber"/>
        <w:rFonts w:cs="Calibri"/>
      </w:rPr>
      <w:instrText xml:space="preserve"> PAGE   \* MERGEFORMAT </w:instrText>
    </w:r>
    <w:r w:rsidR="00EC3AB2">
      <w:rPr>
        <w:rStyle w:val="PageNumber"/>
        <w:rFonts w:cs="Calibri"/>
      </w:rPr>
      <w:fldChar w:fldCharType="separate"/>
    </w:r>
    <w:r w:rsidR="00F1665E">
      <w:rPr>
        <w:rStyle w:val="PageNumber"/>
        <w:rFonts w:cs="Calibri"/>
        <w:noProof/>
      </w:rPr>
      <w:t>84</w:t>
    </w:r>
    <w:r w:rsidR="00EC3AB2">
      <w:rPr>
        <w:rStyle w:val="PageNumber"/>
        <w:rFonts w:cs="Calibri"/>
      </w:rPr>
      <w:fldChar w:fldCharType="end"/>
    </w:r>
    <w:r>
      <w:tab/>
      <w:t>Revenue and Forward Estimates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0C" w:rsidRDefault="000D5F0C">
      <w:r>
        <w:separator/>
      </w:r>
    </w:p>
  </w:footnote>
  <w:footnote w:type="continuationSeparator" w:id="0">
    <w:p w:rsidR="000D5F0C" w:rsidRDefault="000D5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930D5"/>
    <w:multiLevelType w:val="multilevel"/>
    <w:tmpl w:val="19E23728"/>
    <w:lvl w:ilvl="0">
      <w:start w:val="1"/>
      <w:numFmt w:val="lowerLetter"/>
      <w:pStyle w:val="TSYBullets"/>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0F6F51F0"/>
    <w:multiLevelType w:val="singleLevel"/>
    <w:tmpl w:val="45EA7380"/>
    <w:lvl w:ilvl="0">
      <w:start w:val="1"/>
      <w:numFmt w:val="bullet"/>
      <w:pStyle w:val="Bullet-1"/>
      <w:lvlText w:val=""/>
      <w:lvlJc w:val="left"/>
      <w:pPr>
        <w:tabs>
          <w:tab w:val="num" w:pos="360"/>
        </w:tabs>
        <w:ind w:left="288" w:hanging="288"/>
      </w:pPr>
      <w:rPr>
        <w:rFonts w:ascii="Symbol" w:hAnsi="Symbol" w:cs="Symbol" w:hint="default"/>
        <w:sz w:val="18"/>
        <w:szCs w:val="18"/>
      </w:rPr>
    </w:lvl>
  </w:abstractNum>
  <w:abstractNum w:abstractNumId="14">
    <w:nsid w:val="2042450A"/>
    <w:multiLevelType w:val="singleLevel"/>
    <w:tmpl w:val="22E0411C"/>
    <w:lvl w:ilvl="0">
      <w:start w:val="1"/>
      <w:numFmt w:val="bullet"/>
      <w:pStyle w:val="DotPoint"/>
      <w:lvlText w:val=""/>
      <w:lvlJc w:val="left"/>
      <w:pPr>
        <w:tabs>
          <w:tab w:val="num" w:pos="709"/>
        </w:tabs>
        <w:ind w:left="709" w:hanging="425"/>
      </w:pPr>
      <w:rPr>
        <w:rFonts w:ascii="Symbol" w:hAnsi="Symbol" w:cs="Symbol" w:hint="default"/>
      </w:rPr>
    </w:lvl>
  </w:abstractNum>
  <w:abstractNum w:abstractNumId="15">
    <w:nsid w:val="204403A6"/>
    <w:multiLevelType w:val="hybridMultilevel"/>
    <w:tmpl w:val="AF782D9E"/>
    <w:lvl w:ilvl="0" w:tplc="D34E0BDE">
      <w:start w:val="1"/>
      <w:numFmt w:val="bullet"/>
      <w:pStyle w:val="Caption"/>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7">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2B7B4B71"/>
    <w:multiLevelType w:val="hybridMultilevel"/>
    <w:tmpl w:val="5BD4521A"/>
    <w:lvl w:ilvl="0" w:tplc="21BA466A">
      <w:start w:val="1"/>
      <w:numFmt w:val="bullet"/>
      <w:pStyle w:val="do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9">
    <w:nsid w:val="2C9E6CD2"/>
    <w:multiLevelType w:val="hybridMultilevel"/>
    <w:tmpl w:val="AD08B1D2"/>
    <w:lvl w:ilvl="0" w:tplc="ED1C0C46">
      <w:start w:val="1"/>
      <w:numFmt w:val="bullet"/>
      <w:pStyle w:val="TableText"/>
      <w:lvlText w:val=""/>
      <w:lvlJc w:val="left"/>
      <w:pPr>
        <w:tabs>
          <w:tab w:val="num" w:pos="2700"/>
        </w:tabs>
        <w:ind w:left="2700" w:hanging="360"/>
      </w:pPr>
      <w:rPr>
        <w:rFonts w:ascii="Symbol" w:hAnsi="Symbol" w:cs="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302B1D18"/>
    <w:multiLevelType w:val="hybridMultilevel"/>
    <w:tmpl w:val="45367C18"/>
    <w:lvl w:ilvl="0" w:tplc="43604ABA">
      <w:start w:val="1"/>
      <w:numFmt w:val="decimal"/>
      <w:pStyle w:val="Numbers"/>
      <w:lvlText w:val="%1."/>
      <w:lvlJc w:val="left"/>
      <w:pPr>
        <w:tabs>
          <w:tab w:val="num" w:pos="743"/>
        </w:tabs>
        <w:ind w:left="743" w:hanging="454"/>
      </w:pPr>
      <w:rPr>
        <w:rFonts w:hint="default"/>
      </w:rPr>
    </w:lvl>
    <w:lvl w:ilvl="1" w:tplc="FFFFFFFF">
      <w:start w:val="1"/>
      <w:numFmt w:val="lowerRoman"/>
      <w:lvlText w:val="%2."/>
      <w:lvlJc w:val="right"/>
      <w:pPr>
        <w:tabs>
          <w:tab w:val="num" w:pos="1009"/>
        </w:tabs>
        <w:ind w:left="1009" w:hanging="360"/>
      </w:pPr>
    </w:lvl>
    <w:lvl w:ilvl="2" w:tplc="FFFFFFFF">
      <w:start w:val="1"/>
      <w:numFmt w:val="lowerRoman"/>
      <w:lvlText w:val="%3."/>
      <w:lvlJc w:val="right"/>
      <w:pPr>
        <w:tabs>
          <w:tab w:val="num" w:pos="2449"/>
        </w:tabs>
        <w:ind w:left="2449" w:hanging="180"/>
      </w:pPr>
    </w:lvl>
    <w:lvl w:ilvl="3" w:tplc="FFFFFFFF">
      <w:start w:val="1"/>
      <w:numFmt w:val="decimal"/>
      <w:lvlText w:val="%4."/>
      <w:lvlJc w:val="left"/>
      <w:pPr>
        <w:tabs>
          <w:tab w:val="num" w:pos="3169"/>
        </w:tabs>
        <w:ind w:left="3169" w:hanging="360"/>
      </w:pPr>
    </w:lvl>
    <w:lvl w:ilvl="4" w:tplc="FFFFFFFF">
      <w:start w:val="1"/>
      <w:numFmt w:val="lowerLetter"/>
      <w:lvlText w:val="%5."/>
      <w:lvlJc w:val="left"/>
      <w:pPr>
        <w:tabs>
          <w:tab w:val="num" w:pos="3889"/>
        </w:tabs>
        <w:ind w:left="3889" w:hanging="360"/>
      </w:pPr>
    </w:lvl>
    <w:lvl w:ilvl="5" w:tplc="FFFFFFFF">
      <w:start w:val="1"/>
      <w:numFmt w:val="lowerRoman"/>
      <w:lvlText w:val="%6."/>
      <w:lvlJc w:val="right"/>
      <w:pPr>
        <w:tabs>
          <w:tab w:val="num" w:pos="4609"/>
        </w:tabs>
        <w:ind w:left="4609" w:hanging="180"/>
      </w:pPr>
    </w:lvl>
    <w:lvl w:ilvl="6" w:tplc="FFFFFFFF">
      <w:start w:val="1"/>
      <w:numFmt w:val="decimal"/>
      <w:lvlText w:val="%7."/>
      <w:lvlJc w:val="left"/>
      <w:pPr>
        <w:tabs>
          <w:tab w:val="num" w:pos="5329"/>
        </w:tabs>
        <w:ind w:left="5329" w:hanging="360"/>
      </w:pPr>
    </w:lvl>
    <w:lvl w:ilvl="7" w:tplc="FFFFFFFF">
      <w:start w:val="1"/>
      <w:numFmt w:val="lowerLetter"/>
      <w:lvlText w:val="%8."/>
      <w:lvlJc w:val="left"/>
      <w:pPr>
        <w:tabs>
          <w:tab w:val="num" w:pos="6049"/>
        </w:tabs>
        <w:ind w:left="6049" w:hanging="360"/>
      </w:pPr>
    </w:lvl>
    <w:lvl w:ilvl="8" w:tplc="FFFFFFFF">
      <w:start w:val="1"/>
      <w:numFmt w:val="lowerRoman"/>
      <w:lvlText w:val="%9."/>
      <w:lvlJc w:val="right"/>
      <w:pPr>
        <w:tabs>
          <w:tab w:val="num" w:pos="6769"/>
        </w:tabs>
        <w:ind w:left="6769" w:hanging="180"/>
      </w:pPr>
    </w:lvl>
  </w:abstractNum>
  <w:abstractNum w:abstractNumId="21">
    <w:nsid w:val="320761C4"/>
    <w:multiLevelType w:val="multilevel"/>
    <w:tmpl w:val="F6605FA0"/>
    <w:lvl w:ilvl="0">
      <w:start w:val="1"/>
      <w:numFmt w:val="decimal"/>
      <w:pStyle w:val="NumberedNotes"/>
      <w:lvlText w:val="%1."/>
      <w:lvlJc w:val="left"/>
      <w:pPr>
        <w:tabs>
          <w:tab w:val="num" w:pos="782"/>
        </w:tabs>
        <w:ind w:left="782"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FF556C5"/>
    <w:multiLevelType w:val="singleLevel"/>
    <w:tmpl w:val="96301D66"/>
    <w:lvl w:ilvl="0">
      <w:start w:val="1"/>
      <w:numFmt w:val="bullet"/>
      <w:pStyle w:val="bullet"/>
      <w:lvlText w:val=""/>
      <w:lvlJc w:val="left"/>
      <w:pPr>
        <w:tabs>
          <w:tab w:val="num" w:pos="454"/>
        </w:tabs>
        <w:ind w:left="454" w:hanging="454"/>
      </w:pPr>
      <w:rPr>
        <w:rFonts w:ascii="Monotype Sorts" w:hAnsi="Monotype Sorts" w:cs="Monotype Sorts" w:hint="default"/>
      </w:rPr>
    </w:lvl>
  </w:abstractNum>
  <w:abstractNum w:abstractNumId="23">
    <w:nsid w:val="4CE7006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8C94D56"/>
    <w:multiLevelType w:val="multilevel"/>
    <w:tmpl w:val="A75C209E"/>
    <w:lvl w:ilvl="0">
      <w:start w:val="1"/>
      <w:numFmt w:val="lowerLetter"/>
      <w:lvlText w:val="%1."/>
      <w:lvlJc w:val="left"/>
      <w:pPr>
        <w:tabs>
          <w:tab w:val="num" w:pos="360"/>
        </w:tabs>
        <w:ind w:left="357" w:hanging="357"/>
      </w:pPr>
      <w:rPr>
        <w:rFonts w:hint="default"/>
      </w:rPr>
    </w:lvl>
    <w:lvl w:ilvl="1">
      <w:start w:val="1"/>
      <w:numFmt w:val="lowerLetter"/>
      <w:pStyle w:val="Style1Indent"/>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B079EC"/>
    <w:multiLevelType w:val="hybridMultilevel"/>
    <w:tmpl w:val="1CB00ED4"/>
    <w:lvl w:ilvl="0" w:tplc="53E4CEE6">
      <w:start w:val="1"/>
      <w:numFmt w:val="decimal"/>
      <w:pStyle w:val="Sub-Heading1"/>
      <w:lvlText w:val="%1."/>
      <w:lvlJc w:val="left"/>
      <w:pPr>
        <w:tabs>
          <w:tab w:val="num" w:pos="720"/>
        </w:tabs>
        <w:ind w:left="720" w:hanging="360"/>
      </w:pPr>
    </w:lvl>
    <w:lvl w:ilvl="1" w:tplc="DF80B2CC">
      <w:start w:val="1"/>
      <w:numFmt w:val="lowerLetter"/>
      <w:lvlText w:val="%2."/>
      <w:lvlJc w:val="left"/>
      <w:pPr>
        <w:tabs>
          <w:tab w:val="num" w:pos="1440"/>
        </w:tabs>
        <w:ind w:left="1440" w:hanging="360"/>
      </w:pPr>
    </w:lvl>
    <w:lvl w:ilvl="2" w:tplc="EE828640">
      <w:start w:val="1"/>
      <w:numFmt w:val="lowerRoman"/>
      <w:lvlText w:val="%3."/>
      <w:lvlJc w:val="right"/>
      <w:pPr>
        <w:tabs>
          <w:tab w:val="num" w:pos="2160"/>
        </w:tabs>
        <w:ind w:left="2160" w:hanging="180"/>
      </w:pPr>
    </w:lvl>
    <w:lvl w:ilvl="3" w:tplc="BFC8D36A">
      <w:start w:val="1"/>
      <w:numFmt w:val="decimal"/>
      <w:lvlText w:val="%4."/>
      <w:lvlJc w:val="left"/>
      <w:pPr>
        <w:tabs>
          <w:tab w:val="num" w:pos="2880"/>
        </w:tabs>
        <w:ind w:left="2880" w:hanging="360"/>
      </w:pPr>
    </w:lvl>
    <w:lvl w:ilvl="4" w:tplc="3DA423A0">
      <w:start w:val="1"/>
      <w:numFmt w:val="lowerLetter"/>
      <w:lvlText w:val="%5."/>
      <w:lvlJc w:val="left"/>
      <w:pPr>
        <w:tabs>
          <w:tab w:val="num" w:pos="3600"/>
        </w:tabs>
        <w:ind w:left="3600" w:hanging="360"/>
      </w:pPr>
    </w:lvl>
    <w:lvl w:ilvl="5" w:tplc="345AB4E2">
      <w:start w:val="1"/>
      <w:numFmt w:val="lowerRoman"/>
      <w:lvlText w:val="%6."/>
      <w:lvlJc w:val="right"/>
      <w:pPr>
        <w:tabs>
          <w:tab w:val="num" w:pos="4320"/>
        </w:tabs>
        <w:ind w:left="4320" w:hanging="180"/>
      </w:pPr>
    </w:lvl>
    <w:lvl w:ilvl="6" w:tplc="BE08B0E8">
      <w:start w:val="1"/>
      <w:numFmt w:val="decimal"/>
      <w:lvlText w:val="%7."/>
      <w:lvlJc w:val="left"/>
      <w:pPr>
        <w:tabs>
          <w:tab w:val="num" w:pos="5040"/>
        </w:tabs>
        <w:ind w:left="5040" w:hanging="360"/>
      </w:pPr>
    </w:lvl>
    <w:lvl w:ilvl="7" w:tplc="320EA79A">
      <w:start w:val="1"/>
      <w:numFmt w:val="lowerLetter"/>
      <w:lvlText w:val="%8."/>
      <w:lvlJc w:val="left"/>
      <w:pPr>
        <w:tabs>
          <w:tab w:val="num" w:pos="5760"/>
        </w:tabs>
        <w:ind w:left="5760" w:hanging="360"/>
      </w:pPr>
    </w:lvl>
    <w:lvl w:ilvl="8" w:tplc="317A5DDA">
      <w:start w:val="1"/>
      <w:numFmt w:val="lowerRoman"/>
      <w:lvlText w:val="%9."/>
      <w:lvlJc w:val="right"/>
      <w:pPr>
        <w:tabs>
          <w:tab w:val="num" w:pos="6480"/>
        </w:tabs>
        <w:ind w:left="6480" w:hanging="180"/>
      </w:pPr>
    </w:lvl>
  </w:abstractNum>
  <w:abstractNum w:abstractNumId="27">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nsid w:val="735141C2"/>
    <w:multiLevelType w:val="hybridMultilevel"/>
    <w:tmpl w:val="4BD6E9D6"/>
    <w:lvl w:ilvl="0" w:tplc="DC6E0470">
      <w:start w:val="1"/>
      <w:numFmt w:val="decimal"/>
      <w:pStyle w:val="AINotes"/>
      <w:lvlText w:val="%1."/>
      <w:lvlJc w:val="left"/>
      <w:pPr>
        <w:tabs>
          <w:tab w:val="num" w:pos="357"/>
        </w:tabs>
        <w:ind w:left="357" w:hanging="35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nsid w:val="74E015FF"/>
    <w:multiLevelType w:val="singleLevel"/>
    <w:tmpl w:val="BAF4DC00"/>
    <w:lvl w:ilvl="0">
      <w:numFmt w:val="bullet"/>
      <w:pStyle w:val="TickPoint"/>
      <w:lvlText w:val=""/>
      <w:lvlJc w:val="left"/>
      <w:pPr>
        <w:tabs>
          <w:tab w:val="num" w:pos="360"/>
        </w:tabs>
        <w:ind w:left="360" w:hanging="360"/>
      </w:pPr>
      <w:rPr>
        <w:rFonts w:ascii="Wingdings" w:hAnsi="Wingdings" w:cs="Wingdings" w:hint="default"/>
        <w:sz w:val="22"/>
        <w:szCs w:val="22"/>
      </w:rPr>
    </w:lvl>
  </w:abstractNum>
  <w:abstractNum w:abstractNumId="31">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F1B0FA6"/>
    <w:multiLevelType w:val="hybridMultilevel"/>
    <w:tmpl w:val="85E05738"/>
    <w:lvl w:ilvl="0" w:tplc="89F03100">
      <w:start w:val="1"/>
      <w:numFmt w:val="lowerLetter"/>
      <w:pStyle w:val="Tabletextindenta"/>
      <w:lvlText w:val="%1."/>
      <w:lvlJc w:val="left"/>
      <w:pPr>
        <w:tabs>
          <w:tab w:val="num" w:pos="360"/>
        </w:tabs>
        <w:ind w:left="357" w:hanging="357"/>
      </w:pPr>
      <w:rPr>
        <w:rFonts w:hint="default"/>
      </w:rPr>
    </w:lvl>
    <w:lvl w:ilvl="1" w:tplc="380A62B2" w:tentative="1">
      <w:start w:val="1"/>
      <w:numFmt w:val="lowerLetter"/>
      <w:lvlText w:val="%2."/>
      <w:lvlJc w:val="left"/>
      <w:pPr>
        <w:tabs>
          <w:tab w:val="num" w:pos="1440"/>
        </w:tabs>
        <w:ind w:left="1440" w:hanging="360"/>
      </w:pPr>
    </w:lvl>
    <w:lvl w:ilvl="2" w:tplc="DB4C8B74" w:tentative="1">
      <w:start w:val="1"/>
      <w:numFmt w:val="lowerRoman"/>
      <w:lvlText w:val="%3."/>
      <w:lvlJc w:val="right"/>
      <w:pPr>
        <w:tabs>
          <w:tab w:val="num" w:pos="2160"/>
        </w:tabs>
        <w:ind w:left="2160" w:hanging="180"/>
      </w:pPr>
    </w:lvl>
    <w:lvl w:ilvl="3" w:tplc="8842CC2E" w:tentative="1">
      <w:start w:val="1"/>
      <w:numFmt w:val="decimal"/>
      <w:lvlText w:val="%4."/>
      <w:lvlJc w:val="left"/>
      <w:pPr>
        <w:tabs>
          <w:tab w:val="num" w:pos="2880"/>
        </w:tabs>
        <w:ind w:left="2880" w:hanging="360"/>
      </w:pPr>
    </w:lvl>
    <w:lvl w:ilvl="4" w:tplc="7F8210B2" w:tentative="1">
      <w:start w:val="1"/>
      <w:numFmt w:val="lowerLetter"/>
      <w:lvlText w:val="%5."/>
      <w:lvlJc w:val="left"/>
      <w:pPr>
        <w:tabs>
          <w:tab w:val="num" w:pos="3600"/>
        </w:tabs>
        <w:ind w:left="3600" w:hanging="360"/>
      </w:pPr>
    </w:lvl>
    <w:lvl w:ilvl="5" w:tplc="F5623160" w:tentative="1">
      <w:start w:val="1"/>
      <w:numFmt w:val="lowerRoman"/>
      <w:lvlText w:val="%6."/>
      <w:lvlJc w:val="right"/>
      <w:pPr>
        <w:tabs>
          <w:tab w:val="num" w:pos="4320"/>
        </w:tabs>
        <w:ind w:left="4320" w:hanging="180"/>
      </w:pPr>
    </w:lvl>
    <w:lvl w:ilvl="6" w:tplc="BBF89B26" w:tentative="1">
      <w:start w:val="1"/>
      <w:numFmt w:val="decimal"/>
      <w:lvlText w:val="%7."/>
      <w:lvlJc w:val="left"/>
      <w:pPr>
        <w:tabs>
          <w:tab w:val="num" w:pos="5040"/>
        </w:tabs>
        <w:ind w:left="5040" w:hanging="360"/>
      </w:pPr>
    </w:lvl>
    <w:lvl w:ilvl="7" w:tplc="A04ACC28" w:tentative="1">
      <w:start w:val="1"/>
      <w:numFmt w:val="lowerLetter"/>
      <w:lvlText w:val="%8."/>
      <w:lvlJc w:val="left"/>
      <w:pPr>
        <w:tabs>
          <w:tab w:val="num" w:pos="5760"/>
        </w:tabs>
        <w:ind w:left="5760" w:hanging="360"/>
      </w:pPr>
    </w:lvl>
    <w:lvl w:ilvl="8" w:tplc="D87EF7F2"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25"/>
  </w:num>
  <w:num w:numId="4">
    <w:abstractNumId w:val="10"/>
  </w:num>
  <w:num w:numId="5">
    <w:abstractNumId w:val="15"/>
  </w:num>
  <w:num w:numId="6">
    <w:abstractNumId w:val="22"/>
  </w:num>
  <w:num w:numId="7">
    <w:abstractNumId w:val="13"/>
  </w:num>
  <w:num w:numId="8">
    <w:abstractNumId w:val="18"/>
  </w:num>
  <w:num w:numId="9">
    <w:abstractNumId w:val="14"/>
  </w:num>
  <w:num w:numId="10">
    <w:abstractNumId w:val="26"/>
  </w:num>
  <w:num w:numId="11">
    <w:abstractNumId w:val="20"/>
  </w:num>
  <w:num w:numId="12">
    <w:abstractNumId w:val="19"/>
  </w:num>
  <w:num w:numId="13">
    <w:abstractNumId w:val="30"/>
  </w:num>
  <w:num w:numId="14">
    <w:abstractNumId w:val="23"/>
  </w:num>
  <w:num w:numId="15">
    <w:abstractNumId w:val="32"/>
  </w:num>
  <w:num w:numId="16">
    <w:abstractNumId w:val="27"/>
  </w:num>
  <w:num w:numId="17">
    <w:abstractNumId w:val="29"/>
  </w:num>
  <w:num w:numId="18">
    <w:abstractNumId w:val="31"/>
  </w:num>
  <w:num w:numId="19">
    <w:abstractNumId w:val="17"/>
  </w:num>
  <w:num w:numId="20">
    <w:abstractNumId w:val="11"/>
  </w:num>
  <w:num w:numId="21">
    <w:abstractNumId w:val="16"/>
  </w:num>
  <w:num w:numId="22">
    <w:abstractNumId w:val="12"/>
  </w:num>
  <w:num w:numId="23">
    <w:abstractNumId w:val="2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QouPFOAmbafL5bWP3osLiuHpDLY=" w:salt="ZPSP+WUgWD4sCKNUKB+Kgg=="/>
  <w:zoom w:percent="115"/>
  <w:proofState w:spelling="clean" w:grammar="clean"/>
  <w:stylePaneFormatFilter w:val="3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48E5"/>
    <w:rsid w:val="00003D60"/>
    <w:rsid w:val="00005D94"/>
    <w:rsid w:val="000079AE"/>
    <w:rsid w:val="000102AB"/>
    <w:rsid w:val="000157F1"/>
    <w:rsid w:val="000158C6"/>
    <w:rsid w:val="0002256D"/>
    <w:rsid w:val="0002673C"/>
    <w:rsid w:val="000439F9"/>
    <w:rsid w:val="00050673"/>
    <w:rsid w:val="000516D9"/>
    <w:rsid w:val="00054354"/>
    <w:rsid w:val="00060B48"/>
    <w:rsid w:val="00063E26"/>
    <w:rsid w:val="00077859"/>
    <w:rsid w:val="00082853"/>
    <w:rsid w:val="000941F2"/>
    <w:rsid w:val="00097BE1"/>
    <w:rsid w:val="000A0F57"/>
    <w:rsid w:val="000A3ACE"/>
    <w:rsid w:val="000A4AB5"/>
    <w:rsid w:val="000A4C3A"/>
    <w:rsid w:val="000B1B06"/>
    <w:rsid w:val="000B3623"/>
    <w:rsid w:val="000B4989"/>
    <w:rsid w:val="000B5A7B"/>
    <w:rsid w:val="000C0C70"/>
    <w:rsid w:val="000C19DB"/>
    <w:rsid w:val="000C23ED"/>
    <w:rsid w:val="000C47D2"/>
    <w:rsid w:val="000C4F0E"/>
    <w:rsid w:val="000C51D6"/>
    <w:rsid w:val="000D533E"/>
    <w:rsid w:val="000D5F0C"/>
    <w:rsid w:val="000E3233"/>
    <w:rsid w:val="000F0343"/>
    <w:rsid w:val="000F3DF8"/>
    <w:rsid w:val="001011BA"/>
    <w:rsid w:val="00101364"/>
    <w:rsid w:val="0010284D"/>
    <w:rsid w:val="00106B3A"/>
    <w:rsid w:val="001112D6"/>
    <w:rsid w:val="0011193F"/>
    <w:rsid w:val="001161F4"/>
    <w:rsid w:val="0012057B"/>
    <w:rsid w:val="0012329C"/>
    <w:rsid w:val="00124BB3"/>
    <w:rsid w:val="00125D3D"/>
    <w:rsid w:val="00135286"/>
    <w:rsid w:val="001521A9"/>
    <w:rsid w:val="00153467"/>
    <w:rsid w:val="00153F95"/>
    <w:rsid w:val="00154B36"/>
    <w:rsid w:val="001552D5"/>
    <w:rsid w:val="00161816"/>
    <w:rsid w:val="00164BB0"/>
    <w:rsid w:val="00165C3A"/>
    <w:rsid w:val="00170D14"/>
    <w:rsid w:val="00177EB6"/>
    <w:rsid w:val="00182179"/>
    <w:rsid w:val="00190228"/>
    <w:rsid w:val="001928FC"/>
    <w:rsid w:val="00195F82"/>
    <w:rsid w:val="001A6B11"/>
    <w:rsid w:val="001A7556"/>
    <w:rsid w:val="001B311B"/>
    <w:rsid w:val="001B696E"/>
    <w:rsid w:val="001C320B"/>
    <w:rsid w:val="001D0DC7"/>
    <w:rsid w:val="001D2D3A"/>
    <w:rsid w:val="001F4678"/>
    <w:rsid w:val="00203331"/>
    <w:rsid w:val="0020369C"/>
    <w:rsid w:val="00204BE7"/>
    <w:rsid w:val="0020527E"/>
    <w:rsid w:val="00214936"/>
    <w:rsid w:val="00217AB5"/>
    <w:rsid w:val="00225BC9"/>
    <w:rsid w:val="00227CEC"/>
    <w:rsid w:val="00232072"/>
    <w:rsid w:val="00232607"/>
    <w:rsid w:val="00240D3C"/>
    <w:rsid w:val="00241213"/>
    <w:rsid w:val="00243EEB"/>
    <w:rsid w:val="00244FB1"/>
    <w:rsid w:val="00253CAA"/>
    <w:rsid w:val="0026417D"/>
    <w:rsid w:val="002676E8"/>
    <w:rsid w:val="0027012C"/>
    <w:rsid w:val="002717CE"/>
    <w:rsid w:val="002728D3"/>
    <w:rsid w:val="002764FF"/>
    <w:rsid w:val="002805A8"/>
    <w:rsid w:val="00296C41"/>
    <w:rsid w:val="00297923"/>
    <w:rsid w:val="002A0671"/>
    <w:rsid w:val="002A1A30"/>
    <w:rsid w:val="002A5A04"/>
    <w:rsid w:val="002B0253"/>
    <w:rsid w:val="002B1FF0"/>
    <w:rsid w:val="002B78C3"/>
    <w:rsid w:val="002D0BE2"/>
    <w:rsid w:val="002D195F"/>
    <w:rsid w:val="002D590B"/>
    <w:rsid w:val="002E1863"/>
    <w:rsid w:val="002E7EB8"/>
    <w:rsid w:val="002F196B"/>
    <w:rsid w:val="002F1B8A"/>
    <w:rsid w:val="002F5792"/>
    <w:rsid w:val="002F6CE5"/>
    <w:rsid w:val="002F71DA"/>
    <w:rsid w:val="00302F46"/>
    <w:rsid w:val="00312614"/>
    <w:rsid w:val="00315129"/>
    <w:rsid w:val="003242D3"/>
    <w:rsid w:val="00332356"/>
    <w:rsid w:val="003335BC"/>
    <w:rsid w:val="00342E1C"/>
    <w:rsid w:val="0034652C"/>
    <w:rsid w:val="003507EF"/>
    <w:rsid w:val="003523F5"/>
    <w:rsid w:val="0036676C"/>
    <w:rsid w:val="003667B9"/>
    <w:rsid w:val="0037085C"/>
    <w:rsid w:val="003729E0"/>
    <w:rsid w:val="00390055"/>
    <w:rsid w:val="0039085F"/>
    <w:rsid w:val="00391C06"/>
    <w:rsid w:val="00392A0D"/>
    <w:rsid w:val="0039595E"/>
    <w:rsid w:val="0039775A"/>
    <w:rsid w:val="003A2C97"/>
    <w:rsid w:val="003A571B"/>
    <w:rsid w:val="003B32BE"/>
    <w:rsid w:val="003B5375"/>
    <w:rsid w:val="003B798D"/>
    <w:rsid w:val="003C1547"/>
    <w:rsid w:val="003C17CC"/>
    <w:rsid w:val="003D0179"/>
    <w:rsid w:val="003D021B"/>
    <w:rsid w:val="003D0B87"/>
    <w:rsid w:val="003D4801"/>
    <w:rsid w:val="003E11B8"/>
    <w:rsid w:val="003F10B6"/>
    <w:rsid w:val="00400A36"/>
    <w:rsid w:val="004033F9"/>
    <w:rsid w:val="00407459"/>
    <w:rsid w:val="00407636"/>
    <w:rsid w:val="00416946"/>
    <w:rsid w:val="00432731"/>
    <w:rsid w:val="004356AD"/>
    <w:rsid w:val="00443CCA"/>
    <w:rsid w:val="004442AA"/>
    <w:rsid w:val="00451B47"/>
    <w:rsid w:val="004621C5"/>
    <w:rsid w:val="004635D6"/>
    <w:rsid w:val="00472057"/>
    <w:rsid w:val="00475C9D"/>
    <w:rsid w:val="00476DFF"/>
    <w:rsid w:val="0048016C"/>
    <w:rsid w:val="0049105A"/>
    <w:rsid w:val="00494039"/>
    <w:rsid w:val="00495D9E"/>
    <w:rsid w:val="004A1DC9"/>
    <w:rsid w:val="004A4F80"/>
    <w:rsid w:val="004A7667"/>
    <w:rsid w:val="004A7E42"/>
    <w:rsid w:val="004B16A7"/>
    <w:rsid w:val="004B54A8"/>
    <w:rsid w:val="004B5DDD"/>
    <w:rsid w:val="004C423D"/>
    <w:rsid w:val="004C728A"/>
    <w:rsid w:val="004C72D7"/>
    <w:rsid w:val="004D1508"/>
    <w:rsid w:val="004D26E6"/>
    <w:rsid w:val="004E0240"/>
    <w:rsid w:val="004F130E"/>
    <w:rsid w:val="004F3679"/>
    <w:rsid w:val="004F3C74"/>
    <w:rsid w:val="00500EEF"/>
    <w:rsid w:val="00503F85"/>
    <w:rsid w:val="00504194"/>
    <w:rsid w:val="00505530"/>
    <w:rsid w:val="00510595"/>
    <w:rsid w:val="00513D6B"/>
    <w:rsid w:val="00523718"/>
    <w:rsid w:val="00523F78"/>
    <w:rsid w:val="00524C2B"/>
    <w:rsid w:val="005275DC"/>
    <w:rsid w:val="00527739"/>
    <w:rsid w:val="00530B50"/>
    <w:rsid w:val="0053115C"/>
    <w:rsid w:val="0054105B"/>
    <w:rsid w:val="00541FCD"/>
    <w:rsid w:val="005422B0"/>
    <w:rsid w:val="005576C4"/>
    <w:rsid w:val="005626A1"/>
    <w:rsid w:val="00566C19"/>
    <w:rsid w:val="005740EF"/>
    <w:rsid w:val="00574E25"/>
    <w:rsid w:val="00582F50"/>
    <w:rsid w:val="00586594"/>
    <w:rsid w:val="00587DAE"/>
    <w:rsid w:val="00594135"/>
    <w:rsid w:val="005960CF"/>
    <w:rsid w:val="005A06AC"/>
    <w:rsid w:val="005A6A60"/>
    <w:rsid w:val="005A7E3F"/>
    <w:rsid w:val="005B03EB"/>
    <w:rsid w:val="005B0D15"/>
    <w:rsid w:val="005C23D7"/>
    <w:rsid w:val="005C48DE"/>
    <w:rsid w:val="005D5A51"/>
    <w:rsid w:val="005D7592"/>
    <w:rsid w:val="005E1542"/>
    <w:rsid w:val="005E6291"/>
    <w:rsid w:val="005F1A8F"/>
    <w:rsid w:val="005F7677"/>
    <w:rsid w:val="00600C08"/>
    <w:rsid w:val="00605147"/>
    <w:rsid w:val="0061578F"/>
    <w:rsid w:val="00623FA1"/>
    <w:rsid w:val="0062482C"/>
    <w:rsid w:val="00624992"/>
    <w:rsid w:val="006412D6"/>
    <w:rsid w:val="006448E5"/>
    <w:rsid w:val="00646E25"/>
    <w:rsid w:val="00654647"/>
    <w:rsid w:val="00654DB4"/>
    <w:rsid w:val="00654E38"/>
    <w:rsid w:val="006654C8"/>
    <w:rsid w:val="00665D3A"/>
    <w:rsid w:val="00671459"/>
    <w:rsid w:val="006765DC"/>
    <w:rsid w:val="0068054C"/>
    <w:rsid w:val="00693EE4"/>
    <w:rsid w:val="0069431B"/>
    <w:rsid w:val="006A15FC"/>
    <w:rsid w:val="006A74C0"/>
    <w:rsid w:val="006B0B93"/>
    <w:rsid w:val="006B1586"/>
    <w:rsid w:val="006B53F8"/>
    <w:rsid w:val="006D22C8"/>
    <w:rsid w:val="006E07D7"/>
    <w:rsid w:val="006E096D"/>
    <w:rsid w:val="006E0A9B"/>
    <w:rsid w:val="006E55CE"/>
    <w:rsid w:val="006E7E93"/>
    <w:rsid w:val="006F58E0"/>
    <w:rsid w:val="006F6767"/>
    <w:rsid w:val="006F7BAF"/>
    <w:rsid w:val="00705DB7"/>
    <w:rsid w:val="0071150E"/>
    <w:rsid w:val="00712197"/>
    <w:rsid w:val="00712351"/>
    <w:rsid w:val="00723984"/>
    <w:rsid w:val="00731A80"/>
    <w:rsid w:val="00731AB6"/>
    <w:rsid w:val="00731DA6"/>
    <w:rsid w:val="00733F82"/>
    <w:rsid w:val="00743550"/>
    <w:rsid w:val="00743615"/>
    <w:rsid w:val="0074415F"/>
    <w:rsid w:val="00750111"/>
    <w:rsid w:val="007514A8"/>
    <w:rsid w:val="00752360"/>
    <w:rsid w:val="00766035"/>
    <w:rsid w:val="00766D13"/>
    <w:rsid w:val="00771837"/>
    <w:rsid w:val="00771BDD"/>
    <w:rsid w:val="007839FB"/>
    <w:rsid w:val="00783ACD"/>
    <w:rsid w:val="00785490"/>
    <w:rsid w:val="0078651C"/>
    <w:rsid w:val="007926A5"/>
    <w:rsid w:val="00795CC3"/>
    <w:rsid w:val="007A1175"/>
    <w:rsid w:val="007B3175"/>
    <w:rsid w:val="007B7164"/>
    <w:rsid w:val="007C1F26"/>
    <w:rsid w:val="007C3B23"/>
    <w:rsid w:val="007D17CA"/>
    <w:rsid w:val="007D6B3B"/>
    <w:rsid w:val="007E015C"/>
    <w:rsid w:val="007E2A0C"/>
    <w:rsid w:val="007E6002"/>
    <w:rsid w:val="007F1CF7"/>
    <w:rsid w:val="007F51C9"/>
    <w:rsid w:val="00800E5E"/>
    <w:rsid w:val="00805B9B"/>
    <w:rsid w:val="00810C89"/>
    <w:rsid w:val="0081165A"/>
    <w:rsid w:val="00813690"/>
    <w:rsid w:val="00815C51"/>
    <w:rsid w:val="00824CA2"/>
    <w:rsid w:val="008270AD"/>
    <w:rsid w:val="00834256"/>
    <w:rsid w:val="00836B9D"/>
    <w:rsid w:val="00837DB7"/>
    <w:rsid w:val="00842402"/>
    <w:rsid w:val="00850914"/>
    <w:rsid w:val="008534A7"/>
    <w:rsid w:val="0085539A"/>
    <w:rsid w:val="0085751A"/>
    <w:rsid w:val="008576BE"/>
    <w:rsid w:val="00865F2B"/>
    <w:rsid w:val="00873424"/>
    <w:rsid w:val="00876309"/>
    <w:rsid w:val="008803AC"/>
    <w:rsid w:val="00885973"/>
    <w:rsid w:val="00886F32"/>
    <w:rsid w:val="00887B02"/>
    <w:rsid w:val="00893780"/>
    <w:rsid w:val="008A19F9"/>
    <w:rsid w:val="008A1E2A"/>
    <w:rsid w:val="008A5762"/>
    <w:rsid w:val="008B04CF"/>
    <w:rsid w:val="008B551C"/>
    <w:rsid w:val="008B5548"/>
    <w:rsid w:val="008C09CC"/>
    <w:rsid w:val="008D07EC"/>
    <w:rsid w:val="008E0D14"/>
    <w:rsid w:val="008E73EE"/>
    <w:rsid w:val="008F043F"/>
    <w:rsid w:val="008F403C"/>
    <w:rsid w:val="00900E7A"/>
    <w:rsid w:val="00901605"/>
    <w:rsid w:val="00902FA5"/>
    <w:rsid w:val="00904CC8"/>
    <w:rsid w:val="00905823"/>
    <w:rsid w:val="00910D94"/>
    <w:rsid w:val="009222A4"/>
    <w:rsid w:val="00923222"/>
    <w:rsid w:val="00940C83"/>
    <w:rsid w:val="00951763"/>
    <w:rsid w:val="0095378E"/>
    <w:rsid w:val="00954B44"/>
    <w:rsid w:val="009550F7"/>
    <w:rsid w:val="0095544B"/>
    <w:rsid w:val="00963575"/>
    <w:rsid w:val="00966EBA"/>
    <w:rsid w:val="00971148"/>
    <w:rsid w:val="00974B1A"/>
    <w:rsid w:val="00974BEF"/>
    <w:rsid w:val="009852AF"/>
    <w:rsid w:val="0098719A"/>
    <w:rsid w:val="00987A50"/>
    <w:rsid w:val="0099079F"/>
    <w:rsid w:val="00994B47"/>
    <w:rsid w:val="009A0089"/>
    <w:rsid w:val="009A20FB"/>
    <w:rsid w:val="009A5C3B"/>
    <w:rsid w:val="009A7CF0"/>
    <w:rsid w:val="009B0CAE"/>
    <w:rsid w:val="009B556A"/>
    <w:rsid w:val="009B7085"/>
    <w:rsid w:val="009C1FDA"/>
    <w:rsid w:val="009C3BE7"/>
    <w:rsid w:val="009C4C4D"/>
    <w:rsid w:val="009D038F"/>
    <w:rsid w:val="009D0A93"/>
    <w:rsid w:val="009E0E53"/>
    <w:rsid w:val="009E5BA7"/>
    <w:rsid w:val="009E7001"/>
    <w:rsid w:val="009F014F"/>
    <w:rsid w:val="009F1C0E"/>
    <w:rsid w:val="009F278A"/>
    <w:rsid w:val="009F2DA0"/>
    <w:rsid w:val="00A13726"/>
    <w:rsid w:val="00A15957"/>
    <w:rsid w:val="00A22205"/>
    <w:rsid w:val="00A23578"/>
    <w:rsid w:val="00A261B6"/>
    <w:rsid w:val="00A26597"/>
    <w:rsid w:val="00A26E0C"/>
    <w:rsid w:val="00A30F93"/>
    <w:rsid w:val="00A4626E"/>
    <w:rsid w:val="00A47D31"/>
    <w:rsid w:val="00A505DE"/>
    <w:rsid w:val="00A54B1A"/>
    <w:rsid w:val="00A67EF3"/>
    <w:rsid w:val="00A70277"/>
    <w:rsid w:val="00A73487"/>
    <w:rsid w:val="00A74182"/>
    <w:rsid w:val="00A77E7F"/>
    <w:rsid w:val="00A830F7"/>
    <w:rsid w:val="00A91BFD"/>
    <w:rsid w:val="00A95550"/>
    <w:rsid w:val="00AA1C5A"/>
    <w:rsid w:val="00AA781F"/>
    <w:rsid w:val="00AD6831"/>
    <w:rsid w:val="00AD7080"/>
    <w:rsid w:val="00AE4123"/>
    <w:rsid w:val="00AE4DAF"/>
    <w:rsid w:val="00AF2CAB"/>
    <w:rsid w:val="00B02363"/>
    <w:rsid w:val="00B04EA5"/>
    <w:rsid w:val="00B13789"/>
    <w:rsid w:val="00B30B72"/>
    <w:rsid w:val="00B44186"/>
    <w:rsid w:val="00B46BCB"/>
    <w:rsid w:val="00B6432F"/>
    <w:rsid w:val="00B64D8B"/>
    <w:rsid w:val="00B65D53"/>
    <w:rsid w:val="00B71095"/>
    <w:rsid w:val="00B7123F"/>
    <w:rsid w:val="00B80205"/>
    <w:rsid w:val="00B910FE"/>
    <w:rsid w:val="00B944D5"/>
    <w:rsid w:val="00BA02D8"/>
    <w:rsid w:val="00BA26F6"/>
    <w:rsid w:val="00BB6179"/>
    <w:rsid w:val="00BB7E3F"/>
    <w:rsid w:val="00BC535E"/>
    <w:rsid w:val="00BC5395"/>
    <w:rsid w:val="00BC6836"/>
    <w:rsid w:val="00BC72A2"/>
    <w:rsid w:val="00BC7B98"/>
    <w:rsid w:val="00BD20EC"/>
    <w:rsid w:val="00BD38E0"/>
    <w:rsid w:val="00BD6990"/>
    <w:rsid w:val="00BE1C6F"/>
    <w:rsid w:val="00BE3D6C"/>
    <w:rsid w:val="00BE5331"/>
    <w:rsid w:val="00BE7AEB"/>
    <w:rsid w:val="00BF28D6"/>
    <w:rsid w:val="00BF5251"/>
    <w:rsid w:val="00BF7E9B"/>
    <w:rsid w:val="00C04067"/>
    <w:rsid w:val="00C06F92"/>
    <w:rsid w:val="00C07E20"/>
    <w:rsid w:val="00C17154"/>
    <w:rsid w:val="00C2368E"/>
    <w:rsid w:val="00C240E2"/>
    <w:rsid w:val="00C31A66"/>
    <w:rsid w:val="00C31B1E"/>
    <w:rsid w:val="00C34AB7"/>
    <w:rsid w:val="00C350DF"/>
    <w:rsid w:val="00C55F55"/>
    <w:rsid w:val="00C57C91"/>
    <w:rsid w:val="00C62A05"/>
    <w:rsid w:val="00C65861"/>
    <w:rsid w:val="00C67225"/>
    <w:rsid w:val="00C73F2C"/>
    <w:rsid w:val="00C74C96"/>
    <w:rsid w:val="00C76700"/>
    <w:rsid w:val="00C82E5E"/>
    <w:rsid w:val="00C848C4"/>
    <w:rsid w:val="00C860B1"/>
    <w:rsid w:val="00C91514"/>
    <w:rsid w:val="00C92AD1"/>
    <w:rsid w:val="00C955C3"/>
    <w:rsid w:val="00CA70CC"/>
    <w:rsid w:val="00CB2A0C"/>
    <w:rsid w:val="00CB3B15"/>
    <w:rsid w:val="00CB5D5E"/>
    <w:rsid w:val="00CC43FA"/>
    <w:rsid w:val="00CD2EC8"/>
    <w:rsid w:val="00D01ACC"/>
    <w:rsid w:val="00D07090"/>
    <w:rsid w:val="00D139DE"/>
    <w:rsid w:val="00D176DB"/>
    <w:rsid w:val="00D2253E"/>
    <w:rsid w:val="00D22F36"/>
    <w:rsid w:val="00D2301B"/>
    <w:rsid w:val="00D23B0A"/>
    <w:rsid w:val="00D25DF4"/>
    <w:rsid w:val="00D30922"/>
    <w:rsid w:val="00D33845"/>
    <w:rsid w:val="00D33B2F"/>
    <w:rsid w:val="00D403AC"/>
    <w:rsid w:val="00D426AC"/>
    <w:rsid w:val="00D435EB"/>
    <w:rsid w:val="00D458A9"/>
    <w:rsid w:val="00D45AEA"/>
    <w:rsid w:val="00D477C7"/>
    <w:rsid w:val="00D51F49"/>
    <w:rsid w:val="00D54A3D"/>
    <w:rsid w:val="00D7180C"/>
    <w:rsid w:val="00D761D1"/>
    <w:rsid w:val="00D90F82"/>
    <w:rsid w:val="00D91F2C"/>
    <w:rsid w:val="00D9244E"/>
    <w:rsid w:val="00D92D51"/>
    <w:rsid w:val="00D94684"/>
    <w:rsid w:val="00DB002E"/>
    <w:rsid w:val="00DB0A97"/>
    <w:rsid w:val="00DB1487"/>
    <w:rsid w:val="00DB2D3C"/>
    <w:rsid w:val="00DB3554"/>
    <w:rsid w:val="00DC247D"/>
    <w:rsid w:val="00DC3717"/>
    <w:rsid w:val="00DC4645"/>
    <w:rsid w:val="00DC5C84"/>
    <w:rsid w:val="00DF0AF2"/>
    <w:rsid w:val="00DF1201"/>
    <w:rsid w:val="00DF28C7"/>
    <w:rsid w:val="00DF34AB"/>
    <w:rsid w:val="00DF778F"/>
    <w:rsid w:val="00E028F3"/>
    <w:rsid w:val="00E031C2"/>
    <w:rsid w:val="00E03F61"/>
    <w:rsid w:val="00E077E6"/>
    <w:rsid w:val="00E14837"/>
    <w:rsid w:val="00E16E78"/>
    <w:rsid w:val="00E2103A"/>
    <w:rsid w:val="00E23490"/>
    <w:rsid w:val="00E32E5B"/>
    <w:rsid w:val="00E4050C"/>
    <w:rsid w:val="00E44B08"/>
    <w:rsid w:val="00E459CE"/>
    <w:rsid w:val="00E606BE"/>
    <w:rsid w:val="00E67256"/>
    <w:rsid w:val="00E837B3"/>
    <w:rsid w:val="00E85EF2"/>
    <w:rsid w:val="00E87B4F"/>
    <w:rsid w:val="00E930BA"/>
    <w:rsid w:val="00EA2221"/>
    <w:rsid w:val="00EA224B"/>
    <w:rsid w:val="00EA4DF5"/>
    <w:rsid w:val="00EA67CA"/>
    <w:rsid w:val="00EA7D53"/>
    <w:rsid w:val="00EB0CD4"/>
    <w:rsid w:val="00EB0E8E"/>
    <w:rsid w:val="00EB1D0B"/>
    <w:rsid w:val="00EB5275"/>
    <w:rsid w:val="00EB7760"/>
    <w:rsid w:val="00EC1129"/>
    <w:rsid w:val="00EC1604"/>
    <w:rsid w:val="00EC3AB2"/>
    <w:rsid w:val="00EC7CD4"/>
    <w:rsid w:val="00ED5397"/>
    <w:rsid w:val="00ED5FDE"/>
    <w:rsid w:val="00EE3B9B"/>
    <w:rsid w:val="00EF0415"/>
    <w:rsid w:val="00EF041B"/>
    <w:rsid w:val="00EF3E28"/>
    <w:rsid w:val="00EF4801"/>
    <w:rsid w:val="00EF7873"/>
    <w:rsid w:val="00F05F8B"/>
    <w:rsid w:val="00F06428"/>
    <w:rsid w:val="00F06548"/>
    <w:rsid w:val="00F07358"/>
    <w:rsid w:val="00F11559"/>
    <w:rsid w:val="00F13EE7"/>
    <w:rsid w:val="00F1665E"/>
    <w:rsid w:val="00F20459"/>
    <w:rsid w:val="00F2339B"/>
    <w:rsid w:val="00F23DB2"/>
    <w:rsid w:val="00F251CA"/>
    <w:rsid w:val="00F261E0"/>
    <w:rsid w:val="00F272FA"/>
    <w:rsid w:val="00F32A9B"/>
    <w:rsid w:val="00F36B96"/>
    <w:rsid w:val="00F411BF"/>
    <w:rsid w:val="00F42B20"/>
    <w:rsid w:val="00F45E0D"/>
    <w:rsid w:val="00F5151C"/>
    <w:rsid w:val="00F55794"/>
    <w:rsid w:val="00F565DC"/>
    <w:rsid w:val="00F6131D"/>
    <w:rsid w:val="00F620CE"/>
    <w:rsid w:val="00F739B0"/>
    <w:rsid w:val="00F73FC7"/>
    <w:rsid w:val="00F75F6A"/>
    <w:rsid w:val="00F8156C"/>
    <w:rsid w:val="00F81D4E"/>
    <w:rsid w:val="00F83060"/>
    <w:rsid w:val="00F83802"/>
    <w:rsid w:val="00F84A16"/>
    <w:rsid w:val="00F852CD"/>
    <w:rsid w:val="00F93FFB"/>
    <w:rsid w:val="00FA2524"/>
    <w:rsid w:val="00FA5EF9"/>
    <w:rsid w:val="00FC00C1"/>
    <w:rsid w:val="00FD00C8"/>
    <w:rsid w:val="00FD788E"/>
    <w:rsid w:val="00FE624A"/>
    <w:rsid w:val="00FF1319"/>
    <w:rsid w:val="00FF397B"/>
    <w:rsid w:val="00FF3B44"/>
    <w:rsid w:val="00FF5331"/>
    <w:rsid w:val="00FF61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085"/>
    <w:rPr>
      <w:rFonts w:ascii="Calibri" w:hAnsi="Calibri"/>
      <w:sz w:val="24"/>
      <w:lang w:eastAsia="en-US"/>
    </w:rPr>
  </w:style>
  <w:style w:type="paragraph" w:styleId="Heading1">
    <w:name w:val="heading 1"/>
    <w:basedOn w:val="Normal"/>
    <w:next w:val="BodyText"/>
    <w:qFormat/>
    <w:rsid w:val="009B7085"/>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9B7085"/>
    <w:pPr>
      <w:keepNext/>
      <w:spacing w:before="60" w:after="60"/>
      <w:jc w:val="center"/>
      <w:outlineLvl w:val="1"/>
    </w:pPr>
    <w:rPr>
      <w:b/>
      <w:snapToGrid w:val="0"/>
      <w:sz w:val="20"/>
    </w:rPr>
  </w:style>
  <w:style w:type="paragraph" w:styleId="Heading3">
    <w:name w:val="heading 3"/>
    <w:basedOn w:val="Normal"/>
    <w:next w:val="BodyText"/>
    <w:link w:val="Heading3Char"/>
    <w:qFormat/>
    <w:rsid w:val="009B7085"/>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9B7085"/>
    <w:pPr>
      <w:keepNext/>
      <w:keepLines/>
      <w:spacing w:before="120" w:after="120"/>
      <w:outlineLvl w:val="3"/>
    </w:pPr>
    <w:rPr>
      <w:i/>
    </w:rPr>
  </w:style>
  <w:style w:type="paragraph" w:styleId="Heading5">
    <w:name w:val="heading 5"/>
    <w:basedOn w:val="Normal"/>
    <w:next w:val="Normal"/>
    <w:autoRedefine/>
    <w:qFormat/>
    <w:rsid w:val="009B7085"/>
    <w:pPr>
      <w:keepNext/>
      <w:numPr>
        <w:ilvl w:val="4"/>
        <w:numId w:val="23"/>
      </w:numPr>
      <w:outlineLvl w:val="4"/>
    </w:pPr>
    <w:rPr>
      <w:b/>
      <w:i/>
      <w:sz w:val="20"/>
    </w:rPr>
  </w:style>
  <w:style w:type="paragraph" w:styleId="Heading6">
    <w:name w:val="heading 6"/>
    <w:basedOn w:val="Normal"/>
    <w:next w:val="Normal"/>
    <w:qFormat/>
    <w:rsid w:val="009B7085"/>
    <w:pPr>
      <w:keepNext/>
      <w:jc w:val="right"/>
      <w:outlineLvl w:val="5"/>
    </w:pPr>
    <w:rPr>
      <w:b/>
      <w:sz w:val="20"/>
    </w:rPr>
  </w:style>
  <w:style w:type="paragraph" w:styleId="Heading7">
    <w:name w:val="heading 7"/>
    <w:basedOn w:val="Normal"/>
    <w:next w:val="Normal"/>
    <w:qFormat/>
    <w:rsid w:val="009B7085"/>
    <w:pPr>
      <w:keepNext/>
      <w:ind w:left="159" w:hanging="159"/>
      <w:outlineLvl w:val="6"/>
    </w:pPr>
    <w:rPr>
      <w:b/>
      <w:sz w:val="20"/>
    </w:rPr>
  </w:style>
  <w:style w:type="paragraph" w:styleId="Heading8">
    <w:name w:val="heading 8"/>
    <w:basedOn w:val="Normal"/>
    <w:next w:val="Normal"/>
    <w:qFormat/>
    <w:rsid w:val="009B7085"/>
    <w:pPr>
      <w:keepNext/>
      <w:numPr>
        <w:ilvl w:val="7"/>
        <w:numId w:val="23"/>
      </w:numPr>
      <w:outlineLvl w:val="7"/>
    </w:pPr>
    <w:rPr>
      <w:rFonts w:ascii="Arial" w:hAnsi="Arial"/>
      <w:b/>
      <w:snapToGrid w:val="0"/>
      <w:color w:val="000000"/>
      <w:sz w:val="20"/>
    </w:rPr>
  </w:style>
  <w:style w:type="paragraph" w:styleId="Heading9">
    <w:name w:val="heading 9"/>
    <w:basedOn w:val="Normal"/>
    <w:next w:val="Normal"/>
    <w:qFormat/>
    <w:rsid w:val="009B7085"/>
    <w:pPr>
      <w:keepNext/>
      <w:numPr>
        <w:ilvl w:val="8"/>
        <w:numId w:val="23"/>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9B7085"/>
    <w:pPr>
      <w:keepNext/>
      <w:jc w:val="center"/>
    </w:pPr>
    <w:rPr>
      <w:b/>
      <w:sz w:val="20"/>
    </w:rPr>
  </w:style>
  <w:style w:type="character" w:customStyle="1" w:styleId="Heading3Char1">
    <w:name w:val="Heading 3 Char1"/>
    <w:basedOn w:val="DefaultParagraphFont"/>
    <w:link w:val="Heading3"/>
    <w:rsid w:val="000A4C3A"/>
    <w:rPr>
      <w:rFonts w:ascii="Arial" w:hAnsi="Arial" w:cs="Arial"/>
      <w:b/>
      <w:bCs/>
      <w:sz w:val="24"/>
      <w:szCs w:val="26"/>
      <w:lang w:val="en-AU" w:eastAsia="en-US" w:bidi="ar-SA"/>
    </w:rPr>
  </w:style>
  <w:style w:type="paragraph" w:styleId="BodyText">
    <w:name w:val="Body Text"/>
    <w:basedOn w:val="Normal"/>
    <w:link w:val="BodyTextChar"/>
    <w:rsid w:val="009B7085"/>
    <w:pPr>
      <w:keepNext/>
      <w:keepLines/>
      <w:spacing w:before="120" w:after="120"/>
      <w:jc w:val="both"/>
    </w:pPr>
  </w:style>
  <w:style w:type="paragraph" w:styleId="BodyTextIndent">
    <w:name w:val="Body Text Indent"/>
    <w:basedOn w:val="Normal"/>
    <w:next w:val="BodyText"/>
    <w:link w:val="BodyTextIndentChar"/>
    <w:rsid w:val="009B7085"/>
    <w:pPr>
      <w:keepNext/>
      <w:keepLines/>
      <w:numPr>
        <w:numId w:val="19"/>
      </w:numPr>
      <w:spacing w:after="120"/>
      <w:jc w:val="both"/>
    </w:pPr>
    <w:rPr>
      <w:szCs w:val="24"/>
    </w:rPr>
  </w:style>
  <w:style w:type="paragraph" w:styleId="BodyTextIndent2">
    <w:name w:val="Body Text Indent 2"/>
    <w:basedOn w:val="Normal"/>
    <w:rsid w:val="009B7085"/>
    <w:pPr>
      <w:keepNext/>
      <w:keepLines/>
      <w:numPr>
        <w:numId w:val="20"/>
      </w:numPr>
      <w:spacing w:after="120"/>
      <w:jc w:val="both"/>
    </w:pPr>
  </w:style>
  <w:style w:type="paragraph" w:styleId="BodyTextIndent3">
    <w:name w:val="Body Text Indent 3"/>
    <w:basedOn w:val="Normal"/>
    <w:rsid w:val="009B7085"/>
    <w:pPr>
      <w:keepNext/>
      <w:keepLines/>
      <w:numPr>
        <w:numId w:val="21"/>
      </w:numPr>
      <w:tabs>
        <w:tab w:val="left" w:pos="1134"/>
      </w:tabs>
      <w:spacing w:after="120"/>
      <w:jc w:val="both"/>
    </w:pPr>
    <w:rPr>
      <w:szCs w:val="24"/>
    </w:rPr>
  </w:style>
  <w:style w:type="paragraph" w:customStyle="1" w:styleId="BodyTextIndent4">
    <w:name w:val="Body Text Indent 4"/>
    <w:basedOn w:val="BodyText"/>
    <w:next w:val="BodyText"/>
    <w:rsid w:val="009B7085"/>
    <w:pPr>
      <w:numPr>
        <w:numId w:val="22"/>
      </w:numPr>
      <w:spacing w:before="0"/>
    </w:pPr>
  </w:style>
  <w:style w:type="paragraph" w:customStyle="1" w:styleId="SIHeading1">
    <w:name w:val="SI Heading 1"/>
    <w:basedOn w:val="Normal"/>
    <w:next w:val="BodyText"/>
    <w:rsid w:val="009B708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9B7085"/>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9B7085"/>
    <w:pPr>
      <w:numPr>
        <w:numId w:val="35"/>
      </w:numPr>
      <w:spacing w:before="60"/>
    </w:pPr>
    <w:rPr>
      <w:kern w:val="16"/>
      <w:sz w:val="20"/>
      <w:szCs w:val="24"/>
    </w:rPr>
  </w:style>
  <w:style w:type="paragraph" w:customStyle="1" w:styleId="TableTextRightBold">
    <w:name w:val="Table Text Right Bold"/>
    <w:basedOn w:val="Normal"/>
    <w:rsid w:val="009B7085"/>
    <w:pPr>
      <w:ind w:left="357" w:hanging="357"/>
      <w:jc w:val="right"/>
    </w:pPr>
    <w:rPr>
      <w:b/>
      <w:sz w:val="20"/>
    </w:rPr>
  </w:style>
  <w:style w:type="paragraph" w:customStyle="1" w:styleId="TableHeadingRight">
    <w:name w:val="Table Heading Right"/>
    <w:basedOn w:val="Normal"/>
    <w:rsid w:val="009B7085"/>
    <w:pPr>
      <w:keepNext/>
      <w:jc w:val="right"/>
    </w:pPr>
    <w:rPr>
      <w:b/>
      <w:sz w:val="20"/>
      <w:szCs w:val="24"/>
    </w:rPr>
  </w:style>
  <w:style w:type="paragraph" w:customStyle="1" w:styleId="NoteText">
    <w:name w:val="Note Text"/>
    <w:basedOn w:val="Normal"/>
    <w:rsid w:val="009B7085"/>
    <w:pPr>
      <w:jc w:val="both"/>
    </w:pPr>
    <w:rPr>
      <w:iCs/>
      <w:sz w:val="16"/>
    </w:rPr>
  </w:style>
  <w:style w:type="paragraph" w:styleId="Header">
    <w:name w:val="header"/>
    <w:basedOn w:val="Normal"/>
    <w:semiHidden/>
    <w:rsid w:val="009B7085"/>
    <w:pPr>
      <w:tabs>
        <w:tab w:val="center" w:pos="4153"/>
        <w:tab w:val="right" w:pos="8306"/>
      </w:tabs>
    </w:pPr>
  </w:style>
  <w:style w:type="paragraph" w:customStyle="1" w:styleId="Noteheading">
    <w:name w:val="Note heading"/>
    <w:basedOn w:val="Normal"/>
    <w:autoRedefine/>
    <w:semiHidden/>
    <w:rsid w:val="009B7085"/>
    <w:pPr>
      <w:spacing w:before="120"/>
      <w:ind w:left="28"/>
    </w:pPr>
    <w:rPr>
      <w:b/>
      <w:bCs/>
      <w:sz w:val="20"/>
    </w:rPr>
  </w:style>
  <w:style w:type="character" w:customStyle="1" w:styleId="BodyTextIndentChar">
    <w:name w:val="Body Text Indent Char"/>
    <w:basedOn w:val="DefaultParagraphFont"/>
    <w:link w:val="BodyTextIndent"/>
    <w:rsid w:val="00D90F82"/>
    <w:rPr>
      <w:rFonts w:ascii="Calibri" w:hAnsi="Calibri"/>
      <w:sz w:val="24"/>
      <w:szCs w:val="24"/>
      <w:lang w:eastAsia="en-US"/>
    </w:rPr>
  </w:style>
  <w:style w:type="paragraph" w:customStyle="1" w:styleId="TableHeadingLeft">
    <w:name w:val="Table Heading Left"/>
    <w:basedOn w:val="Normal"/>
    <w:link w:val="TableHeadingLeftChar"/>
    <w:rsid w:val="009B7085"/>
    <w:pPr>
      <w:keepNext/>
    </w:pPr>
    <w:rPr>
      <w:b/>
      <w:sz w:val="20"/>
      <w:lang w:eastAsia="en-AU"/>
    </w:rPr>
  </w:style>
  <w:style w:type="paragraph" w:customStyle="1" w:styleId="TableTextRight">
    <w:name w:val="Table Text Right"/>
    <w:basedOn w:val="Normal"/>
    <w:rsid w:val="009B7085"/>
    <w:pPr>
      <w:ind w:left="357" w:hanging="357"/>
      <w:jc w:val="right"/>
    </w:pPr>
    <w:rPr>
      <w:sz w:val="20"/>
    </w:rPr>
  </w:style>
  <w:style w:type="paragraph" w:customStyle="1" w:styleId="TableTextLeftBold">
    <w:name w:val="Table Text Left Bold"/>
    <w:basedOn w:val="Normal"/>
    <w:link w:val="TableTextLeftBoldChar"/>
    <w:rsid w:val="009B7085"/>
    <w:pPr>
      <w:ind w:left="357" w:hanging="357"/>
    </w:pPr>
    <w:rPr>
      <w:b/>
      <w:sz w:val="20"/>
    </w:rPr>
  </w:style>
  <w:style w:type="paragraph" w:customStyle="1" w:styleId="TableTextLeft">
    <w:name w:val="Table Text Left"/>
    <w:basedOn w:val="Normal"/>
    <w:rsid w:val="009B7085"/>
    <w:pPr>
      <w:ind w:left="357" w:hanging="357"/>
    </w:pPr>
    <w:rPr>
      <w:sz w:val="20"/>
      <w:szCs w:val="18"/>
    </w:rPr>
  </w:style>
  <w:style w:type="paragraph" w:customStyle="1" w:styleId="TableNumbersRight">
    <w:name w:val="Table Numbers Right"/>
    <w:basedOn w:val="TableHeadingRight"/>
    <w:rsid w:val="009B7085"/>
    <w:rPr>
      <w:b w:val="0"/>
    </w:rPr>
  </w:style>
  <w:style w:type="character" w:customStyle="1" w:styleId="TableHeadingLeftChar">
    <w:name w:val="Table Heading Left Char"/>
    <w:basedOn w:val="DefaultParagraphFont"/>
    <w:link w:val="TableHeadingLeft"/>
    <w:rsid w:val="00D90F82"/>
    <w:rPr>
      <w:rFonts w:ascii="Calibri" w:hAnsi="Calibri"/>
      <w:b/>
    </w:rPr>
  </w:style>
  <w:style w:type="paragraph" w:customStyle="1" w:styleId="FooterBP">
    <w:name w:val="Footer BP"/>
    <w:basedOn w:val="Normal"/>
    <w:next w:val="Normal"/>
    <w:rsid w:val="009B7085"/>
    <w:pPr>
      <w:pBdr>
        <w:top w:val="single" w:sz="4" w:space="1" w:color="auto"/>
      </w:pBdr>
      <w:tabs>
        <w:tab w:val="center" w:pos="4536"/>
        <w:tab w:val="right" w:pos="9356"/>
      </w:tabs>
      <w:ind w:left="-284" w:right="-329"/>
    </w:pPr>
    <w:rPr>
      <w:i/>
      <w:sz w:val="20"/>
    </w:rPr>
  </w:style>
  <w:style w:type="paragraph" w:styleId="Footer">
    <w:name w:val="footer"/>
    <w:basedOn w:val="Normal"/>
    <w:semiHidden/>
    <w:rsid w:val="009B7085"/>
    <w:pPr>
      <w:tabs>
        <w:tab w:val="center" w:pos="4153"/>
        <w:tab w:val="right" w:pos="8306"/>
      </w:tabs>
    </w:pPr>
  </w:style>
  <w:style w:type="character" w:customStyle="1" w:styleId="TableTextLeftBoldChar">
    <w:name w:val="Table Text Left Bold Char"/>
    <w:basedOn w:val="DefaultParagraphFont"/>
    <w:link w:val="TableTextLeftBold"/>
    <w:rsid w:val="000A4C3A"/>
    <w:rPr>
      <w:rFonts w:ascii="Calibri" w:hAnsi="Calibri"/>
      <w:b/>
      <w:lang w:eastAsia="en-US"/>
    </w:rPr>
  </w:style>
  <w:style w:type="paragraph" w:customStyle="1" w:styleId="Heading3TopofPage">
    <w:name w:val="Heading 3 Top of Page"/>
    <w:basedOn w:val="Heading3"/>
    <w:next w:val="BodyText"/>
    <w:rsid w:val="009B7085"/>
    <w:pPr>
      <w:spacing w:before="0"/>
    </w:pPr>
    <w:rPr>
      <w:rFonts w:cs="Times New Roman"/>
      <w:lang w:eastAsia="en-AU"/>
    </w:rPr>
  </w:style>
  <w:style w:type="paragraph" w:customStyle="1" w:styleId="Heading3Centred">
    <w:name w:val="Heading 3 Centred"/>
    <w:basedOn w:val="Heading3"/>
    <w:next w:val="BodyText"/>
    <w:rsid w:val="009B7085"/>
    <w:pPr>
      <w:spacing w:before="0"/>
      <w:jc w:val="center"/>
    </w:pPr>
    <w:rPr>
      <w:rFonts w:cs="Times New Roman"/>
      <w:lang w:eastAsia="en-AU"/>
    </w:rPr>
  </w:style>
  <w:style w:type="numbering" w:styleId="ArticleSection">
    <w:name w:val="Outline List 3"/>
    <w:basedOn w:val="NoList"/>
    <w:semiHidden/>
    <w:rsid w:val="009B7085"/>
    <w:pPr>
      <w:numPr>
        <w:numId w:val="18"/>
      </w:numPr>
    </w:pPr>
  </w:style>
  <w:style w:type="paragraph" w:styleId="BodyText2">
    <w:name w:val="Body Text 2"/>
    <w:basedOn w:val="Normal"/>
    <w:semiHidden/>
    <w:rsid w:val="009B7085"/>
    <w:pPr>
      <w:spacing w:after="120" w:line="480" w:lineRule="auto"/>
    </w:pPr>
  </w:style>
  <w:style w:type="paragraph" w:customStyle="1" w:styleId="SinglePara">
    <w:name w:val="Single Para"/>
    <w:basedOn w:val="Normal"/>
    <w:semiHidden/>
    <w:rsid w:val="009B7085"/>
  </w:style>
  <w:style w:type="paragraph" w:customStyle="1" w:styleId="xl25">
    <w:name w:val="xl25"/>
    <w:basedOn w:val="Normal"/>
    <w:semiHidden/>
    <w:rsid w:val="009B7085"/>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9B7085"/>
    <w:rPr>
      <w:sz w:val="20"/>
      <w:lang w:val="en-US"/>
    </w:rPr>
  </w:style>
  <w:style w:type="paragraph" w:styleId="BalloonText">
    <w:name w:val="Balloon Text"/>
    <w:basedOn w:val="Normal"/>
    <w:semiHidden/>
    <w:rsid w:val="009B7085"/>
    <w:rPr>
      <w:rFonts w:ascii="Tahoma" w:hAnsi="Tahoma" w:cs="Tahoma"/>
      <w:sz w:val="16"/>
      <w:szCs w:val="16"/>
    </w:rPr>
  </w:style>
  <w:style w:type="paragraph" w:customStyle="1" w:styleId="Sub-Heading">
    <w:name w:val="Sub-Heading"/>
    <w:basedOn w:val="Normal"/>
    <w:next w:val="BodyText"/>
    <w:rsid w:val="009B7085"/>
    <w:pPr>
      <w:keepNext/>
      <w:spacing w:before="240" w:after="120"/>
      <w:outlineLvl w:val="0"/>
    </w:pPr>
    <w:rPr>
      <w:rFonts w:ascii="Arial" w:hAnsi="Arial"/>
      <w:i/>
    </w:rPr>
  </w:style>
  <w:style w:type="paragraph" w:customStyle="1" w:styleId="Sub-Heading2">
    <w:name w:val="Sub-Heading 2"/>
    <w:basedOn w:val="BodyText"/>
    <w:semiHidden/>
    <w:rsid w:val="009B7085"/>
    <w:rPr>
      <w:i/>
    </w:rPr>
  </w:style>
  <w:style w:type="paragraph" w:customStyle="1" w:styleId="TableName">
    <w:name w:val="Table Name"/>
    <w:basedOn w:val="Normal"/>
    <w:rsid w:val="009B7085"/>
    <w:pPr>
      <w:keepNext/>
      <w:keepLines/>
      <w:spacing w:after="120"/>
      <w:jc w:val="center"/>
    </w:pPr>
    <w:rPr>
      <w:rFonts w:ascii="Arial" w:hAnsi="Arial"/>
      <w:b/>
      <w:sz w:val="20"/>
    </w:rPr>
  </w:style>
  <w:style w:type="paragraph" w:customStyle="1" w:styleId="AIblurb">
    <w:name w:val="AI blurb"/>
    <w:basedOn w:val="Normal"/>
    <w:rsid w:val="009B7085"/>
    <w:pPr>
      <w:spacing w:before="120" w:after="240"/>
      <w:ind w:left="380"/>
      <w:jc w:val="both"/>
    </w:pPr>
    <w:rPr>
      <w:sz w:val="20"/>
    </w:rPr>
  </w:style>
  <w:style w:type="paragraph" w:styleId="BodyText3">
    <w:name w:val="Body Text 3"/>
    <w:basedOn w:val="Normal"/>
    <w:semiHidden/>
    <w:rsid w:val="009B7085"/>
    <w:pPr>
      <w:spacing w:after="120"/>
    </w:pPr>
    <w:rPr>
      <w:sz w:val="16"/>
      <w:szCs w:val="16"/>
    </w:rPr>
  </w:style>
  <w:style w:type="paragraph" w:customStyle="1" w:styleId="AINotes">
    <w:name w:val="AI Notes"/>
    <w:basedOn w:val="Normal"/>
    <w:rsid w:val="009B7085"/>
    <w:pPr>
      <w:numPr>
        <w:numId w:val="17"/>
      </w:numPr>
      <w:jc w:val="both"/>
    </w:pPr>
    <w:rPr>
      <w:sz w:val="16"/>
    </w:rPr>
  </w:style>
  <w:style w:type="paragraph" w:customStyle="1" w:styleId="n">
    <w:name w:val="n"/>
    <w:basedOn w:val="Normal"/>
    <w:semiHidden/>
    <w:rsid w:val="009B7085"/>
    <w:pPr>
      <w:jc w:val="both"/>
    </w:pPr>
    <w:rPr>
      <w:sz w:val="16"/>
      <w:szCs w:val="24"/>
    </w:rPr>
  </w:style>
  <w:style w:type="paragraph" w:customStyle="1" w:styleId="Notes">
    <w:name w:val="Notes"/>
    <w:basedOn w:val="Normal"/>
    <w:semiHidden/>
    <w:rsid w:val="009B7085"/>
    <w:pPr>
      <w:spacing w:before="120"/>
      <w:ind w:left="28"/>
    </w:pPr>
    <w:rPr>
      <w:b/>
      <w:sz w:val="20"/>
      <w:szCs w:val="24"/>
    </w:rPr>
  </w:style>
  <w:style w:type="numbering" w:styleId="1ai">
    <w:name w:val="Outline List 1"/>
    <w:basedOn w:val="NoList"/>
    <w:semiHidden/>
    <w:rsid w:val="009B7085"/>
    <w:pPr>
      <w:numPr>
        <w:numId w:val="16"/>
      </w:numPr>
    </w:pPr>
  </w:style>
  <w:style w:type="numbering" w:styleId="111111">
    <w:name w:val="Outline List 2"/>
    <w:basedOn w:val="NoList"/>
    <w:semiHidden/>
    <w:rsid w:val="009B7085"/>
    <w:pPr>
      <w:numPr>
        <w:numId w:val="15"/>
      </w:numPr>
    </w:pPr>
  </w:style>
  <w:style w:type="paragraph" w:styleId="BlockText">
    <w:name w:val="Block Text"/>
    <w:basedOn w:val="Normal"/>
    <w:semiHidden/>
    <w:rsid w:val="009B7085"/>
    <w:pPr>
      <w:spacing w:after="120"/>
      <w:ind w:left="1440" w:right="1440"/>
    </w:pPr>
  </w:style>
  <w:style w:type="paragraph" w:styleId="BodyTextFirstIndent">
    <w:name w:val="Body Text First Indent"/>
    <w:basedOn w:val="BodyText"/>
    <w:semiHidden/>
    <w:rsid w:val="009B7085"/>
    <w:pPr>
      <w:spacing w:before="0"/>
      <w:ind w:firstLine="210"/>
      <w:jc w:val="left"/>
    </w:pPr>
  </w:style>
  <w:style w:type="paragraph" w:styleId="BodyTextFirstIndent2">
    <w:name w:val="Body Text First Indent 2"/>
    <w:basedOn w:val="BodyTextIndent"/>
    <w:semiHidden/>
    <w:rsid w:val="009B7085"/>
    <w:pPr>
      <w:numPr>
        <w:numId w:val="0"/>
      </w:numPr>
      <w:ind w:left="283" w:firstLine="210"/>
      <w:jc w:val="left"/>
    </w:pPr>
  </w:style>
  <w:style w:type="paragraph" w:styleId="Closing">
    <w:name w:val="Closing"/>
    <w:basedOn w:val="Normal"/>
    <w:semiHidden/>
    <w:rsid w:val="009B7085"/>
    <w:pPr>
      <w:ind w:left="4252"/>
    </w:pPr>
  </w:style>
  <w:style w:type="paragraph" w:styleId="Date">
    <w:name w:val="Date"/>
    <w:basedOn w:val="Normal"/>
    <w:next w:val="Normal"/>
    <w:semiHidden/>
    <w:rsid w:val="009B7085"/>
  </w:style>
  <w:style w:type="paragraph" w:styleId="E-mailSignature">
    <w:name w:val="E-mail Signature"/>
    <w:basedOn w:val="Normal"/>
    <w:semiHidden/>
    <w:rsid w:val="009B7085"/>
  </w:style>
  <w:style w:type="character" w:styleId="Emphasis">
    <w:name w:val="Emphasis"/>
    <w:basedOn w:val="DefaultParagraphFont"/>
    <w:qFormat/>
    <w:rsid w:val="009B7085"/>
    <w:rPr>
      <w:rFonts w:ascii="Calibri" w:hAnsi="Calibri"/>
      <w:i/>
      <w:iCs/>
    </w:rPr>
  </w:style>
  <w:style w:type="paragraph" w:styleId="EnvelopeAddress">
    <w:name w:val="envelope address"/>
    <w:basedOn w:val="Normal"/>
    <w:semiHidden/>
    <w:rsid w:val="009B708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B7085"/>
    <w:rPr>
      <w:rFonts w:ascii="Arial" w:hAnsi="Arial" w:cs="Arial"/>
      <w:sz w:val="20"/>
    </w:rPr>
  </w:style>
  <w:style w:type="character" w:styleId="FollowedHyperlink">
    <w:name w:val="FollowedHyperlink"/>
    <w:basedOn w:val="DefaultParagraphFont"/>
    <w:semiHidden/>
    <w:rsid w:val="009B7085"/>
    <w:rPr>
      <w:color w:val="800080"/>
      <w:u w:val="single"/>
    </w:rPr>
  </w:style>
  <w:style w:type="character" w:styleId="HTMLAcronym">
    <w:name w:val="HTML Acronym"/>
    <w:basedOn w:val="DefaultParagraphFont"/>
    <w:semiHidden/>
    <w:rsid w:val="009B7085"/>
  </w:style>
  <w:style w:type="paragraph" w:styleId="HTMLAddress">
    <w:name w:val="HTML Address"/>
    <w:basedOn w:val="Normal"/>
    <w:semiHidden/>
    <w:rsid w:val="009B7085"/>
    <w:rPr>
      <w:i/>
      <w:iCs/>
    </w:rPr>
  </w:style>
  <w:style w:type="character" w:styleId="HTMLCite">
    <w:name w:val="HTML Cite"/>
    <w:basedOn w:val="DefaultParagraphFont"/>
    <w:semiHidden/>
    <w:rsid w:val="009B7085"/>
    <w:rPr>
      <w:i/>
      <w:iCs/>
    </w:rPr>
  </w:style>
  <w:style w:type="character" w:styleId="HTMLCode">
    <w:name w:val="HTML Code"/>
    <w:basedOn w:val="DefaultParagraphFont"/>
    <w:semiHidden/>
    <w:rsid w:val="009B7085"/>
    <w:rPr>
      <w:rFonts w:ascii="Courier New" w:hAnsi="Courier New" w:cs="Courier New"/>
      <w:sz w:val="20"/>
      <w:szCs w:val="20"/>
    </w:rPr>
  </w:style>
  <w:style w:type="character" w:styleId="HTMLDefinition">
    <w:name w:val="HTML Definition"/>
    <w:basedOn w:val="DefaultParagraphFont"/>
    <w:semiHidden/>
    <w:rsid w:val="009B7085"/>
    <w:rPr>
      <w:i/>
      <w:iCs/>
    </w:rPr>
  </w:style>
  <w:style w:type="character" w:styleId="HTMLKeyboard">
    <w:name w:val="HTML Keyboard"/>
    <w:basedOn w:val="DefaultParagraphFont"/>
    <w:semiHidden/>
    <w:rsid w:val="009B7085"/>
    <w:rPr>
      <w:rFonts w:ascii="Courier New" w:hAnsi="Courier New" w:cs="Courier New"/>
      <w:sz w:val="20"/>
      <w:szCs w:val="20"/>
    </w:rPr>
  </w:style>
  <w:style w:type="paragraph" w:styleId="HTMLPreformatted">
    <w:name w:val="HTML Preformatted"/>
    <w:basedOn w:val="Normal"/>
    <w:semiHidden/>
    <w:rsid w:val="009B7085"/>
    <w:rPr>
      <w:rFonts w:ascii="Courier New" w:hAnsi="Courier New" w:cs="Courier New"/>
      <w:sz w:val="20"/>
    </w:rPr>
  </w:style>
  <w:style w:type="character" w:styleId="HTMLSample">
    <w:name w:val="HTML Sample"/>
    <w:basedOn w:val="DefaultParagraphFont"/>
    <w:semiHidden/>
    <w:rsid w:val="009B7085"/>
    <w:rPr>
      <w:rFonts w:ascii="Courier New" w:hAnsi="Courier New" w:cs="Courier New"/>
    </w:rPr>
  </w:style>
  <w:style w:type="character" w:styleId="HTMLTypewriter">
    <w:name w:val="HTML Typewriter"/>
    <w:basedOn w:val="DefaultParagraphFont"/>
    <w:semiHidden/>
    <w:rsid w:val="009B7085"/>
    <w:rPr>
      <w:rFonts w:ascii="Courier New" w:hAnsi="Courier New" w:cs="Courier New"/>
      <w:sz w:val="20"/>
      <w:szCs w:val="20"/>
    </w:rPr>
  </w:style>
  <w:style w:type="character" w:styleId="HTMLVariable">
    <w:name w:val="HTML Variable"/>
    <w:basedOn w:val="DefaultParagraphFont"/>
    <w:semiHidden/>
    <w:rsid w:val="009B7085"/>
    <w:rPr>
      <w:i/>
      <w:iCs/>
    </w:rPr>
  </w:style>
  <w:style w:type="character" w:styleId="Hyperlink">
    <w:name w:val="Hyperlink"/>
    <w:basedOn w:val="DefaultParagraphFont"/>
    <w:semiHidden/>
    <w:rsid w:val="009B7085"/>
    <w:rPr>
      <w:color w:val="0000FF"/>
      <w:u w:val="single"/>
    </w:rPr>
  </w:style>
  <w:style w:type="character" w:styleId="LineNumber">
    <w:name w:val="line number"/>
    <w:basedOn w:val="DefaultParagraphFont"/>
    <w:semiHidden/>
    <w:rsid w:val="009B7085"/>
  </w:style>
  <w:style w:type="paragraph" w:styleId="List">
    <w:name w:val="List"/>
    <w:basedOn w:val="Normal"/>
    <w:semiHidden/>
    <w:rsid w:val="009B7085"/>
    <w:pPr>
      <w:ind w:left="283" w:hanging="283"/>
    </w:pPr>
  </w:style>
  <w:style w:type="paragraph" w:styleId="List2">
    <w:name w:val="List 2"/>
    <w:basedOn w:val="Normal"/>
    <w:semiHidden/>
    <w:rsid w:val="009B7085"/>
    <w:pPr>
      <w:ind w:left="566" w:hanging="283"/>
    </w:pPr>
  </w:style>
  <w:style w:type="paragraph" w:styleId="List3">
    <w:name w:val="List 3"/>
    <w:basedOn w:val="Normal"/>
    <w:semiHidden/>
    <w:rsid w:val="009B7085"/>
    <w:pPr>
      <w:ind w:left="849" w:hanging="283"/>
    </w:pPr>
  </w:style>
  <w:style w:type="paragraph" w:styleId="List4">
    <w:name w:val="List 4"/>
    <w:basedOn w:val="Normal"/>
    <w:semiHidden/>
    <w:rsid w:val="009B7085"/>
    <w:pPr>
      <w:ind w:left="1132" w:hanging="283"/>
    </w:pPr>
  </w:style>
  <w:style w:type="paragraph" w:styleId="List5">
    <w:name w:val="List 5"/>
    <w:basedOn w:val="Normal"/>
    <w:semiHidden/>
    <w:rsid w:val="009B7085"/>
    <w:pPr>
      <w:ind w:left="1415" w:hanging="283"/>
    </w:pPr>
  </w:style>
  <w:style w:type="paragraph" w:styleId="ListBullet">
    <w:name w:val="List Bullet"/>
    <w:basedOn w:val="Normal"/>
    <w:semiHidden/>
    <w:rsid w:val="009B7085"/>
    <w:pPr>
      <w:numPr>
        <w:numId w:val="24"/>
      </w:numPr>
    </w:pPr>
  </w:style>
  <w:style w:type="paragraph" w:styleId="ListBullet2">
    <w:name w:val="List Bullet 2"/>
    <w:basedOn w:val="Normal"/>
    <w:semiHidden/>
    <w:rsid w:val="009B7085"/>
    <w:pPr>
      <w:numPr>
        <w:numId w:val="25"/>
      </w:numPr>
    </w:pPr>
  </w:style>
  <w:style w:type="paragraph" w:styleId="ListBullet3">
    <w:name w:val="List Bullet 3"/>
    <w:basedOn w:val="Normal"/>
    <w:semiHidden/>
    <w:rsid w:val="009B7085"/>
    <w:pPr>
      <w:numPr>
        <w:numId w:val="26"/>
      </w:numPr>
    </w:pPr>
  </w:style>
  <w:style w:type="paragraph" w:styleId="ListBullet4">
    <w:name w:val="List Bullet 4"/>
    <w:basedOn w:val="Normal"/>
    <w:semiHidden/>
    <w:rsid w:val="009B7085"/>
    <w:pPr>
      <w:numPr>
        <w:numId w:val="27"/>
      </w:numPr>
    </w:pPr>
  </w:style>
  <w:style w:type="paragraph" w:styleId="ListBullet5">
    <w:name w:val="List Bullet 5"/>
    <w:basedOn w:val="Normal"/>
    <w:semiHidden/>
    <w:rsid w:val="009B7085"/>
    <w:pPr>
      <w:numPr>
        <w:numId w:val="28"/>
      </w:numPr>
    </w:pPr>
  </w:style>
  <w:style w:type="paragraph" w:styleId="ListContinue">
    <w:name w:val="List Continue"/>
    <w:basedOn w:val="Normal"/>
    <w:semiHidden/>
    <w:rsid w:val="009B7085"/>
    <w:pPr>
      <w:spacing w:after="120"/>
      <w:ind w:left="283"/>
    </w:pPr>
  </w:style>
  <w:style w:type="paragraph" w:styleId="ListContinue2">
    <w:name w:val="List Continue 2"/>
    <w:basedOn w:val="Normal"/>
    <w:semiHidden/>
    <w:rsid w:val="009B7085"/>
    <w:pPr>
      <w:spacing w:after="120"/>
      <w:ind w:left="566"/>
    </w:pPr>
  </w:style>
  <w:style w:type="paragraph" w:styleId="ListContinue3">
    <w:name w:val="List Continue 3"/>
    <w:basedOn w:val="Normal"/>
    <w:semiHidden/>
    <w:rsid w:val="009B7085"/>
    <w:pPr>
      <w:spacing w:after="120"/>
      <w:ind w:left="849"/>
    </w:pPr>
  </w:style>
  <w:style w:type="paragraph" w:styleId="ListContinue4">
    <w:name w:val="List Continue 4"/>
    <w:basedOn w:val="Normal"/>
    <w:semiHidden/>
    <w:rsid w:val="009B7085"/>
    <w:pPr>
      <w:spacing w:after="120"/>
      <w:ind w:left="1132"/>
    </w:pPr>
  </w:style>
  <w:style w:type="paragraph" w:styleId="ListContinue5">
    <w:name w:val="List Continue 5"/>
    <w:basedOn w:val="Normal"/>
    <w:semiHidden/>
    <w:rsid w:val="009B7085"/>
    <w:pPr>
      <w:spacing w:after="120"/>
      <w:ind w:left="1415"/>
    </w:pPr>
  </w:style>
  <w:style w:type="paragraph" w:styleId="ListNumber">
    <w:name w:val="List Number"/>
    <w:basedOn w:val="Normal"/>
    <w:semiHidden/>
    <w:rsid w:val="009B7085"/>
    <w:pPr>
      <w:numPr>
        <w:numId w:val="29"/>
      </w:numPr>
    </w:pPr>
  </w:style>
  <w:style w:type="paragraph" w:styleId="ListNumber2">
    <w:name w:val="List Number 2"/>
    <w:basedOn w:val="Normal"/>
    <w:semiHidden/>
    <w:rsid w:val="009B7085"/>
    <w:pPr>
      <w:numPr>
        <w:numId w:val="30"/>
      </w:numPr>
    </w:pPr>
  </w:style>
  <w:style w:type="paragraph" w:styleId="ListNumber3">
    <w:name w:val="List Number 3"/>
    <w:basedOn w:val="Normal"/>
    <w:semiHidden/>
    <w:rsid w:val="009B7085"/>
    <w:pPr>
      <w:numPr>
        <w:numId w:val="31"/>
      </w:numPr>
    </w:pPr>
  </w:style>
  <w:style w:type="paragraph" w:styleId="ListNumber4">
    <w:name w:val="List Number 4"/>
    <w:basedOn w:val="Normal"/>
    <w:semiHidden/>
    <w:rsid w:val="009B7085"/>
    <w:pPr>
      <w:numPr>
        <w:numId w:val="32"/>
      </w:numPr>
    </w:pPr>
  </w:style>
  <w:style w:type="paragraph" w:styleId="ListNumber5">
    <w:name w:val="List Number 5"/>
    <w:basedOn w:val="Normal"/>
    <w:semiHidden/>
    <w:rsid w:val="009B7085"/>
    <w:pPr>
      <w:numPr>
        <w:numId w:val="33"/>
      </w:numPr>
    </w:pPr>
  </w:style>
  <w:style w:type="paragraph" w:styleId="MessageHeader">
    <w:name w:val="Message Header"/>
    <w:basedOn w:val="Normal"/>
    <w:semiHidden/>
    <w:rsid w:val="009B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9B7085"/>
    <w:rPr>
      <w:szCs w:val="24"/>
    </w:rPr>
  </w:style>
  <w:style w:type="paragraph" w:styleId="NormalIndent">
    <w:name w:val="Normal Indent"/>
    <w:basedOn w:val="Normal"/>
    <w:semiHidden/>
    <w:rsid w:val="009B7085"/>
    <w:pPr>
      <w:ind w:left="720"/>
    </w:pPr>
  </w:style>
  <w:style w:type="character" w:styleId="PageNumber">
    <w:name w:val="page number"/>
    <w:basedOn w:val="DefaultParagraphFont"/>
    <w:semiHidden/>
    <w:rsid w:val="009B7085"/>
  </w:style>
  <w:style w:type="paragraph" w:styleId="Salutation">
    <w:name w:val="Salutation"/>
    <w:basedOn w:val="Normal"/>
    <w:next w:val="Normal"/>
    <w:semiHidden/>
    <w:rsid w:val="009B7085"/>
  </w:style>
  <w:style w:type="paragraph" w:styleId="Signature">
    <w:name w:val="Signature"/>
    <w:basedOn w:val="Normal"/>
    <w:semiHidden/>
    <w:rsid w:val="009B7085"/>
    <w:pPr>
      <w:ind w:left="4252"/>
    </w:pPr>
  </w:style>
  <w:style w:type="character" w:styleId="Strong">
    <w:name w:val="Strong"/>
    <w:basedOn w:val="DefaultParagraphFont"/>
    <w:qFormat/>
    <w:rsid w:val="009B7085"/>
    <w:rPr>
      <w:b/>
      <w:bCs/>
    </w:rPr>
  </w:style>
  <w:style w:type="paragraph" w:styleId="Subtitle">
    <w:name w:val="Subtitle"/>
    <w:basedOn w:val="Normal"/>
    <w:qFormat/>
    <w:rsid w:val="009B7085"/>
    <w:pPr>
      <w:spacing w:after="60"/>
      <w:jc w:val="center"/>
      <w:outlineLvl w:val="1"/>
    </w:pPr>
    <w:rPr>
      <w:rFonts w:ascii="Arial" w:hAnsi="Arial" w:cs="Arial"/>
      <w:szCs w:val="24"/>
    </w:rPr>
  </w:style>
  <w:style w:type="table" w:styleId="Table3Deffects1">
    <w:name w:val="Table 3D effects 1"/>
    <w:basedOn w:val="TableNormal"/>
    <w:semiHidden/>
    <w:rsid w:val="009B708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B708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B708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B708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B708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B708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B708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B708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B708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B708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B708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B708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B708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B708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B708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B708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B708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B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B70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B708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B708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B708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B708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B708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B708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B708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B708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B708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B708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B708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B708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B708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B708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B708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B70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B708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B708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B708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B708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B708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B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B708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B708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B708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B7085"/>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9B7085"/>
    <w:pPr>
      <w:spacing w:before="120"/>
    </w:pPr>
    <w:rPr>
      <w:b/>
      <w:sz w:val="16"/>
    </w:rPr>
  </w:style>
  <w:style w:type="paragraph" w:customStyle="1" w:styleId="TableNumber">
    <w:name w:val="Table Number"/>
    <w:basedOn w:val="TableName"/>
    <w:next w:val="TableName"/>
    <w:rsid w:val="009B7085"/>
    <w:pPr>
      <w:spacing w:before="60" w:after="0"/>
    </w:pPr>
  </w:style>
  <w:style w:type="paragraph" w:customStyle="1" w:styleId="TableTextIndent">
    <w:name w:val="Table Text Indent"/>
    <w:rsid w:val="009B7085"/>
    <w:pPr>
      <w:numPr>
        <w:numId w:val="34"/>
      </w:numPr>
      <w:spacing w:before="60"/>
    </w:pPr>
    <w:rPr>
      <w:rFonts w:ascii="Calibri" w:hAnsi="Calibri"/>
      <w:szCs w:val="24"/>
      <w:lang w:eastAsia="en-US"/>
    </w:rPr>
  </w:style>
  <w:style w:type="character" w:customStyle="1" w:styleId="Heading3Char">
    <w:name w:val="Heading 3 Char"/>
    <w:basedOn w:val="DefaultParagraphFont"/>
    <w:link w:val="Heading3"/>
    <w:rsid w:val="000A4C3A"/>
    <w:rPr>
      <w:rFonts w:ascii="Arial" w:hAnsi="Arial" w:cs="Arial"/>
      <w:b/>
      <w:bCs/>
      <w:sz w:val="24"/>
      <w:szCs w:val="26"/>
      <w:lang w:eastAsia="en-US"/>
    </w:rPr>
  </w:style>
  <w:style w:type="paragraph" w:customStyle="1" w:styleId="TableHeadingCentre-BP4">
    <w:name w:val="Table Heading Centre - BP4"/>
    <w:basedOn w:val="Normal"/>
    <w:rsid w:val="009B7085"/>
    <w:pPr>
      <w:keepNext/>
      <w:jc w:val="center"/>
    </w:pPr>
    <w:rPr>
      <w:b/>
      <w:sz w:val="18"/>
    </w:rPr>
  </w:style>
  <w:style w:type="paragraph" w:customStyle="1" w:styleId="TableTextRightBold-BP4">
    <w:name w:val="Table Text Right Bold - BP4"/>
    <w:basedOn w:val="Normal"/>
    <w:rsid w:val="009B7085"/>
    <w:pPr>
      <w:jc w:val="right"/>
    </w:pPr>
    <w:rPr>
      <w:b/>
      <w:sz w:val="18"/>
    </w:rPr>
  </w:style>
  <w:style w:type="paragraph" w:customStyle="1" w:styleId="TableHeadingRight-BP4">
    <w:name w:val="Table Heading Right - BP4"/>
    <w:basedOn w:val="Normal"/>
    <w:rsid w:val="009B7085"/>
    <w:pPr>
      <w:keepNext/>
      <w:jc w:val="right"/>
    </w:pPr>
    <w:rPr>
      <w:b/>
      <w:sz w:val="18"/>
      <w:szCs w:val="24"/>
    </w:rPr>
  </w:style>
  <w:style w:type="paragraph" w:customStyle="1" w:styleId="TableHeadingLeft-BP4">
    <w:name w:val="Table Heading Left - BP4"/>
    <w:basedOn w:val="Normal"/>
    <w:link w:val="TableHeadingLeft-BP4CharChar"/>
    <w:rsid w:val="009B7085"/>
    <w:pPr>
      <w:keepNext/>
    </w:pPr>
    <w:rPr>
      <w:b/>
      <w:sz w:val="18"/>
      <w:lang w:eastAsia="en-AU"/>
    </w:rPr>
  </w:style>
  <w:style w:type="character" w:customStyle="1" w:styleId="TableHeadingLeft-BP4CharChar">
    <w:name w:val="Table Heading Left - BP4 Char Char"/>
    <w:basedOn w:val="DefaultParagraphFont"/>
    <w:link w:val="TableHeadingLeft-BP4"/>
    <w:rsid w:val="000A4C3A"/>
    <w:rPr>
      <w:rFonts w:ascii="Calibri" w:hAnsi="Calibri"/>
      <w:b/>
      <w:sz w:val="18"/>
    </w:rPr>
  </w:style>
  <w:style w:type="paragraph" w:customStyle="1" w:styleId="TableTextRight-BP4">
    <w:name w:val="Table Text Right - BP4"/>
    <w:basedOn w:val="Normal"/>
    <w:rsid w:val="009B7085"/>
    <w:pPr>
      <w:jc w:val="right"/>
    </w:pPr>
    <w:rPr>
      <w:sz w:val="18"/>
    </w:rPr>
  </w:style>
  <w:style w:type="paragraph" w:customStyle="1" w:styleId="TableTextLeftBold-BP4">
    <w:name w:val="Table Text Left Bold - BP4"/>
    <w:basedOn w:val="Normal"/>
    <w:link w:val="TableTextLeftBold-BP4CharChar"/>
    <w:rsid w:val="009B7085"/>
    <w:pPr>
      <w:ind w:left="142" w:hanging="142"/>
    </w:pPr>
    <w:rPr>
      <w:b/>
      <w:sz w:val="18"/>
    </w:rPr>
  </w:style>
  <w:style w:type="character" w:customStyle="1" w:styleId="TableTextLeftBold-BP4CharChar">
    <w:name w:val="Table Text Left Bold - BP4 Char Char"/>
    <w:basedOn w:val="DefaultParagraphFont"/>
    <w:link w:val="TableTextLeftBold-BP4"/>
    <w:rsid w:val="000A4C3A"/>
    <w:rPr>
      <w:rFonts w:ascii="Calibri" w:hAnsi="Calibri"/>
      <w:b/>
      <w:sz w:val="18"/>
      <w:lang w:eastAsia="en-US"/>
    </w:rPr>
  </w:style>
  <w:style w:type="paragraph" w:customStyle="1" w:styleId="TableTextLeft-BP4">
    <w:name w:val="Table Text Left - BP4"/>
    <w:basedOn w:val="Normal"/>
    <w:rsid w:val="009B7085"/>
    <w:pPr>
      <w:ind w:left="142" w:hanging="142"/>
    </w:pPr>
    <w:rPr>
      <w:sz w:val="18"/>
      <w:szCs w:val="18"/>
    </w:rPr>
  </w:style>
  <w:style w:type="paragraph" w:customStyle="1" w:styleId="TableNumbersRight-BP4">
    <w:name w:val="Table Numbers Right - BP4"/>
    <w:basedOn w:val="Normal"/>
    <w:rsid w:val="009B7085"/>
    <w:pPr>
      <w:jc w:val="right"/>
    </w:pPr>
    <w:rPr>
      <w:sz w:val="18"/>
    </w:rPr>
  </w:style>
  <w:style w:type="paragraph" w:customStyle="1" w:styleId="AITableText">
    <w:name w:val="AI Table Text"/>
    <w:basedOn w:val="Normal"/>
    <w:link w:val="AITableTextChar"/>
    <w:rsid w:val="009B7085"/>
    <w:pPr>
      <w:jc w:val="right"/>
    </w:pPr>
    <w:rPr>
      <w:sz w:val="20"/>
      <w:szCs w:val="24"/>
    </w:rPr>
  </w:style>
  <w:style w:type="character" w:customStyle="1" w:styleId="AITableTextChar">
    <w:name w:val="AI Table Text Char"/>
    <w:basedOn w:val="DefaultParagraphFont"/>
    <w:link w:val="AITableText"/>
    <w:rsid w:val="000A4C3A"/>
    <w:rPr>
      <w:rFonts w:ascii="Calibri" w:hAnsi="Calibri"/>
      <w:szCs w:val="24"/>
      <w:lang w:eastAsia="en-US"/>
    </w:rPr>
  </w:style>
  <w:style w:type="paragraph" w:customStyle="1" w:styleId="AIIndent">
    <w:name w:val="AI Indent"/>
    <w:basedOn w:val="Normal"/>
    <w:rsid w:val="009B7085"/>
    <w:pPr>
      <w:tabs>
        <w:tab w:val="num" w:pos="360"/>
      </w:tabs>
      <w:ind w:left="357" w:hanging="357"/>
    </w:pPr>
    <w:rPr>
      <w:sz w:val="20"/>
    </w:rPr>
  </w:style>
  <w:style w:type="paragraph" w:customStyle="1" w:styleId="TableHeadingCentre-BP3">
    <w:name w:val="Table Heading Centre - BP3"/>
    <w:basedOn w:val="TableHeadingCentre-BP4"/>
    <w:rsid w:val="009B7085"/>
    <w:rPr>
      <w:sz w:val="20"/>
    </w:rPr>
  </w:style>
  <w:style w:type="paragraph" w:customStyle="1" w:styleId="TableHeadingLeft-BP3">
    <w:name w:val="Table Heading Left - BP3"/>
    <w:basedOn w:val="TableHeadingLeft-BP4"/>
    <w:rsid w:val="009B7085"/>
    <w:rPr>
      <w:sz w:val="20"/>
    </w:rPr>
  </w:style>
  <w:style w:type="paragraph" w:customStyle="1" w:styleId="TableHeadingRight-BP3">
    <w:name w:val="Table Heading Right - BP3"/>
    <w:basedOn w:val="TableHeadingRight-BP4"/>
    <w:rsid w:val="009B7085"/>
    <w:rPr>
      <w:sz w:val="20"/>
    </w:rPr>
  </w:style>
  <w:style w:type="paragraph" w:customStyle="1" w:styleId="TableNumbersRight-BP3">
    <w:name w:val="Table Numbers Right - BP3"/>
    <w:basedOn w:val="TableNumbersRight-BP4"/>
    <w:rsid w:val="009B7085"/>
    <w:rPr>
      <w:sz w:val="20"/>
    </w:rPr>
  </w:style>
  <w:style w:type="paragraph" w:customStyle="1" w:styleId="TableTextLeft-BP3">
    <w:name w:val="Table Text Left - BP3"/>
    <w:basedOn w:val="TableTextLeft-BP4"/>
    <w:rsid w:val="009B7085"/>
    <w:rPr>
      <w:sz w:val="20"/>
    </w:rPr>
  </w:style>
  <w:style w:type="paragraph" w:customStyle="1" w:styleId="TableTextLeftBold-BP3">
    <w:name w:val="Table Text Left Bold - BP3"/>
    <w:basedOn w:val="TableTextLeftBold-BP4"/>
    <w:rsid w:val="009B7085"/>
    <w:rPr>
      <w:sz w:val="20"/>
    </w:rPr>
  </w:style>
  <w:style w:type="paragraph" w:customStyle="1" w:styleId="TableTextRight-BP3">
    <w:name w:val="Table Text Right - BP3"/>
    <w:basedOn w:val="TableTextRight-BP4"/>
    <w:rsid w:val="009B7085"/>
    <w:rPr>
      <w:sz w:val="20"/>
    </w:rPr>
  </w:style>
  <w:style w:type="paragraph" w:customStyle="1" w:styleId="TableTextRightBold-BP3">
    <w:name w:val="Table Text Right Bold - BP3"/>
    <w:basedOn w:val="TableTextRightBold-BP4"/>
    <w:rsid w:val="009B7085"/>
  </w:style>
  <w:style w:type="paragraph" w:customStyle="1" w:styleId="TableTextLeft-BP4FS">
    <w:name w:val="Table Text Left - BP4 FS"/>
    <w:basedOn w:val="TableTextLeft-BP4"/>
    <w:rsid w:val="009B7085"/>
    <w:pPr>
      <w:ind w:left="227"/>
    </w:pPr>
  </w:style>
  <w:style w:type="paragraph" w:customStyle="1" w:styleId="xl26">
    <w:name w:val="xl26"/>
    <w:basedOn w:val="Normal"/>
    <w:rsid w:val="000A4C3A"/>
    <w:pPr>
      <w:spacing w:before="100" w:beforeAutospacing="1" w:after="100" w:afterAutospacing="1"/>
    </w:pPr>
    <w:rPr>
      <w:rFonts w:eastAsia="Arial Unicode MS"/>
      <w:b/>
      <w:bCs/>
    </w:rPr>
  </w:style>
  <w:style w:type="paragraph" w:customStyle="1" w:styleId="TableHeadingCentre-BP410pt">
    <w:name w:val="Table Heading Centre - BP4 10pt"/>
    <w:basedOn w:val="TableHeadingCentre-BP4"/>
    <w:rsid w:val="009B7085"/>
    <w:rPr>
      <w:sz w:val="20"/>
    </w:rPr>
  </w:style>
  <w:style w:type="paragraph" w:customStyle="1" w:styleId="TableHeadingLeft-BP410pt">
    <w:name w:val="Table Heading Left - BP4 10pt"/>
    <w:basedOn w:val="TableHeadingLeft-BP4"/>
    <w:rsid w:val="009B7085"/>
    <w:rPr>
      <w:sz w:val="20"/>
    </w:rPr>
  </w:style>
  <w:style w:type="paragraph" w:customStyle="1" w:styleId="TableHeadingRight-BP410pt">
    <w:name w:val="Table Heading Right - BP4 10pt"/>
    <w:basedOn w:val="TableHeadingRight-BP4"/>
    <w:rsid w:val="009B7085"/>
    <w:rPr>
      <w:sz w:val="20"/>
    </w:rPr>
  </w:style>
  <w:style w:type="paragraph" w:customStyle="1" w:styleId="TableTextLeft-BP410pt">
    <w:name w:val="Table Text Left - BP4 10pt"/>
    <w:basedOn w:val="TableTextLeft-BP4"/>
    <w:rsid w:val="009B7085"/>
    <w:rPr>
      <w:sz w:val="20"/>
    </w:rPr>
  </w:style>
  <w:style w:type="paragraph" w:customStyle="1" w:styleId="TableTextLeftBold-BP410pt">
    <w:name w:val="Table Text Left Bold - BP4 10pt"/>
    <w:basedOn w:val="TableTextLeftBold-BP4"/>
    <w:rsid w:val="009B7085"/>
    <w:rPr>
      <w:sz w:val="20"/>
    </w:rPr>
  </w:style>
  <w:style w:type="paragraph" w:customStyle="1" w:styleId="TableTextRight-BP410pt">
    <w:name w:val="Table Text Right - BP4 10pt"/>
    <w:basedOn w:val="TableTextRight-BP4"/>
    <w:rsid w:val="009B7085"/>
    <w:rPr>
      <w:sz w:val="20"/>
    </w:rPr>
  </w:style>
  <w:style w:type="paragraph" w:customStyle="1" w:styleId="TableTextRightBold-BP410pt">
    <w:name w:val="Table Text Right Bold - BP4 10pt"/>
    <w:basedOn w:val="TableTextRightBold-BP4"/>
    <w:rsid w:val="009B7085"/>
    <w:rPr>
      <w:sz w:val="20"/>
    </w:rPr>
  </w:style>
  <w:style w:type="paragraph" w:customStyle="1" w:styleId="xl27">
    <w:name w:val="xl27"/>
    <w:basedOn w:val="Normal"/>
    <w:rsid w:val="000A4C3A"/>
    <w:pPr>
      <w:spacing w:before="100" w:beforeAutospacing="1" w:after="100" w:afterAutospacing="1"/>
      <w:textAlignment w:val="top"/>
    </w:pPr>
    <w:rPr>
      <w:rFonts w:eastAsia="Arial Unicode MS"/>
      <w:b/>
      <w:bCs/>
    </w:rPr>
  </w:style>
  <w:style w:type="paragraph" w:customStyle="1" w:styleId="xl28">
    <w:name w:val="xl28"/>
    <w:basedOn w:val="Normal"/>
    <w:rsid w:val="000A4C3A"/>
    <w:pPr>
      <w:spacing w:before="100" w:beforeAutospacing="1" w:after="100" w:afterAutospacing="1"/>
      <w:textAlignment w:val="top"/>
    </w:pPr>
    <w:rPr>
      <w:rFonts w:eastAsia="Arial Unicode MS"/>
    </w:rPr>
  </w:style>
  <w:style w:type="paragraph" w:customStyle="1" w:styleId="xl29">
    <w:name w:val="xl29"/>
    <w:basedOn w:val="Normal"/>
    <w:rsid w:val="000A4C3A"/>
    <w:pPr>
      <w:pBdr>
        <w:top w:val="single" w:sz="4" w:space="0" w:color="auto"/>
        <w:left w:val="single" w:sz="4" w:space="0" w:color="auto"/>
      </w:pBdr>
      <w:spacing w:before="100" w:beforeAutospacing="1" w:after="100" w:afterAutospacing="1"/>
    </w:pPr>
    <w:rPr>
      <w:rFonts w:eastAsia="Arial Unicode MS"/>
    </w:rPr>
  </w:style>
  <w:style w:type="paragraph" w:customStyle="1" w:styleId="xl30">
    <w:name w:val="xl30"/>
    <w:basedOn w:val="Normal"/>
    <w:rsid w:val="000A4C3A"/>
    <w:pPr>
      <w:pBdr>
        <w:top w:val="single" w:sz="4" w:space="0" w:color="auto"/>
      </w:pBdr>
      <w:spacing w:before="100" w:beforeAutospacing="1" w:after="100" w:afterAutospacing="1"/>
    </w:pPr>
    <w:rPr>
      <w:rFonts w:eastAsia="Arial Unicode MS"/>
    </w:rPr>
  </w:style>
  <w:style w:type="paragraph" w:customStyle="1" w:styleId="xl31">
    <w:name w:val="xl31"/>
    <w:basedOn w:val="Normal"/>
    <w:rsid w:val="000A4C3A"/>
    <w:pPr>
      <w:pBdr>
        <w:top w:val="single" w:sz="4" w:space="0" w:color="auto"/>
      </w:pBdr>
      <w:spacing w:before="100" w:beforeAutospacing="1" w:after="100" w:afterAutospacing="1"/>
    </w:pPr>
    <w:rPr>
      <w:rFonts w:eastAsia="Arial Unicode MS"/>
    </w:rPr>
  </w:style>
  <w:style w:type="paragraph" w:customStyle="1" w:styleId="xl32">
    <w:name w:val="xl32"/>
    <w:basedOn w:val="Normal"/>
    <w:rsid w:val="000A4C3A"/>
    <w:pPr>
      <w:pBdr>
        <w:top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0A4C3A"/>
    <w:pPr>
      <w:pBdr>
        <w:left w:val="single" w:sz="4" w:space="0" w:color="auto"/>
      </w:pBdr>
      <w:spacing w:before="100" w:beforeAutospacing="1" w:after="100" w:afterAutospacing="1"/>
    </w:pPr>
    <w:rPr>
      <w:rFonts w:eastAsia="Arial Unicode MS"/>
    </w:rPr>
  </w:style>
  <w:style w:type="paragraph" w:customStyle="1" w:styleId="xl34">
    <w:name w:val="xl34"/>
    <w:basedOn w:val="Normal"/>
    <w:rsid w:val="000A4C3A"/>
    <w:pPr>
      <w:spacing w:before="100" w:beforeAutospacing="1" w:after="100" w:afterAutospacing="1"/>
      <w:jc w:val="right"/>
    </w:pPr>
    <w:rPr>
      <w:rFonts w:eastAsia="Arial Unicode MS"/>
      <w:b/>
      <w:bCs/>
    </w:rPr>
  </w:style>
  <w:style w:type="paragraph" w:customStyle="1" w:styleId="xl35">
    <w:name w:val="xl35"/>
    <w:basedOn w:val="Normal"/>
    <w:rsid w:val="000A4C3A"/>
    <w:pPr>
      <w:spacing w:before="100" w:beforeAutospacing="1" w:after="100" w:afterAutospacing="1"/>
      <w:jc w:val="right"/>
    </w:pPr>
    <w:rPr>
      <w:rFonts w:eastAsia="Arial Unicode MS"/>
      <w:b/>
      <w:bCs/>
    </w:rPr>
  </w:style>
  <w:style w:type="paragraph" w:customStyle="1" w:styleId="xl36">
    <w:name w:val="xl36"/>
    <w:basedOn w:val="Normal"/>
    <w:rsid w:val="000A4C3A"/>
    <w:pPr>
      <w:pBdr>
        <w:right w:val="single" w:sz="4" w:space="0" w:color="auto"/>
      </w:pBdr>
      <w:spacing w:before="100" w:beforeAutospacing="1" w:after="100" w:afterAutospacing="1"/>
      <w:jc w:val="right"/>
    </w:pPr>
    <w:rPr>
      <w:rFonts w:eastAsia="Arial Unicode MS"/>
      <w:b/>
      <w:bCs/>
    </w:rPr>
  </w:style>
  <w:style w:type="paragraph" w:customStyle="1" w:styleId="xl37">
    <w:name w:val="xl37"/>
    <w:basedOn w:val="Normal"/>
    <w:rsid w:val="000A4C3A"/>
    <w:pPr>
      <w:pBdr>
        <w:left w:val="single" w:sz="4" w:space="0" w:color="auto"/>
        <w:bottom w:val="single" w:sz="4" w:space="0" w:color="auto"/>
      </w:pBdr>
      <w:spacing w:before="100" w:beforeAutospacing="1" w:after="100" w:afterAutospacing="1"/>
    </w:pPr>
    <w:rPr>
      <w:rFonts w:eastAsia="Arial Unicode MS"/>
    </w:rPr>
  </w:style>
  <w:style w:type="paragraph" w:customStyle="1" w:styleId="xl38">
    <w:name w:val="xl38"/>
    <w:basedOn w:val="Normal"/>
    <w:rsid w:val="000A4C3A"/>
    <w:pPr>
      <w:pBdr>
        <w:bottom w:val="single" w:sz="4" w:space="0" w:color="auto"/>
      </w:pBdr>
      <w:spacing w:before="100" w:beforeAutospacing="1" w:after="100" w:afterAutospacing="1"/>
      <w:jc w:val="right"/>
    </w:pPr>
    <w:rPr>
      <w:rFonts w:eastAsia="Arial Unicode MS"/>
      <w:b/>
      <w:bCs/>
    </w:rPr>
  </w:style>
  <w:style w:type="paragraph" w:customStyle="1" w:styleId="xl39">
    <w:name w:val="xl39"/>
    <w:basedOn w:val="Normal"/>
    <w:rsid w:val="000A4C3A"/>
    <w:pPr>
      <w:pBdr>
        <w:bottom w:val="single" w:sz="4" w:space="0" w:color="auto"/>
      </w:pBdr>
      <w:spacing w:before="100" w:beforeAutospacing="1" w:after="100" w:afterAutospacing="1"/>
      <w:jc w:val="right"/>
    </w:pPr>
    <w:rPr>
      <w:rFonts w:eastAsia="Arial Unicode MS"/>
      <w:b/>
      <w:bCs/>
    </w:rPr>
  </w:style>
  <w:style w:type="paragraph" w:customStyle="1" w:styleId="xl40">
    <w:name w:val="xl40"/>
    <w:basedOn w:val="Normal"/>
    <w:rsid w:val="000A4C3A"/>
    <w:pPr>
      <w:pBdr>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41">
    <w:name w:val="xl41"/>
    <w:basedOn w:val="Normal"/>
    <w:rsid w:val="000A4C3A"/>
    <w:pPr>
      <w:spacing w:before="100" w:beforeAutospacing="1" w:after="100" w:afterAutospacing="1"/>
      <w:jc w:val="right"/>
    </w:pPr>
    <w:rPr>
      <w:rFonts w:eastAsia="Arial Unicode MS"/>
    </w:rPr>
  </w:style>
  <w:style w:type="paragraph" w:customStyle="1" w:styleId="xl42">
    <w:name w:val="xl42"/>
    <w:basedOn w:val="Normal"/>
    <w:rsid w:val="000A4C3A"/>
    <w:pPr>
      <w:spacing w:before="100" w:beforeAutospacing="1" w:after="100" w:afterAutospacing="1"/>
      <w:jc w:val="right"/>
    </w:pPr>
    <w:rPr>
      <w:rFonts w:eastAsia="Arial Unicode MS"/>
    </w:rPr>
  </w:style>
  <w:style w:type="paragraph" w:customStyle="1" w:styleId="xl43">
    <w:name w:val="xl43"/>
    <w:basedOn w:val="Normal"/>
    <w:rsid w:val="000A4C3A"/>
    <w:pPr>
      <w:pBdr>
        <w:right w:val="single" w:sz="4" w:space="0" w:color="auto"/>
      </w:pBdr>
      <w:spacing w:before="100" w:beforeAutospacing="1" w:after="100" w:afterAutospacing="1"/>
      <w:jc w:val="right"/>
    </w:pPr>
    <w:rPr>
      <w:rFonts w:eastAsia="Arial Unicode MS"/>
    </w:rPr>
  </w:style>
  <w:style w:type="paragraph" w:customStyle="1" w:styleId="xl44">
    <w:name w:val="xl44"/>
    <w:basedOn w:val="Normal"/>
    <w:rsid w:val="000A4C3A"/>
    <w:pPr>
      <w:pBdr>
        <w:left w:val="single" w:sz="4" w:space="0" w:color="auto"/>
      </w:pBdr>
      <w:spacing w:before="100" w:beforeAutospacing="1" w:after="100" w:afterAutospacing="1"/>
    </w:pPr>
    <w:rPr>
      <w:rFonts w:eastAsia="Arial Unicode MS"/>
      <w:b/>
      <w:bCs/>
    </w:rPr>
  </w:style>
  <w:style w:type="paragraph" w:customStyle="1" w:styleId="xl45">
    <w:name w:val="xl45"/>
    <w:basedOn w:val="Normal"/>
    <w:rsid w:val="000A4C3A"/>
    <w:pPr>
      <w:spacing w:before="100" w:beforeAutospacing="1" w:after="100" w:afterAutospacing="1"/>
    </w:pPr>
    <w:rPr>
      <w:rFonts w:eastAsia="Arial Unicode MS"/>
    </w:rPr>
  </w:style>
  <w:style w:type="paragraph" w:customStyle="1" w:styleId="xl46">
    <w:name w:val="xl46"/>
    <w:basedOn w:val="Normal"/>
    <w:rsid w:val="000A4C3A"/>
    <w:pPr>
      <w:spacing w:before="100" w:beforeAutospacing="1" w:after="100" w:afterAutospacing="1"/>
    </w:pPr>
    <w:rPr>
      <w:rFonts w:eastAsia="Arial Unicode MS"/>
    </w:rPr>
  </w:style>
  <w:style w:type="paragraph" w:customStyle="1" w:styleId="xl47">
    <w:name w:val="xl47"/>
    <w:basedOn w:val="Normal"/>
    <w:rsid w:val="000A4C3A"/>
    <w:pPr>
      <w:pBdr>
        <w:right w:val="single" w:sz="4" w:space="0" w:color="auto"/>
      </w:pBdr>
      <w:spacing w:before="100" w:beforeAutospacing="1" w:after="100" w:afterAutospacing="1"/>
    </w:pPr>
    <w:rPr>
      <w:rFonts w:eastAsia="Arial Unicode MS"/>
    </w:rPr>
  </w:style>
  <w:style w:type="paragraph" w:customStyle="1" w:styleId="xl48">
    <w:name w:val="xl48"/>
    <w:basedOn w:val="Normal"/>
    <w:rsid w:val="000A4C3A"/>
    <w:pPr>
      <w:pBdr>
        <w:left w:val="single" w:sz="4" w:space="9" w:color="auto"/>
      </w:pBdr>
      <w:spacing w:before="100" w:beforeAutospacing="1" w:after="100" w:afterAutospacing="1"/>
      <w:ind w:firstLineChars="100" w:firstLine="100"/>
    </w:pPr>
    <w:rPr>
      <w:rFonts w:eastAsia="Arial Unicode MS"/>
    </w:rPr>
  </w:style>
  <w:style w:type="paragraph" w:customStyle="1" w:styleId="xl49">
    <w:name w:val="xl49"/>
    <w:basedOn w:val="Normal"/>
    <w:rsid w:val="000A4C3A"/>
    <w:pPr>
      <w:spacing w:before="100" w:beforeAutospacing="1" w:after="100" w:afterAutospacing="1"/>
    </w:pPr>
    <w:rPr>
      <w:rFonts w:eastAsia="Arial Unicode MS"/>
    </w:rPr>
  </w:style>
  <w:style w:type="paragraph" w:customStyle="1" w:styleId="xl50">
    <w:name w:val="xl50"/>
    <w:basedOn w:val="Normal"/>
    <w:rsid w:val="000A4C3A"/>
    <w:pPr>
      <w:pBdr>
        <w:right w:val="single" w:sz="4" w:space="0" w:color="auto"/>
      </w:pBdr>
      <w:spacing w:before="100" w:beforeAutospacing="1" w:after="100" w:afterAutospacing="1"/>
    </w:pPr>
    <w:rPr>
      <w:rFonts w:eastAsia="Arial Unicode MS"/>
    </w:rPr>
  </w:style>
  <w:style w:type="paragraph" w:customStyle="1" w:styleId="xl51">
    <w:name w:val="xl51"/>
    <w:basedOn w:val="Normal"/>
    <w:rsid w:val="000A4C3A"/>
    <w:pPr>
      <w:pBdr>
        <w:left w:val="single" w:sz="4" w:space="9" w:color="auto"/>
      </w:pBdr>
      <w:spacing w:before="100" w:beforeAutospacing="1" w:after="100" w:afterAutospacing="1"/>
      <w:ind w:firstLineChars="100" w:firstLine="100"/>
      <w:textAlignment w:val="top"/>
    </w:pPr>
    <w:rPr>
      <w:rFonts w:eastAsia="Arial Unicode MS"/>
    </w:rPr>
  </w:style>
  <w:style w:type="paragraph" w:customStyle="1" w:styleId="xl52">
    <w:name w:val="xl52"/>
    <w:basedOn w:val="Normal"/>
    <w:rsid w:val="000A4C3A"/>
    <w:pPr>
      <w:spacing w:before="100" w:beforeAutospacing="1" w:after="100" w:afterAutospacing="1"/>
      <w:textAlignment w:val="top"/>
    </w:pPr>
    <w:rPr>
      <w:rFonts w:eastAsia="Arial Unicode MS"/>
    </w:rPr>
  </w:style>
  <w:style w:type="paragraph" w:customStyle="1" w:styleId="xl53">
    <w:name w:val="xl53"/>
    <w:basedOn w:val="Normal"/>
    <w:rsid w:val="000A4C3A"/>
    <w:pPr>
      <w:spacing w:before="100" w:beforeAutospacing="1" w:after="100" w:afterAutospacing="1"/>
      <w:jc w:val="right"/>
      <w:textAlignment w:val="top"/>
    </w:pPr>
    <w:rPr>
      <w:rFonts w:eastAsia="Arial Unicode MS"/>
    </w:rPr>
  </w:style>
  <w:style w:type="paragraph" w:customStyle="1" w:styleId="xl54">
    <w:name w:val="xl54"/>
    <w:basedOn w:val="Normal"/>
    <w:rsid w:val="000A4C3A"/>
    <w:pPr>
      <w:pBdr>
        <w:right w:val="single" w:sz="4" w:space="0" w:color="auto"/>
      </w:pBdr>
      <w:spacing w:before="100" w:beforeAutospacing="1" w:after="100" w:afterAutospacing="1"/>
      <w:textAlignment w:val="top"/>
    </w:pPr>
    <w:rPr>
      <w:rFonts w:eastAsia="Arial Unicode MS"/>
    </w:rPr>
  </w:style>
  <w:style w:type="paragraph" w:customStyle="1" w:styleId="xl55">
    <w:name w:val="xl55"/>
    <w:basedOn w:val="Normal"/>
    <w:rsid w:val="000A4C3A"/>
    <w:pPr>
      <w:spacing w:before="100" w:beforeAutospacing="1" w:after="100" w:afterAutospacing="1"/>
    </w:pPr>
    <w:rPr>
      <w:rFonts w:eastAsia="Arial Unicode MS"/>
      <w:b/>
      <w:bCs/>
    </w:rPr>
  </w:style>
  <w:style w:type="paragraph" w:customStyle="1" w:styleId="font5">
    <w:name w:val="font5"/>
    <w:basedOn w:val="Normal"/>
    <w:rsid w:val="000A4C3A"/>
    <w:pPr>
      <w:spacing w:before="100" w:beforeAutospacing="1" w:after="100" w:afterAutospacing="1"/>
    </w:pPr>
    <w:rPr>
      <w:rFonts w:eastAsia="Arial Unicode MS"/>
      <w:sz w:val="18"/>
      <w:szCs w:val="18"/>
    </w:rPr>
  </w:style>
  <w:style w:type="paragraph" w:customStyle="1" w:styleId="font6">
    <w:name w:val="font6"/>
    <w:basedOn w:val="Normal"/>
    <w:rsid w:val="000A4C3A"/>
    <w:pPr>
      <w:spacing w:before="100" w:beforeAutospacing="1" w:after="100" w:afterAutospacing="1"/>
    </w:pPr>
    <w:rPr>
      <w:rFonts w:ascii="Tahoma" w:eastAsia="Arial Unicode MS" w:hAnsi="Tahoma" w:cs="Tahoma"/>
      <w:b/>
      <w:bCs/>
      <w:color w:val="000000"/>
      <w:sz w:val="16"/>
      <w:szCs w:val="16"/>
    </w:rPr>
  </w:style>
  <w:style w:type="paragraph" w:customStyle="1" w:styleId="bullet">
    <w:name w:val="bullet"/>
    <w:basedOn w:val="Normal"/>
    <w:rsid w:val="000A4C3A"/>
    <w:pPr>
      <w:numPr>
        <w:numId w:val="6"/>
      </w:numPr>
      <w:spacing w:before="60"/>
      <w:jc w:val="both"/>
    </w:pPr>
  </w:style>
  <w:style w:type="paragraph" w:customStyle="1" w:styleId="Bullet-1">
    <w:name w:val="Bullet-1"/>
    <w:basedOn w:val="Normal"/>
    <w:rsid w:val="000A4C3A"/>
    <w:pPr>
      <w:keepLines/>
      <w:numPr>
        <w:numId w:val="7"/>
      </w:numPr>
      <w:tabs>
        <w:tab w:val="left" w:pos="289"/>
      </w:tabs>
      <w:spacing w:after="240"/>
      <w:jc w:val="both"/>
    </w:pPr>
    <w:rPr>
      <w:rFonts w:ascii="Book Antiqua" w:hAnsi="Book Antiqua" w:cs="Book Antiqua"/>
    </w:rPr>
  </w:style>
  <w:style w:type="paragraph" w:customStyle="1" w:styleId="dot">
    <w:name w:val="dot"/>
    <w:basedOn w:val="Normal"/>
    <w:rsid w:val="000A4C3A"/>
    <w:pPr>
      <w:numPr>
        <w:numId w:val="8"/>
      </w:numPr>
    </w:pPr>
  </w:style>
  <w:style w:type="paragraph" w:customStyle="1" w:styleId="DotPoint">
    <w:name w:val="Dot Point"/>
    <w:basedOn w:val="Normal"/>
    <w:next w:val="Normal"/>
    <w:rsid w:val="000A4C3A"/>
    <w:pPr>
      <w:numPr>
        <w:numId w:val="9"/>
      </w:numPr>
      <w:spacing w:before="40" w:after="40"/>
    </w:pPr>
    <w:rPr>
      <w:lang w:val="en-GB"/>
    </w:rPr>
  </w:style>
  <w:style w:type="paragraph" w:customStyle="1" w:styleId="Numbers">
    <w:name w:val="Numbers"/>
    <w:basedOn w:val="Normal"/>
    <w:rsid w:val="000A4C3A"/>
    <w:pPr>
      <w:keepLines/>
      <w:numPr>
        <w:numId w:val="11"/>
      </w:numPr>
      <w:tabs>
        <w:tab w:val="left" w:pos="289"/>
      </w:tabs>
      <w:spacing w:after="240"/>
      <w:jc w:val="both"/>
    </w:pPr>
    <w:rPr>
      <w:rFonts w:ascii="Book Antiqua" w:hAnsi="Book Antiqua" w:cs="Book Antiqua"/>
    </w:rPr>
  </w:style>
  <w:style w:type="paragraph" w:customStyle="1" w:styleId="TickPoint">
    <w:name w:val="Tick Point"/>
    <w:basedOn w:val="Normal"/>
    <w:rsid w:val="000A4C3A"/>
    <w:pPr>
      <w:numPr>
        <w:numId w:val="13"/>
      </w:numPr>
    </w:pPr>
    <w:rPr>
      <w:lang w:val="en-GB"/>
    </w:rPr>
  </w:style>
  <w:style w:type="paragraph" w:customStyle="1" w:styleId="xl56">
    <w:name w:val="xl56"/>
    <w:basedOn w:val="Normal"/>
    <w:rsid w:val="000A4C3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57">
    <w:name w:val="xl57"/>
    <w:basedOn w:val="Normal"/>
    <w:rsid w:val="000A4C3A"/>
    <w:pPr>
      <w:pBdr>
        <w:right w:val="single" w:sz="4" w:space="0" w:color="auto"/>
      </w:pBdr>
      <w:spacing w:before="100" w:beforeAutospacing="1" w:after="100" w:afterAutospacing="1"/>
      <w:jc w:val="right"/>
    </w:pPr>
    <w:rPr>
      <w:rFonts w:eastAsia="Arial Unicode MS"/>
      <w:b/>
      <w:bCs/>
      <w:sz w:val="18"/>
      <w:szCs w:val="18"/>
    </w:rPr>
  </w:style>
  <w:style w:type="paragraph" w:customStyle="1" w:styleId="xl58">
    <w:name w:val="xl58"/>
    <w:basedOn w:val="Normal"/>
    <w:rsid w:val="000A4C3A"/>
    <w:pPr>
      <w:pBdr>
        <w:bottom w:val="single" w:sz="4" w:space="0" w:color="auto"/>
      </w:pBdr>
      <w:spacing w:before="100" w:beforeAutospacing="1" w:after="100" w:afterAutospacing="1"/>
    </w:pPr>
    <w:rPr>
      <w:rFonts w:eastAsia="Arial Unicode MS"/>
      <w:b/>
      <w:bCs/>
      <w:sz w:val="18"/>
      <w:szCs w:val="18"/>
    </w:rPr>
  </w:style>
  <w:style w:type="paragraph" w:customStyle="1" w:styleId="xl59">
    <w:name w:val="xl59"/>
    <w:basedOn w:val="Normal"/>
    <w:rsid w:val="000A4C3A"/>
    <w:pPr>
      <w:spacing w:before="100" w:beforeAutospacing="1" w:after="100" w:afterAutospacing="1"/>
    </w:pPr>
    <w:rPr>
      <w:rFonts w:ascii="Arial Unicode MS" w:eastAsia="Arial Unicode MS" w:hAnsi="Arial Unicode MS" w:cs="Arial Unicode MS"/>
      <w:sz w:val="16"/>
      <w:szCs w:val="16"/>
    </w:rPr>
  </w:style>
  <w:style w:type="paragraph" w:customStyle="1" w:styleId="xl60">
    <w:name w:val="xl60"/>
    <w:basedOn w:val="Normal"/>
    <w:rsid w:val="000A4C3A"/>
    <w:pPr>
      <w:pBdr>
        <w:top w:val="single" w:sz="4" w:space="0" w:color="auto"/>
      </w:pBdr>
      <w:spacing w:before="100" w:beforeAutospacing="1" w:after="100" w:afterAutospacing="1"/>
    </w:pPr>
    <w:rPr>
      <w:rFonts w:eastAsia="Arial Unicode MS"/>
      <w:sz w:val="18"/>
      <w:szCs w:val="18"/>
    </w:rPr>
  </w:style>
  <w:style w:type="paragraph" w:customStyle="1" w:styleId="xl61">
    <w:name w:val="xl61"/>
    <w:basedOn w:val="Normal"/>
    <w:rsid w:val="000A4C3A"/>
    <w:pPr>
      <w:spacing w:before="100" w:beforeAutospacing="1" w:after="100" w:afterAutospacing="1"/>
    </w:pPr>
    <w:rPr>
      <w:rFonts w:eastAsia="Arial Unicode MS"/>
      <w:sz w:val="18"/>
      <w:szCs w:val="18"/>
    </w:rPr>
  </w:style>
  <w:style w:type="paragraph" w:customStyle="1" w:styleId="xl62">
    <w:name w:val="xl62"/>
    <w:basedOn w:val="Normal"/>
    <w:rsid w:val="000A4C3A"/>
    <w:pPr>
      <w:pBdr>
        <w:bottom w:val="single" w:sz="4" w:space="0" w:color="auto"/>
      </w:pBdr>
      <w:spacing w:before="100" w:beforeAutospacing="1" w:after="100" w:afterAutospacing="1"/>
    </w:pPr>
    <w:rPr>
      <w:rFonts w:eastAsia="Arial Unicode MS"/>
      <w:sz w:val="18"/>
      <w:szCs w:val="18"/>
    </w:rPr>
  </w:style>
  <w:style w:type="paragraph" w:customStyle="1" w:styleId="xl63">
    <w:name w:val="xl63"/>
    <w:basedOn w:val="Normal"/>
    <w:rsid w:val="000A4C3A"/>
    <w:pPr>
      <w:spacing w:before="100" w:beforeAutospacing="1" w:after="100" w:afterAutospacing="1"/>
    </w:pPr>
    <w:rPr>
      <w:rFonts w:eastAsia="Arial Unicode MS"/>
      <w:b/>
      <w:bCs/>
      <w:sz w:val="18"/>
      <w:szCs w:val="18"/>
    </w:rPr>
  </w:style>
  <w:style w:type="paragraph" w:customStyle="1" w:styleId="xl64">
    <w:name w:val="xl64"/>
    <w:basedOn w:val="Normal"/>
    <w:rsid w:val="000A4C3A"/>
    <w:pPr>
      <w:spacing w:before="100" w:beforeAutospacing="1" w:after="100" w:afterAutospacing="1"/>
      <w:ind w:firstLineChars="100" w:firstLine="100"/>
    </w:pPr>
    <w:rPr>
      <w:rFonts w:eastAsia="Arial Unicode MS"/>
      <w:sz w:val="18"/>
      <w:szCs w:val="18"/>
    </w:rPr>
  </w:style>
  <w:style w:type="paragraph" w:customStyle="1" w:styleId="xl65">
    <w:name w:val="xl65"/>
    <w:basedOn w:val="Normal"/>
    <w:rsid w:val="000A4C3A"/>
    <w:pPr>
      <w:spacing w:before="100" w:beforeAutospacing="1" w:after="100" w:afterAutospacing="1"/>
    </w:pPr>
    <w:rPr>
      <w:rFonts w:eastAsia="Arial Unicode MS"/>
      <w:b/>
      <w:bCs/>
      <w:sz w:val="18"/>
      <w:szCs w:val="18"/>
    </w:rPr>
  </w:style>
  <w:style w:type="paragraph" w:customStyle="1" w:styleId="xl66">
    <w:name w:val="xl66"/>
    <w:basedOn w:val="Normal"/>
    <w:rsid w:val="000A4C3A"/>
    <w:pPr>
      <w:spacing w:before="100" w:beforeAutospacing="1" w:after="100" w:afterAutospacing="1"/>
    </w:pPr>
    <w:rPr>
      <w:rFonts w:eastAsia="Arial Unicode MS"/>
      <w:b/>
      <w:bCs/>
      <w:u w:val="single"/>
    </w:rPr>
  </w:style>
  <w:style w:type="paragraph" w:customStyle="1" w:styleId="xl67">
    <w:name w:val="xl67"/>
    <w:basedOn w:val="Normal"/>
    <w:rsid w:val="000A4C3A"/>
    <w:pPr>
      <w:spacing w:before="100" w:beforeAutospacing="1" w:after="100" w:afterAutospacing="1"/>
      <w:ind w:firstLineChars="100" w:firstLine="100"/>
    </w:pPr>
    <w:rPr>
      <w:rFonts w:eastAsia="Arial Unicode MS"/>
      <w:sz w:val="18"/>
      <w:szCs w:val="18"/>
    </w:rPr>
  </w:style>
  <w:style w:type="paragraph" w:customStyle="1" w:styleId="xl68">
    <w:name w:val="xl68"/>
    <w:basedOn w:val="Normal"/>
    <w:rsid w:val="000A4C3A"/>
    <w:pPr>
      <w:spacing w:before="100" w:beforeAutospacing="1" w:after="100" w:afterAutospacing="1"/>
    </w:pPr>
    <w:rPr>
      <w:rFonts w:eastAsia="Arial Unicode MS"/>
      <w:b/>
      <w:bCs/>
      <w:sz w:val="18"/>
      <w:szCs w:val="18"/>
    </w:rPr>
  </w:style>
  <w:style w:type="paragraph" w:customStyle="1" w:styleId="xl69">
    <w:name w:val="xl69"/>
    <w:basedOn w:val="Normal"/>
    <w:rsid w:val="000A4C3A"/>
    <w:pPr>
      <w:pBdr>
        <w:bottom w:val="single" w:sz="4" w:space="0" w:color="auto"/>
      </w:pBdr>
      <w:spacing w:before="100" w:beforeAutospacing="1" w:after="100" w:afterAutospacing="1"/>
      <w:ind w:firstLineChars="100" w:firstLine="100"/>
    </w:pPr>
    <w:rPr>
      <w:rFonts w:eastAsia="Arial Unicode MS"/>
      <w:sz w:val="18"/>
      <w:szCs w:val="18"/>
    </w:rPr>
  </w:style>
  <w:style w:type="paragraph" w:customStyle="1" w:styleId="xl70">
    <w:name w:val="xl70"/>
    <w:basedOn w:val="Normal"/>
    <w:rsid w:val="000A4C3A"/>
    <w:pPr>
      <w:pBdr>
        <w:top w:val="single" w:sz="4" w:space="0" w:color="auto"/>
      </w:pBdr>
      <w:spacing w:before="100" w:beforeAutospacing="1" w:after="100" w:afterAutospacing="1"/>
      <w:ind w:firstLineChars="100" w:firstLine="100"/>
    </w:pPr>
    <w:rPr>
      <w:rFonts w:eastAsia="Arial Unicode MS"/>
      <w:sz w:val="18"/>
      <w:szCs w:val="18"/>
    </w:rPr>
  </w:style>
  <w:style w:type="paragraph" w:customStyle="1" w:styleId="xl71">
    <w:name w:val="xl71"/>
    <w:basedOn w:val="Normal"/>
    <w:rsid w:val="000A4C3A"/>
    <w:pPr>
      <w:pBdr>
        <w:bottom w:val="single" w:sz="4" w:space="0" w:color="auto"/>
      </w:pBdr>
      <w:spacing w:before="100" w:beforeAutospacing="1" w:after="100" w:afterAutospacing="1"/>
    </w:pPr>
    <w:rPr>
      <w:rFonts w:eastAsia="Arial Unicode MS"/>
      <w:b/>
      <w:bCs/>
      <w:sz w:val="18"/>
      <w:szCs w:val="18"/>
    </w:rPr>
  </w:style>
  <w:style w:type="paragraph" w:customStyle="1" w:styleId="xl72">
    <w:name w:val="xl72"/>
    <w:basedOn w:val="Normal"/>
    <w:rsid w:val="000A4C3A"/>
    <w:pPr>
      <w:pBdr>
        <w:bottom w:val="single" w:sz="4" w:space="0" w:color="auto"/>
      </w:pBdr>
      <w:spacing w:before="100" w:beforeAutospacing="1" w:after="100" w:afterAutospacing="1"/>
    </w:pPr>
    <w:rPr>
      <w:rFonts w:eastAsia="Arial Unicode MS"/>
      <w:b/>
      <w:bCs/>
      <w:sz w:val="18"/>
      <w:szCs w:val="18"/>
    </w:rPr>
  </w:style>
  <w:style w:type="paragraph" w:customStyle="1" w:styleId="xl73">
    <w:name w:val="xl73"/>
    <w:basedOn w:val="Normal"/>
    <w:rsid w:val="000A4C3A"/>
    <w:pPr>
      <w:pBdr>
        <w:top w:val="single" w:sz="4" w:space="0" w:color="auto"/>
      </w:pBdr>
      <w:spacing w:before="100" w:beforeAutospacing="1" w:after="100" w:afterAutospacing="1"/>
    </w:pPr>
    <w:rPr>
      <w:rFonts w:eastAsia="Arial Unicode MS"/>
      <w:b/>
      <w:bCs/>
      <w:sz w:val="18"/>
      <w:szCs w:val="18"/>
    </w:rPr>
  </w:style>
  <w:style w:type="paragraph" w:customStyle="1" w:styleId="xl74">
    <w:name w:val="xl74"/>
    <w:basedOn w:val="Normal"/>
    <w:rsid w:val="000A4C3A"/>
    <w:pPr>
      <w:pBdr>
        <w:top w:val="single" w:sz="4" w:space="0" w:color="auto"/>
      </w:pBdr>
      <w:spacing w:before="100" w:beforeAutospacing="1" w:after="100" w:afterAutospacing="1"/>
    </w:pPr>
    <w:rPr>
      <w:rFonts w:eastAsia="Arial Unicode MS"/>
      <w:b/>
      <w:bCs/>
      <w:sz w:val="18"/>
      <w:szCs w:val="18"/>
    </w:rPr>
  </w:style>
  <w:style w:type="paragraph" w:customStyle="1" w:styleId="xl75">
    <w:name w:val="xl75"/>
    <w:basedOn w:val="Normal"/>
    <w:rsid w:val="000A4C3A"/>
    <w:pPr>
      <w:pBdr>
        <w:top w:val="single" w:sz="4" w:space="0" w:color="auto"/>
      </w:pBdr>
      <w:spacing w:before="100" w:beforeAutospacing="1" w:after="100" w:afterAutospacing="1"/>
      <w:jc w:val="right"/>
    </w:pPr>
    <w:rPr>
      <w:rFonts w:eastAsia="Arial Unicode MS"/>
      <w:b/>
      <w:bCs/>
      <w:sz w:val="18"/>
      <w:szCs w:val="18"/>
    </w:rPr>
  </w:style>
  <w:style w:type="paragraph" w:customStyle="1" w:styleId="xl76">
    <w:name w:val="xl76"/>
    <w:basedOn w:val="Normal"/>
    <w:rsid w:val="000A4C3A"/>
    <w:pPr>
      <w:pBdr>
        <w:bottom w:val="double" w:sz="6" w:space="0" w:color="auto"/>
      </w:pBdr>
      <w:spacing w:before="100" w:beforeAutospacing="1" w:after="100" w:afterAutospacing="1"/>
    </w:pPr>
    <w:rPr>
      <w:rFonts w:eastAsia="Arial Unicode MS"/>
      <w:b/>
      <w:bCs/>
      <w:sz w:val="18"/>
      <w:szCs w:val="18"/>
    </w:rPr>
  </w:style>
  <w:style w:type="paragraph" w:customStyle="1" w:styleId="xl77">
    <w:name w:val="xl77"/>
    <w:basedOn w:val="Normal"/>
    <w:rsid w:val="000A4C3A"/>
    <w:pPr>
      <w:pBdr>
        <w:bottom w:val="double" w:sz="6" w:space="0" w:color="auto"/>
      </w:pBdr>
      <w:spacing w:before="100" w:beforeAutospacing="1" w:after="100" w:afterAutospacing="1"/>
    </w:pPr>
    <w:rPr>
      <w:rFonts w:eastAsia="Arial Unicode MS"/>
      <w:b/>
      <w:bCs/>
      <w:sz w:val="18"/>
      <w:szCs w:val="18"/>
    </w:rPr>
  </w:style>
  <w:style w:type="paragraph" w:customStyle="1" w:styleId="xl78">
    <w:name w:val="xl78"/>
    <w:basedOn w:val="Normal"/>
    <w:rsid w:val="000A4C3A"/>
    <w:pPr>
      <w:pBdr>
        <w:bottom w:val="double" w:sz="6" w:space="0" w:color="auto"/>
      </w:pBdr>
      <w:spacing w:before="100" w:beforeAutospacing="1" w:after="100" w:afterAutospacing="1"/>
      <w:jc w:val="right"/>
    </w:pPr>
    <w:rPr>
      <w:rFonts w:eastAsia="Arial Unicode MS"/>
      <w:b/>
      <w:bCs/>
      <w:sz w:val="18"/>
      <w:szCs w:val="18"/>
    </w:rPr>
  </w:style>
  <w:style w:type="paragraph" w:customStyle="1" w:styleId="PH2">
    <w:name w:val="PH2"/>
    <w:basedOn w:val="PH1"/>
    <w:rsid w:val="000A4C3A"/>
    <w:rPr>
      <w:b w:val="0"/>
      <w:bCs w:val="0"/>
      <w:sz w:val="24"/>
      <w:szCs w:val="24"/>
    </w:rPr>
  </w:style>
  <w:style w:type="paragraph" w:customStyle="1" w:styleId="PH1">
    <w:name w:val="PH1"/>
    <w:basedOn w:val="Heading1"/>
    <w:rsid w:val="000A4C3A"/>
    <w:pPr>
      <w:pBdr>
        <w:bottom w:val="none" w:sz="0" w:space="0" w:color="auto"/>
      </w:pBdr>
      <w:spacing w:after="0"/>
      <w:jc w:val="center"/>
    </w:pPr>
    <w:rPr>
      <w:rFonts w:cs="Arial"/>
      <w:bCs/>
      <w:caps w:val="0"/>
      <w:szCs w:val="28"/>
      <w:lang w:val="en-GB"/>
    </w:rPr>
  </w:style>
  <w:style w:type="paragraph" w:styleId="FootnoteText">
    <w:name w:val="footnote text"/>
    <w:basedOn w:val="Normal"/>
    <w:link w:val="FootnoteTextChar"/>
    <w:semiHidden/>
    <w:rsid w:val="009B7085"/>
    <w:rPr>
      <w:sz w:val="20"/>
    </w:rPr>
  </w:style>
  <w:style w:type="paragraph" w:customStyle="1" w:styleId="MinorHeading">
    <w:name w:val="Minor Heading"/>
    <w:basedOn w:val="Normal"/>
    <w:rsid w:val="000A4C3A"/>
    <w:rPr>
      <w:rFonts w:ascii="Arial" w:hAnsi="Arial" w:cs="Arial"/>
      <w:b/>
      <w:bCs/>
    </w:rPr>
  </w:style>
  <w:style w:type="paragraph" w:customStyle="1" w:styleId="AIBlurb0">
    <w:name w:val="AI Blurb"/>
    <w:basedOn w:val="Normal"/>
    <w:rsid w:val="000A4C3A"/>
    <w:pPr>
      <w:spacing w:before="120" w:after="240"/>
      <w:ind w:left="380"/>
      <w:jc w:val="both"/>
    </w:pPr>
    <w:rPr>
      <w:sz w:val="20"/>
    </w:rPr>
  </w:style>
  <w:style w:type="paragraph" w:customStyle="1" w:styleId="BPDesc">
    <w:name w:val="BPDesc"/>
    <w:basedOn w:val="Normal"/>
    <w:rsid w:val="000A4C3A"/>
    <w:pPr>
      <w:ind w:left="113" w:hanging="113"/>
    </w:pPr>
    <w:rPr>
      <w:sz w:val="18"/>
      <w:szCs w:val="18"/>
    </w:rPr>
  </w:style>
  <w:style w:type="paragraph" w:customStyle="1" w:styleId="BPDescBold">
    <w:name w:val="BPDescBold"/>
    <w:basedOn w:val="Normal"/>
    <w:rsid w:val="000A4C3A"/>
    <w:rPr>
      <w:b/>
      <w:bCs/>
      <w:sz w:val="18"/>
      <w:szCs w:val="18"/>
    </w:rPr>
  </w:style>
  <w:style w:type="paragraph" w:customStyle="1" w:styleId="BPDetail1">
    <w:name w:val="BPDetail1"/>
    <w:basedOn w:val="Normal"/>
    <w:rsid w:val="000A4C3A"/>
    <w:pPr>
      <w:ind w:right="567"/>
      <w:jc w:val="right"/>
    </w:pPr>
    <w:rPr>
      <w:sz w:val="20"/>
    </w:rPr>
  </w:style>
  <w:style w:type="paragraph" w:customStyle="1" w:styleId="BPDetail2">
    <w:name w:val="BPDetail2"/>
    <w:basedOn w:val="BPDetail1"/>
    <w:rsid w:val="000A4C3A"/>
    <w:pPr>
      <w:ind w:right="0"/>
      <w:jc w:val="left"/>
    </w:pPr>
  </w:style>
  <w:style w:type="paragraph" w:customStyle="1" w:styleId="BPHeading1">
    <w:name w:val="BPHeading1"/>
    <w:basedOn w:val="Normal"/>
    <w:rsid w:val="000A4C3A"/>
    <w:pPr>
      <w:jc w:val="center"/>
    </w:pPr>
    <w:rPr>
      <w:b/>
      <w:bCs/>
      <w:sz w:val="20"/>
    </w:rPr>
  </w:style>
  <w:style w:type="paragraph" w:customStyle="1" w:styleId="BPNum">
    <w:name w:val="BPNum"/>
    <w:basedOn w:val="Normal"/>
    <w:rsid w:val="000A4C3A"/>
    <w:pPr>
      <w:jc w:val="right"/>
    </w:pPr>
    <w:rPr>
      <w:sz w:val="18"/>
      <w:szCs w:val="18"/>
    </w:rPr>
  </w:style>
  <w:style w:type="paragraph" w:customStyle="1" w:styleId="BPNumBold">
    <w:name w:val="BPNumBold"/>
    <w:basedOn w:val="Normal"/>
    <w:rsid w:val="000A4C3A"/>
    <w:pPr>
      <w:jc w:val="right"/>
    </w:pPr>
    <w:rPr>
      <w:b/>
      <w:bCs/>
      <w:sz w:val="18"/>
      <w:szCs w:val="18"/>
    </w:rPr>
  </w:style>
  <w:style w:type="paragraph" w:customStyle="1" w:styleId="Bullet0">
    <w:name w:val="Bullet"/>
    <w:basedOn w:val="Normal"/>
    <w:rsid w:val="000A4C3A"/>
  </w:style>
  <w:style w:type="paragraph" w:customStyle="1" w:styleId="bullet2">
    <w:name w:val="bullet 2"/>
    <w:basedOn w:val="Normal"/>
    <w:rsid w:val="000A4C3A"/>
    <w:pPr>
      <w:tabs>
        <w:tab w:val="left" w:pos="360"/>
        <w:tab w:val="left" w:pos="454"/>
      </w:tabs>
      <w:spacing w:after="120"/>
      <w:ind w:left="454" w:hanging="454"/>
      <w:jc w:val="both"/>
    </w:pPr>
    <w:rPr>
      <w:color w:val="000000"/>
    </w:rPr>
  </w:style>
  <w:style w:type="paragraph" w:customStyle="1" w:styleId="Bullets">
    <w:name w:val="Bullets"/>
    <w:basedOn w:val="Normal"/>
    <w:rsid w:val="000A4C3A"/>
    <w:pPr>
      <w:spacing w:after="240"/>
      <w:ind w:left="284" w:hanging="284"/>
      <w:jc w:val="both"/>
    </w:pPr>
  </w:style>
  <w:style w:type="paragraph" w:styleId="Caption">
    <w:name w:val="caption"/>
    <w:basedOn w:val="Normal"/>
    <w:next w:val="Normal"/>
    <w:qFormat/>
    <w:rsid w:val="000A4C3A"/>
    <w:pPr>
      <w:numPr>
        <w:numId w:val="5"/>
      </w:numPr>
      <w:tabs>
        <w:tab w:val="clear" w:pos="360"/>
      </w:tabs>
      <w:spacing w:before="120" w:after="120"/>
      <w:ind w:left="0" w:firstLine="0"/>
    </w:pPr>
    <w:rPr>
      <w:b/>
      <w:bCs/>
      <w:sz w:val="20"/>
    </w:rPr>
  </w:style>
  <w:style w:type="paragraph" w:customStyle="1" w:styleId="CGCNumberedList">
    <w:name w:val="CGC Numbered List"/>
    <w:basedOn w:val="Normal"/>
    <w:rsid w:val="000A4C3A"/>
    <w:pPr>
      <w:tabs>
        <w:tab w:val="left" w:pos="720"/>
        <w:tab w:val="left" w:pos="1080"/>
        <w:tab w:val="left" w:pos="1440"/>
        <w:tab w:val="left" w:pos="1800"/>
        <w:tab w:val="left" w:pos="2160"/>
        <w:tab w:val="left" w:pos="2880"/>
      </w:tabs>
      <w:spacing w:after="240" w:line="240" w:lineRule="atLeast"/>
      <w:ind w:left="1440" w:right="605" w:hanging="720"/>
      <w:jc w:val="both"/>
    </w:pPr>
  </w:style>
  <w:style w:type="paragraph" w:customStyle="1" w:styleId="CGCTableFootnote">
    <w:name w:val="CGC Table Footnote"/>
    <w:basedOn w:val="Normal"/>
    <w:next w:val="Heading2"/>
    <w:rsid w:val="000A4C3A"/>
    <w:pPr>
      <w:tabs>
        <w:tab w:val="left" w:pos="720"/>
      </w:tabs>
      <w:spacing w:line="240" w:lineRule="atLeast"/>
      <w:ind w:left="720" w:hanging="720"/>
      <w:jc w:val="both"/>
    </w:pPr>
    <w:rPr>
      <w:sz w:val="18"/>
      <w:szCs w:val="18"/>
    </w:rPr>
  </w:style>
  <w:style w:type="paragraph" w:customStyle="1" w:styleId="CGCTableStub">
    <w:name w:val="CGC Table Stub"/>
    <w:basedOn w:val="Normal"/>
    <w:rsid w:val="000A4C3A"/>
    <w:pPr>
      <w:keepNext/>
      <w:keepLines/>
      <w:tabs>
        <w:tab w:val="left" w:pos="475"/>
        <w:tab w:val="left" w:pos="1440"/>
        <w:tab w:val="left" w:pos="2160"/>
        <w:tab w:val="left" w:pos="2880"/>
      </w:tabs>
      <w:spacing w:before="60" w:after="60" w:line="200" w:lineRule="atLeast"/>
      <w:ind w:left="144" w:hanging="144"/>
    </w:pPr>
    <w:rPr>
      <w:sz w:val="20"/>
    </w:rPr>
  </w:style>
  <w:style w:type="paragraph" w:customStyle="1" w:styleId="ChartandTableFootnote">
    <w:name w:val="Chart and Table Footnote"/>
    <w:basedOn w:val="Normal"/>
    <w:next w:val="Normal"/>
    <w:rsid w:val="000A4C3A"/>
    <w:pPr>
      <w:ind w:left="357" w:hanging="357"/>
      <w:jc w:val="both"/>
    </w:pPr>
    <w:rPr>
      <w:rFonts w:ascii="Arial" w:hAnsi="Arial" w:cs="Arial"/>
      <w:color w:val="000000"/>
      <w:sz w:val="16"/>
      <w:szCs w:val="16"/>
    </w:rPr>
  </w:style>
  <w:style w:type="character" w:styleId="CommentReference">
    <w:name w:val="annotation reference"/>
    <w:basedOn w:val="DefaultParagraphFont"/>
    <w:rsid w:val="009B7085"/>
    <w:rPr>
      <w:rFonts w:ascii="Calibri" w:hAnsi="Calibri"/>
      <w:sz w:val="16"/>
      <w:szCs w:val="16"/>
    </w:rPr>
  </w:style>
  <w:style w:type="paragraph" w:customStyle="1" w:styleId="Default">
    <w:name w:val="Default"/>
    <w:rsid w:val="000A4C3A"/>
    <w:pPr>
      <w:autoSpaceDE w:val="0"/>
      <w:autoSpaceDN w:val="0"/>
      <w:adjustRightInd w:val="0"/>
    </w:pPr>
    <w:rPr>
      <w:rFonts w:ascii="OfficinaSerif-Book" w:hAnsi="OfficinaSerif-Book" w:cs="OfficinaSerif-Book"/>
      <w:lang w:val="en-US" w:eastAsia="en-US"/>
    </w:rPr>
  </w:style>
  <w:style w:type="paragraph" w:customStyle="1" w:styleId="DefinitionTerm">
    <w:name w:val="Definition Term"/>
    <w:basedOn w:val="Normal"/>
    <w:next w:val="Normal"/>
    <w:rsid w:val="000A4C3A"/>
  </w:style>
  <w:style w:type="paragraph" w:customStyle="1" w:styleId="DescU">
    <w:name w:val="DescU"/>
    <w:basedOn w:val="Normal"/>
    <w:next w:val="BPDesc"/>
    <w:rsid w:val="000A4C3A"/>
    <w:rPr>
      <w:sz w:val="20"/>
      <w:u w:val="single"/>
    </w:rPr>
  </w:style>
  <w:style w:type="character" w:customStyle="1" w:styleId="EmailStyle2711">
    <w:name w:val="EmailStyle271"/>
    <w:aliases w:val="EmailStyle271"/>
    <w:basedOn w:val="DefaultParagraphFont"/>
    <w:personal/>
    <w:rsid w:val="000A4C3A"/>
    <w:rPr>
      <w:rFonts w:ascii="Arial" w:hAnsi="Arial" w:cs="Arial"/>
      <w:color w:val="000080"/>
      <w:sz w:val="20"/>
      <w:szCs w:val="20"/>
    </w:rPr>
  </w:style>
  <w:style w:type="paragraph" w:customStyle="1" w:styleId="GalText">
    <w:name w:val="GalText"/>
    <w:basedOn w:val="Normal"/>
    <w:rsid w:val="000A4C3A"/>
    <w:pPr>
      <w:spacing w:before="60" w:after="60"/>
    </w:pPr>
    <w:rPr>
      <w:rFonts w:ascii="Arial Narrow" w:hAnsi="Arial Narrow" w:cs="Arial Narrow"/>
    </w:rPr>
  </w:style>
  <w:style w:type="paragraph" w:customStyle="1" w:styleId="Heading1-BP3">
    <w:name w:val="Heading 1 - BP3"/>
    <w:basedOn w:val="Heading1"/>
    <w:next w:val="Heading1"/>
    <w:rsid w:val="000A4C3A"/>
    <w:pPr>
      <w:pBdr>
        <w:bottom w:val="single" w:sz="18" w:space="1" w:color="auto"/>
      </w:pBdr>
      <w:spacing w:before="240" w:after="480"/>
    </w:pPr>
    <w:rPr>
      <w:rFonts w:cs="Arial"/>
      <w:bCs/>
      <w:caps w:val="0"/>
      <w:szCs w:val="28"/>
      <w:lang w:val="en-GB"/>
    </w:rPr>
  </w:style>
  <w:style w:type="paragraph" w:customStyle="1" w:styleId="Heading1-BP4">
    <w:name w:val="Heading 1 - BP4"/>
    <w:basedOn w:val="Heading1-BP3"/>
    <w:rsid w:val="000A4C3A"/>
    <w:pPr>
      <w:spacing w:after="240"/>
    </w:pPr>
  </w:style>
  <w:style w:type="paragraph" w:customStyle="1" w:styleId="MajorHeading">
    <w:name w:val="Major Heading"/>
    <w:basedOn w:val="Normal"/>
    <w:rsid w:val="009B7085"/>
    <w:pPr>
      <w:spacing w:after="120"/>
    </w:pPr>
    <w:rPr>
      <w:rFonts w:ascii="Arial" w:hAnsi="Arial"/>
      <w:b/>
      <w:sz w:val="28"/>
    </w:rPr>
  </w:style>
  <w:style w:type="paragraph" w:customStyle="1" w:styleId="MajorHeading1">
    <w:name w:val="Major Heading 1"/>
    <w:basedOn w:val="Normal"/>
    <w:rsid w:val="000A4C3A"/>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MajorHeading2">
    <w:name w:val="Major Heading 2"/>
    <w:basedOn w:val="MajorHeading"/>
    <w:rsid w:val="000A4C3A"/>
  </w:style>
  <w:style w:type="paragraph" w:customStyle="1" w:styleId="NumberedNotes">
    <w:name w:val="Numbered Notes"/>
    <w:basedOn w:val="FootnoteText"/>
    <w:rsid w:val="000A4C3A"/>
    <w:pPr>
      <w:numPr>
        <w:numId w:val="2"/>
      </w:numPr>
      <w:spacing w:after="60"/>
      <w:ind w:left="357"/>
      <w:jc w:val="both"/>
    </w:pPr>
    <w:rPr>
      <w:sz w:val="16"/>
      <w:szCs w:val="16"/>
    </w:rPr>
  </w:style>
  <w:style w:type="paragraph" w:customStyle="1" w:styleId="Output1">
    <w:name w:val="Output 1"/>
    <w:basedOn w:val="Normal"/>
    <w:autoRedefine/>
    <w:rsid w:val="000A4C3A"/>
    <w:pPr>
      <w:keepNext/>
      <w:keepLines/>
      <w:spacing w:before="100" w:beforeAutospacing="1" w:after="100" w:afterAutospacing="1"/>
      <w:ind w:left="425"/>
      <w:jc w:val="both"/>
    </w:pPr>
    <w:rPr>
      <w:rFonts w:ascii="Times New (W1)" w:hAnsi="Times New (W1)" w:cs="Times New (W1)"/>
    </w:rPr>
  </w:style>
  <w:style w:type="paragraph" w:customStyle="1" w:styleId="Output2">
    <w:name w:val="Output 2"/>
    <w:basedOn w:val="Output1"/>
    <w:autoRedefine/>
    <w:rsid w:val="000A4C3A"/>
    <w:pPr>
      <w:ind w:left="709"/>
    </w:pPr>
    <w:rPr>
      <w:i/>
      <w:iCs/>
    </w:rPr>
  </w:style>
  <w:style w:type="paragraph" w:customStyle="1" w:styleId="Output2Indent">
    <w:name w:val="Output 2 Indent"/>
    <w:basedOn w:val="Output2"/>
    <w:autoRedefine/>
    <w:rsid w:val="000A4C3A"/>
    <w:pPr>
      <w:keepNext w:val="0"/>
      <w:tabs>
        <w:tab w:val="num" w:pos="357"/>
      </w:tabs>
      <w:spacing w:before="0" w:beforeAutospacing="0"/>
      <w:ind w:left="357" w:hanging="357"/>
    </w:pPr>
  </w:style>
  <w:style w:type="character" w:customStyle="1" w:styleId="EmailStyle2821">
    <w:name w:val="EmailStyle282"/>
    <w:aliases w:val="EmailStyle282"/>
    <w:basedOn w:val="DefaultParagraphFont"/>
    <w:personal/>
    <w:rsid w:val="000A4C3A"/>
    <w:rPr>
      <w:rFonts w:ascii="Arial" w:hAnsi="Arial" w:cs="Arial"/>
      <w:color w:val="auto"/>
      <w:sz w:val="20"/>
      <w:szCs w:val="20"/>
    </w:rPr>
  </w:style>
  <w:style w:type="character" w:customStyle="1" w:styleId="EmailStyle2831">
    <w:name w:val="EmailStyle283"/>
    <w:aliases w:val="EmailStyle283"/>
    <w:basedOn w:val="DefaultParagraphFont"/>
    <w:personal/>
    <w:rsid w:val="000A4C3A"/>
    <w:rPr>
      <w:rFonts w:ascii="Arial" w:hAnsi="Arial" w:cs="Arial"/>
      <w:color w:val="auto"/>
      <w:sz w:val="20"/>
      <w:szCs w:val="20"/>
    </w:rPr>
  </w:style>
  <w:style w:type="paragraph" w:customStyle="1" w:styleId="PH3">
    <w:name w:val="PH3"/>
    <w:basedOn w:val="PH2"/>
    <w:rsid w:val="000A4C3A"/>
    <w:pPr>
      <w:jc w:val="left"/>
    </w:pPr>
    <w:rPr>
      <w:b/>
      <w:bCs/>
    </w:rPr>
  </w:style>
  <w:style w:type="paragraph" w:customStyle="1" w:styleId="PH4">
    <w:name w:val="PH4"/>
    <w:basedOn w:val="Normal"/>
    <w:rsid w:val="000A4C3A"/>
    <w:rPr>
      <w:b/>
      <w:bCs/>
      <w:sz w:val="20"/>
    </w:rPr>
  </w:style>
  <w:style w:type="paragraph" w:customStyle="1" w:styleId="PI1">
    <w:name w:val="PI 1"/>
    <w:basedOn w:val="Normal"/>
    <w:rsid w:val="000A4C3A"/>
    <w:pPr>
      <w:spacing w:before="240"/>
    </w:pPr>
    <w:rPr>
      <w:rFonts w:ascii="Times New (W1)" w:hAnsi="Times New (W1)" w:cs="Times New (W1)"/>
    </w:rPr>
  </w:style>
  <w:style w:type="paragraph" w:customStyle="1" w:styleId="PI2">
    <w:name w:val="PI 2"/>
    <w:basedOn w:val="PI1"/>
    <w:rsid w:val="000A4C3A"/>
    <w:pPr>
      <w:spacing w:after="240"/>
    </w:pPr>
    <w:rPr>
      <w:i/>
      <w:iCs/>
    </w:rPr>
  </w:style>
  <w:style w:type="paragraph" w:customStyle="1" w:styleId="PI2Indent">
    <w:name w:val="PI 2  Indent"/>
    <w:basedOn w:val="Normal"/>
    <w:rsid w:val="000A4C3A"/>
    <w:pPr>
      <w:tabs>
        <w:tab w:val="num" w:pos="360"/>
      </w:tabs>
      <w:ind w:left="357" w:hanging="357"/>
    </w:pPr>
  </w:style>
  <w:style w:type="paragraph" w:customStyle="1" w:styleId="PText">
    <w:name w:val="PText"/>
    <w:basedOn w:val="Normal"/>
    <w:rsid w:val="000A4C3A"/>
    <w:rPr>
      <w:sz w:val="20"/>
    </w:rPr>
  </w:style>
  <w:style w:type="paragraph" w:customStyle="1" w:styleId="Style1">
    <w:name w:val="Style1"/>
    <w:basedOn w:val="AITableText"/>
    <w:rsid w:val="000A4C3A"/>
    <w:pPr>
      <w:spacing w:before="120" w:after="240"/>
      <w:ind w:left="714" w:hanging="357"/>
    </w:pPr>
    <w:rPr>
      <w:szCs w:val="20"/>
    </w:rPr>
  </w:style>
  <w:style w:type="paragraph" w:customStyle="1" w:styleId="Style1Indent">
    <w:name w:val="Style1 Indent"/>
    <w:basedOn w:val="Normal"/>
    <w:rsid w:val="000A4C3A"/>
    <w:pPr>
      <w:numPr>
        <w:ilvl w:val="1"/>
        <w:numId w:val="3"/>
      </w:numPr>
    </w:pPr>
    <w:rPr>
      <w:sz w:val="20"/>
    </w:rPr>
  </w:style>
  <w:style w:type="paragraph" w:customStyle="1" w:styleId="Sub-Heading1">
    <w:name w:val="Sub-Heading 1"/>
    <w:basedOn w:val="Normal"/>
    <w:next w:val="Normal"/>
    <w:autoRedefine/>
    <w:rsid w:val="000A4C3A"/>
    <w:pPr>
      <w:keepNext/>
      <w:numPr>
        <w:numId w:val="10"/>
      </w:numPr>
      <w:tabs>
        <w:tab w:val="clear" w:pos="720"/>
      </w:tabs>
      <w:spacing w:before="240" w:after="240"/>
      <w:ind w:left="0" w:firstLine="0"/>
      <w:outlineLvl w:val="0"/>
    </w:pPr>
    <w:rPr>
      <w:rFonts w:ascii="Arial" w:hAnsi="Arial" w:cs="Arial"/>
      <w:i/>
      <w:iCs/>
    </w:rPr>
  </w:style>
  <w:style w:type="paragraph" w:customStyle="1" w:styleId="Sub-Heading3">
    <w:name w:val="Sub-Heading 3"/>
    <w:basedOn w:val="Sub-Heading2"/>
    <w:rsid w:val="000A4C3A"/>
    <w:pPr>
      <w:keepNext w:val="0"/>
      <w:keepLines w:val="0"/>
      <w:spacing w:after="0"/>
      <w:jc w:val="left"/>
    </w:pPr>
    <w:rPr>
      <w:iCs/>
      <w:sz w:val="20"/>
    </w:rPr>
  </w:style>
  <w:style w:type="paragraph" w:customStyle="1" w:styleId="Sub-Headings">
    <w:name w:val="Sub-Headings"/>
    <w:basedOn w:val="Normal"/>
    <w:rsid w:val="000A4C3A"/>
    <w:pPr>
      <w:keepNext/>
      <w:spacing w:before="240" w:after="120"/>
      <w:outlineLvl w:val="0"/>
    </w:pPr>
    <w:rPr>
      <w:rFonts w:ascii="Arial" w:hAnsi="Arial" w:cs="Arial"/>
      <w:i/>
      <w:iCs/>
    </w:rPr>
  </w:style>
  <w:style w:type="paragraph" w:customStyle="1" w:styleId="TableFootnoteText">
    <w:name w:val="Table Footnote Text"/>
    <w:basedOn w:val="FootnoteText"/>
    <w:rsid w:val="000A4C3A"/>
    <w:pPr>
      <w:keepNext/>
      <w:tabs>
        <w:tab w:val="left" w:pos="426"/>
      </w:tabs>
      <w:spacing w:after="120"/>
      <w:ind w:left="357" w:hanging="357"/>
      <w:jc w:val="both"/>
    </w:pPr>
    <w:rPr>
      <w:sz w:val="18"/>
      <w:szCs w:val="18"/>
      <w:lang w:val="en-US"/>
    </w:rPr>
  </w:style>
  <w:style w:type="paragraph" w:customStyle="1" w:styleId="Tableformat">
    <w:name w:val="Table format"/>
    <w:basedOn w:val="BodyText"/>
    <w:rsid w:val="000A4C3A"/>
    <w:pPr>
      <w:keepLines w:val="0"/>
    </w:pPr>
    <w:rPr>
      <w:b/>
      <w:bCs/>
      <w:sz w:val="20"/>
    </w:rPr>
  </w:style>
  <w:style w:type="paragraph" w:customStyle="1" w:styleId="TableColHeadings">
    <w:name w:val="TableColHeadings"/>
    <w:basedOn w:val="Normal"/>
    <w:rsid w:val="000A4C3A"/>
    <w:pPr>
      <w:keepNext/>
      <w:keepLines/>
      <w:tabs>
        <w:tab w:val="left" w:pos="475"/>
        <w:tab w:val="left" w:pos="1440"/>
        <w:tab w:val="left" w:pos="2160"/>
        <w:tab w:val="left" w:pos="2880"/>
      </w:tabs>
      <w:spacing w:before="60" w:after="60"/>
      <w:jc w:val="right"/>
    </w:pPr>
    <w:rPr>
      <w:sz w:val="20"/>
    </w:rPr>
  </w:style>
  <w:style w:type="paragraph" w:customStyle="1" w:styleId="TableGraphic">
    <w:name w:val="TableGraphic"/>
    <w:basedOn w:val="Normal"/>
    <w:next w:val="Normal"/>
    <w:rsid w:val="000A4C3A"/>
    <w:pPr>
      <w:keepNext/>
      <w:spacing w:after="20"/>
      <w:ind w:right="-113"/>
    </w:pPr>
    <w:rPr>
      <w:rFonts w:ascii="Tahoma" w:hAnsi="Tahoma" w:cs="Tahoma"/>
      <w:b/>
      <w:bCs/>
      <w:color w:val="000000"/>
      <w:sz w:val="20"/>
    </w:rPr>
  </w:style>
  <w:style w:type="paragraph" w:customStyle="1" w:styleId="TableRowLast">
    <w:name w:val="TableRowLast"/>
    <w:basedOn w:val="Normal"/>
    <w:rsid w:val="000A4C3A"/>
    <w:pPr>
      <w:tabs>
        <w:tab w:val="left" w:pos="475"/>
        <w:tab w:val="left" w:pos="1440"/>
        <w:tab w:val="left" w:pos="2160"/>
        <w:tab w:val="left" w:pos="2880"/>
      </w:tabs>
      <w:spacing w:before="120" w:line="240" w:lineRule="atLeast"/>
      <w:jc w:val="both"/>
    </w:pPr>
  </w:style>
  <w:style w:type="paragraph" w:customStyle="1" w:styleId="TableRowNormal">
    <w:name w:val="TableRowNormal"/>
    <w:basedOn w:val="Normal"/>
    <w:rsid w:val="000A4C3A"/>
    <w:pPr>
      <w:keepNext/>
      <w:keepLines/>
      <w:tabs>
        <w:tab w:val="left" w:pos="475"/>
        <w:tab w:val="left" w:pos="1440"/>
        <w:tab w:val="left" w:pos="2160"/>
        <w:tab w:val="left" w:pos="2880"/>
      </w:tabs>
      <w:spacing w:before="60" w:after="60" w:line="200" w:lineRule="atLeast"/>
      <w:ind w:left="144" w:hanging="144"/>
      <w:jc w:val="right"/>
    </w:pPr>
    <w:rPr>
      <w:sz w:val="20"/>
    </w:rPr>
  </w:style>
  <w:style w:type="paragraph" w:customStyle="1" w:styleId="TableRowUnits">
    <w:name w:val="TableRowUnits"/>
    <w:basedOn w:val="Normal"/>
    <w:rsid w:val="000A4C3A"/>
    <w:pPr>
      <w:keepNext/>
      <w:keepLines/>
      <w:tabs>
        <w:tab w:val="left" w:pos="475"/>
        <w:tab w:val="left" w:pos="1440"/>
        <w:tab w:val="left" w:pos="2160"/>
        <w:tab w:val="left" w:pos="2880"/>
      </w:tabs>
      <w:jc w:val="right"/>
    </w:pPr>
    <w:rPr>
      <w:sz w:val="20"/>
    </w:rPr>
  </w:style>
  <w:style w:type="paragraph" w:customStyle="1" w:styleId="TableText">
    <w:name w:val="TableText"/>
    <w:basedOn w:val="BodyText"/>
    <w:rsid w:val="000A4C3A"/>
    <w:pPr>
      <w:keepNext w:val="0"/>
      <w:keepLines w:val="0"/>
      <w:numPr>
        <w:numId w:val="12"/>
      </w:numPr>
      <w:tabs>
        <w:tab w:val="clear" w:pos="2700"/>
      </w:tabs>
      <w:ind w:left="0" w:firstLine="0"/>
      <w:jc w:val="left"/>
    </w:pPr>
    <w:rPr>
      <w:rFonts w:ascii="Arial" w:hAnsi="Arial" w:cs="Arial"/>
      <w:kern w:val="28"/>
      <w:sz w:val="22"/>
      <w:szCs w:val="22"/>
    </w:rPr>
  </w:style>
  <w:style w:type="paragraph" w:customStyle="1" w:styleId="Text">
    <w:name w:val="Text"/>
    <w:basedOn w:val="Normal"/>
    <w:rsid w:val="000A4C3A"/>
    <w:pPr>
      <w:jc w:val="both"/>
    </w:pPr>
  </w:style>
  <w:style w:type="paragraph" w:customStyle="1" w:styleId="Text1">
    <w:name w:val="Text 1"/>
    <w:basedOn w:val="Normal"/>
    <w:rsid w:val="000A4C3A"/>
    <w:pPr>
      <w:jc w:val="both"/>
    </w:pPr>
    <w:rPr>
      <w:rFonts w:ascii="Arial" w:hAnsi="Arial" w:cs="Arial"/>
    </w:rPr>
  </w:style>
  <w:style w:type="paragraph" w:customStyle="1" w:styleId="xl24">
    <w:name w:val="xl24"/>
    <w:basedOn w:val="Normal"/>
    <w:rsid w:val="000A4C3A"/>
    <w:pPr>
      <w:spacing w:before="100" w:beforeAutospacing="1" w:after="100" w:afterAutospacing="1"/>
    </w:pPr>
    <w:rPr>
      <w:rFonts w:ascii="Arial" w:eastAsia="Arial Unicode MS" w:hAnsi="Arial" w:cs="Arial"/>
      <w:sz w:val="16"/>
      <w:szCs w:val="16"/>
    </w:rPr>
  </w:style>
  <w:style w:type="paragraph" w:customStyle="1" w:styleId="TSYBullets">
    <w:name w:val="TSY_Bullets"/>
    <w:basedOn w:val="Normal"/>
    <w:rsid w:val="000A4C3A"/>
    <w:pPr>
      <w:numPr>
        <w:numId w:val="4"/>
      </w:numPr>
      <w:spacing w:before="120" w:after="120"/>
    </w:pPr>
    <w:rPr>
      <w:lang w:eastAsia="en-AU"/>
    </w:rPr>
  </w:style>
  <w:style w:type="character" w:customStyle="1" w:styleId="EmailStyle3071">
    <w:name w:val="EmailStyle307"/>
    <w:aliases w:val="EmailStyle307"/>
    <w:basedOn w:val="DefaultParagraphFont"/>
    <w:personal/>
    <w:rsid w:val="000A4C3A"/>
    <w:rPr>
      <w:rFonts w:ascii="Arial" w:hAnsi="Arial" w:cs="Arial"/>
      <w:color w:val="000080"/>
      <w:sz w:val="20"/>
      <w:szCs w:val="20"/>
    </w:rPr>
  </w:style>
  <w:style w:type="character" w:customStyle="1" w:styleId="EmailStyle3081">
    <w:name w:val="EmailStyle308"/>
    <w:aliases w:val="EmailStyle308"/>
    <w:basedOn w:val="DefaultParagraphFont"/>
    <w:personal/>
    <w:rsid w:val="000A4C3A"/>
    <w:rPr>
      <w:rFonts w:ascii="Arial" w:hAnsi="Arial" w:cs="Arial"/>
      <w:color w:val="auto"/>
      <w:sz w:val="20"/>
      <w:szCs w:val="20"/>
    </w:rPr>
  </w:style>
  <w:style w:type="character" w:customStyle="1" w:styleId="EmailStyle3091">
    <w:name w:val="EmailStyle309"/>
    <w:aliases w:val="EmailStyle309"/>
    <w:basedOn w:val="DefaultParagraphFont"/>
    <w:personal/>
    <w:rsid w:val="000A4C3A"/>
    <w:rPr>
      <w:rFonts w:ascii="Arial" w:hAnsi="Arial" w:cs="Arial"/>
      <w:color w:val="auto"/>
      <w:sz w:val="20"/>
      <w:szCs w:val="20"/>
    </w:rPr>
  </w:style>
  <w:style w:type="paragraph" w:customStyle="1" w:styleId="1n">
    <w:name w:val="1. n"/>
    <w:basedOn w:val="n"/>
    <w:rsid w:val="009B7085"/>
    <w:rPr>
      <w:iCs/>
      <w:szCs w:val="20"/>
    </w:rPr>
  </w:style>
  <w:style w:type="paragraph" w:customStyle="1" w:styleId="an">
    <w:name w:val="a. n"/>
    <w:basedOn w:val="n"/>
    <w:rsid w:val="009B7085"/>
    <w:rPr>
      <w:iCs/>
      <w:szCs w:val="20"/>
    </w:rPr>
  </w:style>
  <w:style w:type="paragraph" w:customStyle="1" w:styleId="Footnote">
    <w:name w:val="Footnote"/>
    <w:basedOn w:val="Normal"/>
    <w:rsid w:val="000A4C3A"/>
    <w:rPr>
      <w:vertAlign w:val="superscript"/>
      <w:lang w:eastAsia="en-AU"/>
    </w:rPr>
  </w:style>
  <w:style w:type="paragraph" w:customStyle="1" w:styleId="Notes-Graph">
    <w:name w:val="Notes - Graph"/>
    <w:basedOn w:val="n"/>
    <w:rsid w:val="000A4C3A"/>
    <w:pPr>
      <w:spacing w:before="20" w:after="120"/>
    </w:pPr>
    <w:rPr>
      <w:szCs w:val="16"/>
    </w:rPr>
  </w:style>
  <w:style w:type="paragraph" w:customStyle="1" w:styleId="TableText1">
    <w:name w:val="Table Text 1"/>
    <w:basedOn w:val="Normal"/>
    <w:rsid w:val="000A4C3A"/>
    <w:rPr>
      <w:sz w:val="18"/>
      <w:szCs w:val="18"/>
      <w:lang w:eastAsia="en-AU"/>
    </w:rPr>
  </w:style>
  <w:style w:type="paragraph" w:customStyle="1" w:styleId="TableTextHeading1">
    <w:name w:val="Table Text Heading 1"/>
    <w:basedOn w:val="Normal"/>
    <w:rsid w:val="000A4C3A"/>
    <w:pPr>
      <w:jc w:val="right"/>
    </w:pPr>
    <w:rPr>
      <w:b/>
      <w:bCs/>
      <w:sz w:val="18"/>
      <w:szCs w:val="18"/>
      <w:lang w:eastAsia="en-AU"/>
    </w:rPr>
  </w:style>
  <w:style w:type="paragraph" w:customStyle="1" w:styleId="TableTextHeading2">
    <w:name w:val="Table Text Heading 2"/>
    <w:basedOn w:val="Normal"/>
    <w:rsid w:val="000A4C3A"/>
    <w:rPr>
      <w:b/>
      <w:bCs/>
      <w:sz w:val="18"/>
      <w:szCs w:val="18"/>
      <w:lang w:eastAsia="en-AU"/>
    </w:rPr>
  </w:style>
  <w:style w:type="paragraph" w:customStyle="1" w:styleId="TableTextNumbers">
    <w:name w:val="Table Text Numbers"/>
    <w:basedOn w:val="Normal"/>
    <w:rsid w:val="000A4C3A"/>
    <w:pPr>
      <w:jc w:val="right"/>
    </w:pPr>
    <w:rPr>
      <w:sz w:val="18"/>
      <w:szCs w:val="18"/>
      <w:lang w:eastAsia="en-AU"/>
    </w:rPr>
  </w:style>
  <w:style w:type="paragraph" w:customStyle="1" w:styleId="TableTextTotals">
    <w:name w:val="Table Text Totals"/>
    <w:basedOn w:val="Normal"/>
    <w:rsid w:val="000A4C3A"/>
    <w:pPr>
      <w:jc w:val="right"/>
    </w:pPr>
    <w:rPr>
      <w:b/>
      <w:bCs/>
      <w:sz w:val="18"/>
      <w:szCs w:val="18"/>
      <w:lang w:eastAsia="en-AU"/>
    </w:rPr>
  </w:style>
  <w:style w:type="character" w:customStyle="1" w:styleId="BodyTextChar">
    <w:name w:val="Body Text Char"/>
    <w:basedOn w:val="DefaultParagraphFont"/>
    <w:link w:val="BodyText"/>
    <w:locked/>
    <w:rsid w:val="000A4C3A"/>
    <w:rPr>
      <w:rFonts w:ascii="Calibri" w:hAnsi="Calibri"/>
      <w:sz w:val="24"/>
      <w:lang w:eastAsia="en-US"/>
    </w:rPr>
  </w:style>
  <w:style w:type="character" w:customStyle="1" w:styleId="BodyTextChar1">
    <w:name w:val="Body Text Char1"/>
    <w:basedOn w:val="DefaultParagraphFont"/>
    <w:link w:val="BodyText"/>
    <w:rsid w:val="004A4F80"/>
    <w:rPr>
      <w:rFonts w:ascii="Calibri" w:hAnsi="Calibri"/>
      <w:sz w:val="24"/>
      <w:szCs w:val="24"/>
      <w:lang w:eastAsia="en-US"/>
    </w:rPr>
  </w:style>
  <w:style w:type="character" w:customStyle="1" w:styleId="Heading4Char">
    <w:name w:val="Heading 4 Char"/>
    <w:basedOn w:val="DefaultParagraphFont"/>
    <w:link w:val="Heading4"/>
    <w:rsid w:val="004A4F80"/>
    <w:rPr>
      <w:rFonts w:ascii="Calibri" w:hAnsi="Calibri"/>
      <w:i/>
      <w:sz w:val="24"/>
      <w:lang w:eastAsia="en-US"/>
    </w:rPr>
  </w:style>
  <w:style w:type="character" w:customStyle="1" w:styleId="FootnoteTextChar">
    <w:name w:val="Footnote Text Char"/>
    <w:basedOn w:val="DefaultParagraphFont"/>
    <w:link w:val="FootnoteText"/>
    <w:semiHidden/>
    <w:locked/>
    <w:rsid w:val="000A4C3A"/>
    <w:rPr>
      <w:rFonts w:ascii="Calibri" w:hAnsi="Calibri"/>
      <w:lang w:eastAsia="en-US"/>
    </w:rPr>
  </w:style>
  <w:style w:type="character" w:styleId="FootnoteReference">
    <w:name w:val="footnote reference"/>
    <w:basedOn w:val="DefaultParagraphFont"/>
    <w:rsid w:val="009B7085"/>
    <w:rPr>
      <w:rFonts w:ascii="Calibri" w:hAnsi="Calibri"/>
      <w:vertAlign w:val="superscript"/>
    </w:rPr>
  </w:style>
  <w:style w:type="paragraph" w:customStyle="1" w:styleId="StyleBodyTextIndentAfter4pt">
    <w:name w:val="Style Body Text Indent + After:  4 pt"/>
    <w:basedOn w:val="BodyTextIndent"/>
    <w:rsid w:val="004A4F80"/>
    <w:pPr>
      <w:spacing w:after="80"/>
    </w:pPr>
    <w:rPr>
      <w:szCs w:val="20"/>
    </w:rPr>
  </w:style>
  <w:style w:type="paragraph" w:customStyle="1" w:styleId="Style10ptFirstline032cmRight012cm">
    <w:name w:val="Style 10 pt First line:  0.32 cm Right:  0.12 cm"/>
    <w:basedOn w:val="Normal"/>
    <w:rsid w:val="00D90F82"/>
    <w:pPr>
      <w:ind w:right="68" w:firstLine="180"/>
    </w:pPr>
    <w:rPr>
      <w:sz w:val="20"/>
    </w:rPr>
  </w:style>
  <w:style w:type="paragraph" w:customStyle="1" w:styleId="StyleTableTextRightBold-BP3Before05ptAfter05pt">
    <w:name w:val="Style Table Text Right Bold - BP3 + Before:  0.5 pt After:  0.5 pt"/>
    <w:basedOn w:val="TableTextRightBold-BP3"/>
    <w:rsid w:val="00D90F82"/>
    <w:pPr>
      <w:spacing w:before="10" w:after="10"/>
    </w:pPr>
    <w:rPr>
      <w:bCs/>
    </w:rPr>
  </w:style>
  <w:style w:type="paragraph" w:customStyle="1" w:styleId="StyleTableTextLeftBoldCentered">
    <w:name w:val="Style Table Text Left Bold + Centered"/>
    <w:basedOn w:val="TableTextLeftBold"/>
    <w:rsid w:val="00D90F82"/>
    <w:pPr>
      <w:jc w:val="center"/>
    </w:pPr>
    <w:rPr>
      <w:bCs/>
    </w:rPr>
  </w:style>
  <w:style w:type="character" w:customStyle="1" w:styleId="PlainTextChar">
    <w:name w:val="Plain Text Char"/>
    <w:basedOn w:val="DefaultParagraphFont"/>
    <w:link w:val="PlainText"/>
    <w:semiHidden/>
    <w:rsid w:val="0034652C"/>
    <w:rPr>
      <w:rFonts w:ascii="Calibri" w:hAnsi="Calibri"/>
      <w:lang w:val="en-US" w:eastAsia="en-US"/>
    </w:rPr>
  </w:style>
  <w:style w:type="paragraph" w:styleId="CommentText">
    <w:name w:val="annotation text"/>
    <w:basedOn w:val="Normal"/>
    <w:link w:val="CommentTextChar"/>
    <w:rsid w:val="009B7085"/>
    <w:rPr>
      <w:sz w:val="20"/>
    </w:rPr>
  </w:style>
  <w:style w:type="character" w:customStyle="1" w:styleId="CommentTextChar">
    <w:name w:val="Comment Text Char"/>
    <w:basedOn w:val="DefaultParagraphFont"/>
    <w:link w:val="CommentText"/>
    <w:rsid w:val="00F565DC"/>
    <w:rPr>
      <w:rFonts w:ascii="Calibri" w:hAnsi="Calibri"/>
      <w:lang w:eastAsia="en-US"/>
    </w:rPr>
  </w:style>
  <w:style w:type="paragraph" w:styleId="CommentSubject">
    <w:name w:val="annotation subject"/>
    <w:basedOn w:val="CommentText"/>
    <w:next w:val="CommentText"/>
    <w:link w:val="CommentSubjectChar"/>
    <w:rsid w:val="009B7085"/>
    <w:rPr>
      <w:b/>
      <w:bCs/>
    </w:rPr>
  </w:style>
  <w:style w:type="character" w:customStyle="1" w:styleId="CommentSubjectChar">
    <w:name w:val="Comment Subject Char"/>
    <w:basedOn w:val="CommentTextChar"/>
    <w:link w:val="CommentSubject"/>
    <w:rsid w:val="00F565DC"/>
    <w:rPr>
      <w:b/>
      <w:bCs/>
    </w:rPr>
  </w:style>
  <w:style w:type="character" w:customStyle="1" w:styleId="CharChar">
    <w:name w:val="Char Char"/>
    <w:basedOn w:val="DefaultParagraphFont"/>
    <w:rsid w:val="009B7085"/>
    <w:rPr>
      <w:rFonts w:ascii="Calibri" w:hAnsi="Calibri"/>
      <w:sz w:val="24"/>
      <w:lang w:val="en-AU" w:eastAsia="en-US" w:bidi="ar-SA"/>
    </w:rPr>
  </w:style>
  <w:style w:type="character" w:customStyle="1" w:styleId="CharChar1">
    <w:name w:val="Char Char1"/>
    <w:basedOn w:val="DefaultParagraphFont"/>
    <w:rsid w:val="009B7085"/>
    <w:rPr>
      <w:rFonts w:ascii="Arial" w:hAnsi="Arial" w:cs="Arial"/>
      <w:b/>
      <w:bCs/>
      <w:sz w:val="24"/>
      <w:szCs w:val="26"/>
      <w:lang w:val="en-AU" w:eastAsia="en-US" w:bidi="ar-SA"/>
    </w:rPr>
  </w:style>
  <w:style w:type="table" w:styleId="ColorfulGrid-Accent2">
    <w:name w:val="Colorful Grid Accent 2"/>
    <w:basedOn w:val="TableNormal"/>
    <w:uiPriority w:val="73"/>
    <w:rsid w:val="009B7085"/>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B7085"/>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B7085"/>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B7085"/>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B7085"/>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ndnoteReference">
    <w:name w:val="endnote reference"/>
    <w:basedOn w:val="DefaultParagraphFont"/>
    <w:rsid w:val="009B7085"/>
    <w:rPr>
      <w:rFonts w:ascii="Calibri" w:hAnsi="Calibri"/>
      <w:vertAlign w:val="superscript"/>
    </w:rPr>
  </w:style>
  <w:style w:type="paragraph" w:styleId="EndnoteText">
    <w:name w:val="endnote text"/>
    <w:basedOn w:val="Normal"/>
    <w:link w:val="EndnoteTextChar"/>
    <w:rsid w:val="009B7085"/>
    <w:rPr>
      <w:sz w:val="20"/>
    </w:rPr>
  </w:style>
  <w:style w:type="character" w:customStyle="1" w:styleId="EndnoteTextChar">
    <w:name w:val="Endnote Text Char"/>
    <w:basedOn w:val="DefaultParagraphFont"/>
    <w:link w:val="EndnoteText"/>
    <w:rsid w:val="009B7085"/>
    <w:rPr>
      <w:rFonts w:ascii="Calibri" w:hAnsi="Calibri"/>
      <w:lang w:eastAsia="en-US"/>
    </w:rPr>
  </w:style>
  <w:style w:type="paragraph" w:styleId="Index1">
    <w:name w:val="index 1"/>
    <w:basedOn w:val="Normal"/>
    <w:next w:val="Normal"/>
    <w:autoRedefine/>
    <w:rsid w:val="009B7085"/>
    <w:pPr>
      <w:ind w:left="240" w:hanging="240"/>
    </w:pPr>
  </w:style>
  <w:style w:type="paragraph" w:styleId="Index2">
    <w:name w:val="index 2"/>
    <w:basedOn w:val="Normal"/>
    <w:next w:val="Normal"/>
    <w:autoRedefine/>
    <w:rsid w:val="009B7085"/>
    <w:pPr>
      <w:ind w:left="480" w:hanging="240"/>
    </w:pPr>
  </w:style>
  <w:style w:type="paragraph" w:styleId="Index3">
    <w:name w:val="index 3"/>
    <w:basedOn w:val="Normal"/>
    <w:next w:val="Normal"/>
    <w:autoRedefine/>
    <w:rsid w:val="009B7085"/>
    <w:pPr>
      <w:ind w:left="720" w:hanging="240"/>
    </w:pPr>
  </w:style>
  <w:style w:type="paragraph" w:styleId="Index4">
    <w:name w:val="index 4"/>
    <w:basedOn w:val="Normal"/>
    <w:next w:val="Normal"/>
    <w:autoRedefine/>
    <w:rsid w:val="009B7085"/>
    <w:pPr>
      <w:ind w:left="960" w:hanging="240"/>
    </w:pPr>
  </w:style>
  <w:style w:type="paragraph" w:styleId="Index5">
    <w:name w:val="index 5"/>
    <w:basedOn w:val="Normal"/>
    <w:next w:val="Normal"/>
    <w:autoRedefine/>
    <w:rsid w:val="009B7085"/>
    <w:pPr>
      <w:ind w:left="1200" w:hanging="240"/>
    </w:pPr>
  </w:style>
  <w:style w:type="paragraph" w:styleId="Index6">
    <w:name w:val="index 6"/>
    <w:basedOn w:val="Normal"/>
    <w:next w:val="Normal"/>
    <w:autoRedefine/>
    <w:rsid w:val="009B7085"/>
    <w:pPr>
      <w:ind w:left="1440" w:hanging="240"/>
    </w:pPr>
  </w:style>
  <w:style w:type="paragraph" w:styleId="Index7">
    <w:name w:val="index 7"/>
    <w:basedOn w:val="Normal"/>
    <w:next w:val="Normal"/>
    <w:autoRedefine/>
    <w:rsid w:val="009B7085"/>
    <w:pPr>
      <w:ind w:left="1680" w:hanging="240"/>
    </w:pPr>
  </w:style>
  <w:style w:type="paragraph" w:styleId="Index8">
    <w:name w:val="index 8"/>
    <w:basedOn w:val="Normal"/>
    <w:next w:val="Normal"/>
    <w:autoRedefine/>
    <w:rsid w:val="009B7085"/>
    <w:pPr>
      <w:ind w:left="1920" w:hanging="240"/>
    </w:pPr>
  </w:style>
  <w:style w:type="paragraph" w:styleId="Index9">
    <w:name w:val="index 9"/>
    <w:basedOn w:val="Normal"/>
    <w:next w:val="Normal"/>
    <w:autoRedefine/>
    <w:rsid w:val="009B7085"/>
    <w:pPr>
      <w:ind w:left="2160" w:hanging="240"/>
    </w:pPr>
  </w:style>
  <w:style w:type="paragraph" w:styleId="IndexHeading">
    <w:name w:val="index heading"/>
    <w:basedOn w:val="Normal"/>
    <w:next w:val="Index1"/>
    <w:rsid w:val="009B7085"/>
    <w:rPr>
      <w:b/>
      <w:bCs/>
    </w:rPr>
  </w:style>
  <w:style w:type="paragraph" w:styleId="ListParagraph">
    <w:name w:val="List Paragraph"/>
    <w:basedOn w:val="Normal"/>
    <w:qFormat/>
    <w:rsid w:val="009B7085"/>
    <w:pPr>
      <w:ind w:left="720"/>
    </w:pPr>
    <w:rPr>
      <w:szCs w:val="24"/>
    </w:rPr>
  </w:style>
  <w:style w:type="paragraph" w:styleId="TableofAuthorities">
    <w:name w:val="table of authorities"/>
    <w:basedOn w:val="Normal"/>
    <w:next w:val="Normal"/>
    <w:rsid w:val="009B7085"/>
    <w:pPr>
      <w:ind w:left="240" w:hanging="240"/>
    </w:pPr>
  </w:style>
  <w:style w:type="paragraph" w:styleId="TableofFigures">
    <w:name w:val="table of figures"/>
    <w:basedOn w:val="Normal"/>
    <w:next w:val="Normal"/>
    <w:rsid w:val="009B7085"/>
  </w:style>
  <w:style w:type="paragraph" w:styleId="TOAHeading">
    <w:name w:val="toa heading"/>
    <w:basedOn w:val="Normal"/>
    <w:next w:val="Normal"/>
    <w:rsid w:val="009B7085"/>
    <w:pPr>
      <w:spacing w:before="120"/>
    </w:pPr>
    <w:rPr>
      <w:b/>
      <w:bCs/>
      <w:szCs w:val="24"/>
    </w:rPr>
  </w:style>
  <w:style w:type="paragraph" w:styleId="TOC1">
    <w:name w:val="toc 1"/>
    <w:basedOn w:val="Normal"/>
    <w:next w:val="Normal"/>
    <w:autoRedefine/>
    <w:rsid w:val="009B7085"/>
  </w:style>
  <w:style w:type="paragraph" w:styleId="TOC2">
    <w:name w:val="toc 2"/>
    <w:basedOn w:val="Normal"/>
    <w:next w:val="Normal"/>
    <w:autoRedefine/>
    <w:rsid w:val="009B7085"/>
    <w:pPr>
      <w:ind w:left="240"/>
    </w:pPr>
  </w:style>
  <w:style w:type="paragraph" w:styleId="TOC3">
    <w:name w:val="toc 3"/>
    <w:basedOn w:val="Normal"/>
    <w:next w:val="Normal"/>
    <w:autoRedefine/>
    <w:rsid w:val="009B7085"/>
    <w:pPr>
      <w:ind w:left="480"/>
    </w:pPr>
  </w:style>
  <w:style w:type="paragraph" w:styleId="TOC4">
    <w:name w:val="toc 4"/>
    <w:basedOn w:val="Normal"/>
    <w:next w:val="Normal"/>
    <w:autoRedefine/>
    <w:rsid w:val="009B7085"/>
    <w:pPr>
      <w:ind w:left="720"/>
    </w:pPr>
  </w:style>
  <w:style w:type="paragraph" w:styleId="TOC5">
    <w:name w:val="toc 5"/>
    <w:basedOn w:val="Normal"/>
    <w:next w:val="Normal"/>
    <w:autoRedefine/>
    <w:rsid w:val="009B7085"/>
    <w:pPr>
      <w:ind w:left="960"/>
    </w:pPr>
  </w:style>
  <w:style w:type="paragraph" w:styleId="TOC6">
    <w:name w:val="toc 6"/>
    <w:basedOn w:val="Normal"/>
    <w:next w:val="Normal"/>
    <w:autoRedefine/>
    <w:rsid w:val="009B7085"/>
    <w:pPr>
      <w:ind w:left="1200"/>
    </w:pPr>
  </w:style>
  <w:style w:type="paragraph" w:styleId="TOC7">
    <w:name w:val="toc 7"/>
    <w:basedOn w:val="Normal"/>
    <w:next w:val="Normal"/>
    <w:autoRedefine/>
    <w:rsid w:val="009B7085"/>
    <w:pPr>
      <w:ind w:left="1440"/>
    </w:pPr>
  </w:style>
  <w:style w:type="paragraph" w:styleId="TOC8">
    <w:name w:val="toc 8"/>
    <w:basedOn w:val="Normal"/>
    <w:next w:val="Normal"/>
    <w:autoRedefine/>
    <w:rsid w:val="009B7085"/>
    <w:pPr>
      <w:ind w:left="1680"/>
    </w:pPr>
  </w:style>
  <w:style w:type="paragraph" w:styleId="TOC9">
    <w:name w:val="toc 9"/>
    <w:basedOn w:val="Normal"/>
    <w:next w:val="Normal"/>
    <w:autoRedefine/>
    <w:rsid w:val="009B7085"/>
    <w:pPr>
      <w:ind w:left="1920"/>
    </w:pPr>
  </w:style>
</w:styles>
</file>

<file path=word/webSettings.xml><?xml version="1.0" encoding="utf-8"?>
<w:webSettings xmlns:r="http://schemas.openxmlformats.org/officeDocument/2006/relationships" xmlns:w="http://schemas.openxmlformats.org/wordprocessingml/2006/main">
  <w:divs>
    <w:div w:id="473211">
      <w:bodyDiv w:val="1"/>
      <w:marLeft w:val="0"/>
      <w:marRight w:val="0"/>
      <w:marTop w:val="0"/>
      <w:marBottom w:val="0"/>
      <w:divBdr>
        <w:top w:val="none" w:sz="0" w:space="0" w:color="auto"/>
        <w:left w:val="none" w:sz="0" w:space="0" w:color="auto"/>
        <w:bottom w:val="none" w:sz="0" w:space="0" w:color="auto"/>
        <w:right w:val="none" w:sz="0" w:space="0" w:color="auto"/>
      </w:divBdr>
    </w:div>
    <w:div w:id="13658499">
      <w:bodyDiv w:val="1"/>
      <w:marLeft w:val="0"/>
      <w:marRight w:val="0"/>
      <w:marTop w:val="0"/>
      <w:marBottom w:val="0"/>
      <w:divBdr>
        <w:top w:val="none" w:sz="0" w:space="0" w:color="auto"/>
        <w:left w:val="none" w:sz="0" w:space="0" w:color="auto"/>
        <w:bottom w:val="none" w:sz="0" w:space="0" w:color="auto"/>
        <w:right w:val="none" w:sz="0" w:space="0" w:color="auto"/>
      </w:divBdr>
    </w:div>
    <w:div w:id="20591283">
      <w:bodyDiv w:val="1"/>
      <w:marLeft w:val="0"/>
      <w:marRight w:val="0"/>
      <w:marTop w:val="0"/>
      <w:marBottom w:val="0"/>
      <w:divBdr>
        <w:top w:val="none" w:sz="0" w:space="0" w:color="auto"/>
        <w:left w:val="none" w:sz="0" w:space="0" w:color="auto"/>
        <w:bottom w:val="none" w:sz="0" w:space="0" w:color="auto"/>
        <w:right w:val="none" w:sz="0" w:space="0" w:color="auto"/>
      </w:divBdr>
    </w:div>
    <w:div w:id="21059773">
      <w:bodyDiv w:val="1"/>
      <w:marLeft w:val="0"/>
      <w:marRight w:val="0"/>
      <w:marTop w:val="0"/>
      <w:marBottom w:val="0"/>
      <w:divBdr>
        <w:top w:val="none" w:sz="0" w:space="0" w:color="auto"/>
        <w:left w:val="none" w:sz="0" w:space="0" w:color="auto"/>
        <w:bottom w:val="none" w:sz="0" w:space="0" w:color="auto"/>
        <w:right w:val="none" w:sz="0" w:space="0" w:color="auto"/>
      </w:divBdr>
    </w:div>
    <w:div w:id="22367151">
      <w:bodyDiv w:val="1"/>
      <w:marLeft w:val="0"/>
      <w:marRight w:val="0"/>
      <w:marTop w:val="0"/>
      <w:marBottom w:val="0"/>
      <w:divBdr>
        <w:top w:val="none" w:sz="0" w:space="0" w:color="auto"/>
        <w:left w:val="none" w:sz="0" w:space="0" w:color="auto"/>
        <w:bottom w:val="none" w:sz="0" w:space="0" w:color="auto"/>
        <w:right w:val="none" w:sz="0" w:space="0" w:color="auto"/>
      </w:divBdr>
    </w:div>
    <w:div w:id="23096877">
      <w:bodyDiv w:val="1"/>
      <w:marLeft w:val="0"/>
      <w:marRight w:val="0"/>
      <w:marTop w:val="0"/>
      <w:marBottom w:val="0"/>
      <w:divBdr>
        <w:top w:val="none" w:sz="0" w:space="0" w:color="auto"/>
        <w:left w:val="none" w:sz="0" w:space="0" w:color="auto"/>
        <w:bottom w:val="none" w:sz="0" w:space="0" w:color="auto"/>
        <w:right w:val="none" w:sz="0" w:space="0" w:color="auto"/>
      </w:divBdr>
    </w:div>
    <w:div w:id="23992091">
      <w:bodyDiv w:val="1"/>
      <w:marLeft w:val="0"/>
      <w:marRight w:val="0"/>
      <w:marTop w:val="0"/>
      <w:marBottom w:val="0"/>
      <w:divBdr>
        <w:top w:val="none" w:sz="0" w:space="0" w:color="auto"/>
        <w:left w:val="none" w:sz="0" w:space="0" w:color="auto"/>
        <w:bottom w:val="none" w:sz="0" w:space="0" w:color="auto"/>
        <w:right w:val="none" w:sz="0" w:space="0" w:color="auto"/>
      </w:divBdr>
    </w:div>
    <w:div w:id="36318544">
      <w:bodyDiv w:val="1"/>
      <w:marLeft w:val="0"/>
      <w:marRight w:val="0"/>
      <w:marTop w:val="0"/>
      <w:marBottom w:val="0"/>
      <w:divBdr>
        <w:top w:val="none" w:sz="0" w:space="0" w:color="auto"/>
        <w:left w:val="none" w:sz="0" w:space="0" w:color="auto"/>
        <w:bottom w:val="none" w:sz="0" w:space="0" w:color="auto"/>
        <w:right w:val="none" w:sz="0" w:space="0" w:color="auto"/>
      </w:divBdr>
    </w:div>
    <w:div w:id="40397811">
      <w:bodyDiv w:val="1"/>
      <w:marLeft w:val="0"/>
      <w:marRight w:val="0"/>
      <w:marTop w:val="0"/>
      <w:marBottom w:val="0"/>
      <w:divBdr>
        <w:top w:val="none" w:sz="0" w:space="0" w:color="auto"/>
        <w:left w:val="none" w:sz="0" w:space="0" w:color="auto"/>
        <w:bottom w:val="none" w:sz="0" w:space="0" w:color="auto"/>
        <w:right w:val="none" w:sz="0" w:space="0" w:color="auto"/>
      </w:divBdr>
    </w:div>
    <w:div w:id="42367224">
      <w:bodyDiv w:val="1"/>
      <w:marLeft w:val="0"/>
      <w:marRight w:val="0"/>
      <w:marTop w:val="0"/>
      <w:marBottom w:val="0"/>
      <w:divBdr>
        <w:top w:val="none" w:sz="0" w:space="0" w:color="auto"/>
        <w:left w:val="none" w:sz="0" w:space="0" w:color="auto"/>
        <w:bottom w:val="none" w:sz="0" w:space="0" w:color="auto"/>
        <w:right w:val="none" w:sz="0" w:space="0" w:color="auto"/>
      </w:divBdr>
    </w:div>
    <w:div w:id="46538917">
      <w:bodyDiv w:val="1"/>
      <w:marLeft w:val="0"/>
      <w:marRight w:val="0"/>
      <w:marTop w:val="0"/>
      <w:marBottom w:val="0"/>
      <w:divBdr>
        <w:top w:val="none" w:sz="0" w:space="0" w:color="auto"/>
        <w:left w:val="none" w:sz="0" w:space="0" w:color="auto"/>
        <w:bottom w:val="none" w:sz="0" w:space="0" w:color="auto"/>
        <w:right w:val="none" w:sz="0" w:space="0" w:color="auto"/>
      </w:divBdr>
    </w:div>
    <w:div w:id="48772389">
      <w:bodyDiv w:val="1"/>
      <w:marLeft w:val="0"/>
      <w:marRight w:val="0"/>
      <w:marTop w:val="0"/>
      <w:marBottom w:val="0"/>
      <w:divBdr>
        <w:top w:val="none" w:sz="0" w:space="0" w:color="auto"/>
        <w:left w:val="none" w:sz="0" w:space="0" w:color="auto"/>
        <w:bottom w:val="none" w:sz="0" w:space="0" w:color="auto"/>
        <w:right w:val="none" w:sz="0" w:space="0" w:color="auto"/>
      </w:divBdr>
    </w:div>
    <w:div w:id="50269810">
      <w:bodyDiv w:val="1"/>
      <w:marLeft w:val="0"/>
      <w:marRight w:val="0"/>
      <w:marTop w:val="0"/>
      <w:marBottom w:val="0"/>
      <w:divBdr>
        <w:top w:val="none" w:sz="0" w:space="0" w:color="auto"/>
        <w:left w:val="none" w:sz="0" w:space="0" w:color="auto"/>
        <w:bottom w:val="none" w:sz="0" w:space="0" w:color="auto"/>
        <w:right w:val="none" w:sz="0" w:space="0" w:color="auto"/>
      </w:divBdr>
    </w:div>
    <w:div w:id="51119858">
      <w:bodyDiv w:val="1"/>
      <w:marLeft w:val="0"/>
      <w:marRight w:val="0"/>
      <w:marTop w:val="0"/>
      <w:marBottom w:val="0"/>
      <w:divBdr>
        <w:top w:val="none" w:sz="0" w:space="0" w:color="auto"/>
        <w:left w:val="none" w:sz="0" w:space="0" w:color="auto"/>
        <w:bottom w:val="none" w:sz="0" w:space="0" w:color="auto"/>
        <w:right w:val="none" w:sz="0" w:space="0" w:color="auto"/>
      </w:divBdr>
    </w:div>
    <w:div w:id="52896700">
      <w:bodyDiv w:val="1"/>
      <w:marLeft w:val="0"/>
      <w:marRight w:val="0"/>
      <w:marTop w:val="0"/>
      <w:marBottom w:val="0"/>
      <w:divBdr>
        <w:top w:val="none" w:sz="0" w:space="0" w:color="auto"/>
        <w:left w:val="none" w:sz="0" w:space="0" w:color="auto"/>
        <w:bottom w:val="none" w:sz="0" w:space="0" w:color="auto"/>
        <w:right w:val="none" w:sz="0" w:space="0" w:color="auto"/>
      </w:divBdr>
    </w:div>
    <w:div w:id="53823221">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6974152">
      <w:bodyDiv w:val="1"/>
      <w:marLeft w:val="0"/>
      <w:marRight w:val="0"/>
      <w:marTop w:val="0"/>
      <w:marBottom w:val="0"/>
      <w:divBdr>
        <w:top w:val="none" w:sz="0" w:space="0" w:color="auto"/>
        <w:left w:val="none" w:sz="0" w:space="0" w:color="auto"/>
        <w:bottom w:val="none" w:sz="0" w:space="0" w:color="auto"/>
        <w:right w:val="none" w:sz="0" w:space="0" w:color="auto"/>
      </w:divBdr>
    </w:div>
    <w:div w:id="58747331">
      <w:bodyDiv w:val="1"/>
      <w:marLeft w:val="0"/>
      <w:marRight w:val="0"/>
      <w:marTop w:val="0"/>
      <w:marBottom w:val="0"/>
      <w:divBdr>
        <w:top w:val="none" w:sz="0" w:space="0" w:color="auto"/>
        <w:left w:val="none" w:sz="0" w:space="0" w:color="auto"/>
        <w:bottom w:val="none" w:sz="0" w:space="0" w:color="auto"/>
        <w:right w:val="none" w:sz="0" w:space="0" w:color="auto"/>
      </w:divBdr>
    </w:div>
    <w:div w:id="64185236">
      <w:bodyDiv w:val="1"/>
      <w:marLeft w:val="0"/>
      <w:marRight w:val="0"/>
      <w:marTop w:val="0"/>
      <w:marBottom w:val="0"/>
      <w:divBdr>
        <w:top w:val="none" w:sz="0" w:space="0" w:color="auto"/>
        <w:left w:val="none" w:sz="0" w:space="0" w:color="auto"/>
        <w:bottom w:val="none" w:sz="0" w:space="0" w:color="auto"/>
        <w:right w:val="none" w:sz="0" w:space="0" w:color="auto"/>
      </w:divBdr>
    </w:div>
    <w:div w:id="69809854">
      <w:bodyDiv w:val="1"/>
      <w:marLeft w:val="0"/>
      <w:marRight w:val="0"/>
      <w:marTop w:val="0"/>
      <w:marBottom w:val="0"/>
      <w:divBdr>
        <w:top w:val="none" w:sz="0" w:space="0" w:color="auto"/>
        <w:left w:val="none" w:sz="0" w:space="0" w:color="auto"/>
        <w:bottom w:val="none" w:sz="0" w:space="0" w:color="auto"/>
        <w:right w:val="none" w:sz="0" w:space="0" w:color="auto"/>
      </w:divBdr>
    </w:div>
    <w:div w:id="70274056">
      <w:bodyDiv w:val="1"/>
      <w:marLeft w:val="0"/>
      <w:marRight w:val="0"/>
      <w:marTop w:val="0"/>
      <w:marBottom w:val="0"/>
      <w:divBdr>
        <w:top w:val="none" w:sz="0" w:space="0" w:color="auto"/>
        <w:left w:val="none" w:sz="0" w:space="0" w:color="auto"/>
        <w:bottom w:val="none" w:sz="0" w:space="0" w:color="auto"/>
        <w:right w:val="none" w:sz="0" w:space="0" w:color="auto"/>
      </w:divBdr>
    </w:div>
    <w:div w:id="72287757">
      <w:bodyDiv w:val="1"/>
      <w:marLeft w:val="0"/>
      <w:marRight w:val="0"/>
      <w:marTop w:val="0"/>
      <w:marBottom w:val="0"/>
      <w:divBdr>
        <w:top w:val="none" w:sz="0" w:space="0" w:color="auto"/>
        <w:left w:val="none" w:sz="0" w:space="0" w:color="auto"/>
        <w:bottom w:val="none" w:sz="0" w:space="0" w:color="auto"/>
        <w:right w:val="none" w:sz="0" w:space="0" w:color="auto"/>
      </w:divBdr>
    </w:div>
    <w:div w:id="72513144">
      <w:bodyDiv w:val="1"/>
      <w:marLeft w:val="0"/>
      <w:marRight w:val="0"/>
      <w:marTop w:val="0"/>
      <w:marBottom w:val="0"/>
      <w:divBdr>
        <w:top w:val="none" w:sz="0" w:space="0" w:color="auto"/>
        <w:left w:val="none" w:sz="0" w:space="0" w:color="auto"/>
        <w:bottom w:val="none" w:sz="0" w:space="0" w:color="auto"/>
        <w:right w:val="none" w:sz="0" w:space="0" w:color="auto"/>
      </w:divBdr>
    </w:div>
    <w:div w:id="73935231">
      <w:bodyDiv w:val="1"/>
      <w:marLeft w:val="0"/>
      <w:marRight w:val="0"/>
      <w:marTop w:val="0"/>
      <w:marBottom w:val="0"/>
      <w:divBdr>
        <w:top w:val="none" w:sz="0" w:space="0" w:color="auto"/>
        <w:left w:val="none" w:sz="0" w:space="0" w:color="auto"/>
        <w:bottom w:val="none" w:sz="0" w:space="0" w:color="auto"/>
        <w:right w:val="none" w:sz="0" w:space="0" w:color="auto"/>
      </w:divBdr>
    </w:div>
    <w:div w:id="73937064">
      <w:bodyDiv w:val="1"/>
      <w:marLeft w:val="0"/>
      <w:marRight w:val="0"/>
      <w:marTop w:val="0"/>
      <w:marBottom w:val="0"/>
      <w:divBdr>
        <w:top w:val="none" w:sz="0" w:space="0" w:color="auto"/>
        <w:left w:val="none" w:sz="0" w:space="0" w:color="auto"/>
        <w:bottom w:val="none" w:sz="0" w:space="0" w:color="auto"/>
        <w:right w:val="none" w:sz="0" w:space="0" w:color="auto"/>
      </w:divBdr>
    </w:div>
    <w:div w:id="76875923">
      <w:bodyDiv w:val="1"/>
      <w:marLeft w:val="0"/>
      <w:marRight w:val="0"/>
      <w:marTop w:val="0"/>
      <w:marBottom w:val="0"/>
      <w:divBdr>
        <w:top w:val="none" w:sz="0" w:space="0" w:color="auto"/>
        <w:left w:val="none" w:sz="0" w:space="0" w:color="auto"/>
        <w:bottom w:val="none" w:sz="0" w:space="0" w:color="auto"/>
        <w:right w:val="none" w:sz="0" w:space="0" w:color="auto"/>
      </w:divBdr>
    </w:div>
    <w:div w:id="78869372">
      <w:bodyDiv w:val="1"/>
      <w:marLeft w:val="0"/>
      <w:marRight w:val="0"/>
      <w:marTop w:val="0"/>
      <w:marBottom w:val="0"/>
      <w:divBdr>
        <w:top w:val="none" w:sz="0" w:space="0" w:color="auto"/>
        <w:left w:val="none" w:sz="0" w:space="0" w:color="auto"/>
        <w:bottom w:val="none" w:sz="0" w:space="0" w:color="auto"/>
        <w:right w:val="none" w:sz="0" w:space="0" w:color="auto"/>
      </w:divBdr>
    </w:div>
    <w:div w:id="81143595">
      <w:bodyDiv w:val="1"/>
      <w:marLeft w:val="0"/>
      <w:marRight w:val="0"/>
      <w:marTop w:val="0"/>
      <w:marBottom w:val="0"/>
      <w:divBdr>
        <w:top w:val="none" w:sz="0" w:space="0" w:color="auto"/>
        <w:left w:val="none" w:sz="0" w:space="0" w:color="auto"/>
        <w:bottom w:val="none" w:sz="0" w:space="0" w:color="auto"/>
        <w:right w:val="none" w:sz="0" w:space="0" w:color="auto"/>
      </w:divBdr>
    </w:div>
    <w:div w:id="84811020">
      <w:bodyDiv w:val="1"/>
      <w:marLeft w:val="0"/>
      <w:marRight w:val="0"/>
      <w:marTop w:val="0"/>
      <w:marBottom w:val="0"/>
      <w:divBdr>
        <w:top w:val="none" w:sz="0" w:space="0" w:color="auto"/>
        <w:left w:val="none" w:sz="0" w:space="0" w:color="auto"/>
        <w:bottom w:val="none" w:sz="0" w:space="0" w:color="auto"/>
        <w:right w:val="none" w:sz="0" w:space="0" w:color="auto"/>
      </w:divBdr>
    </w:div>
    <w:div w:id="93522370">
      <w:bodyDiv w:val="1"/>
      <w:marLeft w:val="0"/>
      <w:marRight w:val="0"/>
      <w:marTop w:val="0"/>
      <w:marBottom w:val="0"/>
      <w:divBdr>
        <w:top w:val="none" w:sz="0" w:space="0" w:color="auto"/>
        <w:left w:val="none" w:sz="0" w:space="0" w:color="auto"/>
        <w:bottom w:val="none" w:sz="0" w:space="0" w:color="auto"/>
        <w:right w:val="none" w:sz="0" w:space="0" w:color="auto"/>
      </w:divBdr>
    </w:div>
    <w:div w:id="105275425">
      <w:bodyDiv w:val="1"/>
      <w:marLeft w:val="0"/>
      <w:marRight w:val="0"/>
      <w:marTop w:val="0"/>
      <w:marBottom w:val="0"/>
      <w:divBdr>
        <w:top w:val="none" w:sz="0" w:space="0" w:color="auto"/>
        <w:left w:val="none" w:sz="0" w:space="0" w:color="auto"/>
        <w:bottom w:val="none" w:sz="0" w:space="0" w:color="auto"/>
        <w:right w:val="none" w:sz="0" w:space="0" w:color="auto"/>
      </w:divBdr>
    </w:div>
    <w:div w:id="114760642">
      <w:bodyDiv w:val="1"/>
      <w:marLeft w:val="0"/>
      <w:marRight w:val="0"/>
      <w:marTop w:val="0"/>
      <w:marBottom w:val="0"/>
      <w:divBdr>
        <w:top w:val="none" w:sz="0" w:space="0" w:color="auto"/>
        <w:left w:val="none" w:sz="0" w:space="0" w:color="auto"/>
        <w:bottom w:val="none" w:sz="0" w:space="0" w:color="auto"/>
        <w:right w:val="none" w:sz="0" w:space="0" w:color="auto"/>
      </w:divBdr>
    </w:div>
    <w:div w:id="116411549">
      <w:bodyDiv w:val="1"/>
      <w:marLeft w:val="0"/>
      <w:marRight w:val="0"/>
      <w:marTop w:val="0"/>
      <w:marBottom w:val="0"/>
      <w:divBdr>
        <w:top w:val="none" w:sz="0" w:space="0" w:color="auto"/>
        <w:left w:val="none" w:sz="0" w:space="0" w:color="auto"/>
        <w:bottom w:val="none" w:sz="0" w:space="0" w:color="auto"/>
        <w:right w:val="none" w:sz="0" w:space="0" w:color="auto"/>
      </w:divBdr>
    </w:div>
    <w:div w:id="117183056">
      <w:bodyDiv w:val="1"/>
      <w:marLeft w:val="0"/>
      <w:marRight w:val="0"/>
      <w:marTop w:val="0"/>
      <w:marBottom w:val="0"/>
      <w:divBdr>
        <w:top w:val="none" w:sz="0" w:space="0" w:color="auto"/>
        <w:left w:val="none" w:sz="0" w:space="0" w:color="auto"/>
        <w:bottom w:val="none" w:sz="0" w:space="0" w:color="auto"/>
        <w:right w:val="none" w:sz="0" w:space="0" w:color="auto"/>
      </w:divBdr>
    </w:div>
    <w:div w:id="118912087">
      <w:bodyDiv w:val="1"/>
      <w:marLeft w:val="0"/>
      <w:marRight w:val="0"/>
      <w:marTop w:val="0"/>
      <w:marBottom w:val="0"/>
      <w:divBdr>
        <w:top w:val="none" w:sz="0" w:space="0" w:color="auto"/>
        <w:left w:val="none" w:sz="0" w:space="0" w:color="auto"/>
        <w:bottom w:val="none" w:sz="0" w:space="0" w:color="auto"/>
        <w:right w:val="none" w:sz="0" w:space="0" w:color="auto"/>
      </w:divBdr>
    </w:div>
    <w:div w:id="121122410">
      <w:bodyDiv w:val="1"/>
      <w:marLeft w:val="0"/>
      <w:marRight w:val="0"/>
      <w:marTop w:val="0"/>
      <w:marBottom w:val="0"/>
      <w:divBdr>
        <w:top w:val="none" w:sz="0" w:space="0" w:color="auto"/>
        <w:left w:val="none" w:sz="0" w:space="0" w:color="auto"/>
        <w:bottom w:val="none" w:sz="0" w:space="0" w:color="auto"/>
        <w:right w:val="none" w:sz="0" w:space="0" w:color="auto"/>
      </w:divBdr>
    </w:div>
    <w:div w:id="136146025">
      <w:bodyDiv w:val="1"/>
      <w:marLeft w:val="0"/>
      <w:marRight w:val="0"/>
      <w:marTop w:val="0"/>
      <w:marBottom w:val="0"/>
      <w:divBdr>
        <w:top w:val="none" w:sz="0" w:space="0" w:color="auto"/>
        <w:left w:val="none" w:sz="0" w:space="0" w:color="auto"/>
        <w:bottom w:val="none" w:sz="0" w:space="0" w:color="auto"/>
        <w:right w:val="none" w:sz="0" w:space="0" w:color="auto"/>
      </w:divBdr>
    </w:div>
    <w:div w:id="137960267">
      <w:bodyDiv w:val="1"/>
      <w:marLeft w:val="0"/>
      <w:marRight w:val="0"/>
      <w:marTop w:val="0"/>
      <w:marBottom w:val="0"/>
      <w:divBdr>
        <w:top w:val="none" w:sz="0" w:space="0" w:color="auto"/>
        <w:left w:val="none" w:sz="0" w:space="0" w:color="auto"/>
        <w:bottom w:val="none" w:sz="0" w:space="0" w:color="auto"/>
        <w:right w:val="none" w:sz="0" w:space="0" w:color="auto"/>
      </w:divBdr>
    </w:div>
    <w:div w:id="144007580">
      <w:bodyDiv w:val="1"/>
      <w:marLeft w:val="0"/>
      <w:marRight w:val="0"/>
      <w:marTop w:val="0"/>
      <w:marBottom w:val="0"/>
      <w:divBdr>
        <w:top w:val="none" w:sz="0" w:space="0" w:color="auto"/>
        <w:left w:val="none" w:sz="0" w:space="0" w:color="auto"/>
        <w:bottom w:val="none" w:sz="0" w:space="0" w:color="auto"/>
        <w:right w:val="none" w:sz="0" w:space="0" w:color="auto"/>
      </w:divBdr>
    </w:div>
    <w:div w:id="145241710">
      <w:bodyDiv w:val="1"/>
      <w:marLeft w:val="0"/>
      <w:marRight w:val="0"/>
      <w:marTop w:val="0"/>
      <w:marBottom w:val="0"/>
      <w:divBdr>
        <w:top w:val="none" w:sz="0" w:space="0" w:color="auto"/>
        <w:left w:val="none" w:sz="0" w:space="0" w:color="auto"/>
        <w:bottom w:val="none" w:sz="0" w:space="0" w:color="auto"/>
        <w:right w:val="none" w:sz="0" w:space="0" w:color="auto"/>
      </w:divBdr>
    </w:div>
    <w:div w:id="156964925">
      <w:bodyDiv w:val="1"/>
      <w:marLeft w:val="0"/>
      <w:marRight w:val="0"/>
      <w:marTop w:val="0"/>
      <w:marBottom w:val="0"/>
      <w:divBdr>
        <w:top w:val="none" w:sz="0" w:space="0" w:color="auto"/>
        <w:left w:val="none" w:sz="0" w:space="0" w:color="auto"/>
        <w:bottom w:val="none" w:sz="0" w:space="0" w:color="auto"/>
        <w:right w:val="none" w:sz="0" w:space="0" w:color="auto"/>
      </w:divBdr>
    </w:div>
    <w:div w:id="162547516">
      <w:bodyDiv w:val="1"/>
      <w:marLeft w:val="0"/>
      <w:marRight w:val="0"/>
      <w:marTop w:val="0"/>
      <w:marBottom w:val="0"/>
      <w:divBdr>
        <w:top w:val="none" w:sz="0" w:space="0" w:color="auto"/>
        <w:left w:val="none" w:sz="0" w:space="0" w:color="auto"/>
        <w:bottom w:val="none" w:sz="0" w:space="0" w:color="auto"/>
        <w:right w:val="none" w:sz="0" w:space="0" w:color="auto"/>
      </w:divBdr>
    </w:div>
    <w:div w:id="167135749">
      <w:bodyDiv w:val="1"/>
      <w:marLeft w:val="0"/>
      <w:marRight w:val="0"/>
      <w:marTop w:val="0"/>
      <w:marBottom w:val="0"/>
      <w:divBdr>
        <w:top w:val="none" w:sz="0" w:space="0" w:color="auto"/>
        <w:left w:val="none" w:sz="0" w:space="0" w:color="auto"/>
        <w:bottom w:val="none" w:sz="0" w:space="0" w:color="auto"/>
        <w:right w:val="none" w:sz="0" w:space="0" w:color="auto"/>
      </w:divBdr>
    </w:div>
    <w:div w:id="168639494">
      <w:bodyDiv w:val="1"/>
      <w:marLeft w:val="0"/>
      <w:marRight w:val="0"/>
      <w:marTop w:val="0"/>
      <w:marBottom w:val="0"/>
      <w:divBdr>
        <w:top w:val="none" w:sz="0" w:space="0" w:color="auto"/>
        <w:left w:val="none" w:sz="0" w:space="0" w:color="auto"/>
        <w:bottom w:val="none" w:sz="0" w:space="0" w:color="auto"/>
        <w:right w:val="none" w:sz="0" w:space="0" w:color="auto"/>
      </w:divBdr>
    </w:div>
    <w:div w:id="169416334">
      <w:bodyDiv w:val="1"/>
      <w:marLeft w:val="0"/>
      <w:marRight w:val="0"/>
      <w:marTop w:val="0"/>
      <w:marBottom w:val="0"/>
      <w:divBdr>
        <w:top w:val="none" w:sz="0" w:space="0" w:color="auto"/>
        <w:left w:val="none" w:sz="0" w:space="0" w:color="auto"/>
        <w:bottom w:val="none" w:sz="0" w:space="0" w:color="auto"/>
        <w:right w:val="none" w:sz="0" w:space="0" w:color="auto"/>
      </w:divBdr>
    </w:div>
    <w:div w:id="172570360">
      <w:bodyDiv w:val="1"/>
      <w:marLeft w:val="0"/>
      <w:marRight w:val="0"/>
      <w:marTop w:val="0"/>
      <w:marBottom w:val="0"/>
      <w:divBdr>
        <w:top w:val="none" w:sz="0" w:space="0" w:color="auto"/>
        <w:left w:val="none" w:sz="0" w:space="0" w:color="auto"/>
        <w:bottom w:val="none" w:sz="0" w:space="0" w:color="auto"/>
        <w:right w:val="none" w:sz="0" w:space="0" w:color="auto"/>
      </w:divBdr>
    </w:div>
    <w:div w:id="172696419">
      <w:bodyDiv w:val="1"/>
      <w:marLeft w:val="0"/>
      <w:marRight w:val="0"/>
      <w:marTop w:val="0"/>
      <w:marBottom w:val="0"/>
      <w:divBdr>
        <w:top w:val="none" w:sz="0" w:space="0" w:color="auto"/>
        <w:left w:val="none" w:sz="0" w:space="0" w:color="auto"/>
        <w:bottom w:val="none" w:sz="0" w:space="0" w:color="auto"/>
        <w:right w:val="none" w:sz="0" w:space="0" w:color="auto"/>
      </w:divBdr>
    </w:div>
    <w:div w:id="175192651">
      <w:bodyDiv w:val="1"/>
      <w:marLeft w:val="0"/>
      <w:marRight w:val="0"/>
      <w:marTop w:val="0"/>
      <w:marBottom w:val="0"/>
      <w:divBdr>
        <w:top w:val="none" w:sz="0" w:space="0" w:color="auto"/>
        <w:left w:val="none" w:sz="0" w:space="0" w:color="auto"/>
        <w:bottom w:val="none" w:sz="0" w:space="0" w:color="auto"/>
        <w:right w:val="none" w:sz="0" w:space="0" w:color="auto"/>
      </w:divBdr>
    </w:div>
    <w:div w:id="200436832">
      <w:bodyDiv w:val="1"/>
      <w:marLeft w:val="0"/>
      <w:marRight w:val="0"/>
      <w:marTop w:val="0"/>
      <w:marBottom w:val="0"/>
      <w:divBdr>
        <w:top w:val="none" w:sz="0" w:space="0" w:color="auto"/>
        <w:left w:val="none" w:sz="0" w:space="0" w:color="auto"/>
        <w:bottom w:val="none" w:sz="0" w:space="0" w:color="auto"/>
        <w:right w:val="none" w:sz="0" w:space="0" w:color="auto"/>
      </w:divBdr>
    </w:div>
    <w:div w:id="202644307">
      <w:bodyDiv w:val="1"/>
      <w:marLeft w:val="0"/>
      <w:marRight w:val="0"/>
      <w:marTop w:val="0"/>
      <w:marBottom w:val="0"/>
      <w:divBdr>
        <w:top w:val="none" w:sz="0" w:space="0" w:color="auto"/>
        <w:left w:val="none" w:sz="0" w:space="0" w:color="auto"/>
        <w:bottom w:val="none" w:sz="0" w:space="0" w:color="auto"/>
        <w:right w:val="none" w:sz="0" w:space="0" w:color="auto"/>
      </w:divBdr>
    </w:div>
    <w:div w:id="207228999">
      <w:bodyDiv w:val="1"/>
      <w:marLeft w:val="0"/>
      <w:marRight w:val="0"/>
      <w:marTop w:val="0"/>
      <w:marBottom w:val="0"/>
      <w:divBdr>
        <w:top w:val="none" w:sz="0" w:space="0" w:color="auto"/>
        <w:left w:val="none" w:sz="0" w:space="0" w:color="auto"/>
        <w:bottom w:val="none" w:sz="0" w:space="0" w:color="auto"/>
        <w:right w:val="none" w:sz="0" w:space="0" w:color="auto"/>
      </w:divBdr>
    </w:div>
    <w:div w:id="215362553">
      <w:bodyDiv w:val="1"/>
      <w:marLeft w:val="0"/>
      <w:marRight w:val="0"/>
      <w:marTop w:val="0"/>
      <w:marBottom w:val="0"/>
      <w:divBdr>
        <w:top w:val="none" w:sz="0" w:space="0" w:color="auto"/>
        <w:left w:val="none" w:sz="0" w:space="0" w:color="auto"/>
        <w:bottom w:val="none" w:sz="0" w:space="0" w:color="auto"/>
        <w:right w:val="none" w:sz="0" w:space="0" w:color="auto"/>
      </w:divBdr>
    </w:div>
    <w:div w:id="221139611">
      <w:bodyDiv w:val="1"/>
      <w:marLeft w:val="0"/>
      <w:marRight w:val="0"/>
      <w:marTop w:val="0"/>
      <w:marBottom w:val="0"/>
      <w:divBdr>
        <w:top w:val="none" w:sz="0" w:space="0" w:color="auto"/>
        <w:left w:val="none" w:sz="0" w:space="0" w:color="auto"/>
        <w:bottom w:val="none" w:sz="0" w:space="0" w:color="auto"/>
        <w:right w:val="none" w:sz="0" w:space="0" w:color="auto"/>
      </w:divBdr>
    </w:div>
    <w:div w:id="221991819">
      <w:bodyDiv w:val="1"/>
      <w:marLeft w:val="0"/>
      <w:marRight w:val="0"/>
      <w:marTop w:val="0"/>
      <w:marBottom w:val="0"/>
      <w:divBdr>
        <w:top w:val="none" w:sz="0" w:space="0" w:color="auto"/>
        <w:left w:val="none" w:sz="0" w:space="0" w:color="auto"/>
        <w:bottom w:val="none" w:sz="0" w:space="0" w:color="auto"/>
        <w:right w:val="none" w:sz="0" w:space="0" w:color="auto"/>
      </w:divBdr>
    </w:div>
    <w:div w:id="222644655">
      <w:bodyDiv w:val="1"/>
      <w:marLeft w:val="0"/>
      <w:marRight w:val="0"/>
      <w:marTop w:val="0"/>
      <w:marBottom w:val="0"/>
      <w:divBdr>
        <w:top w:val="none" w:sz="0" w:space="0" w:color="auto"/>
        <w:left w:val="none" w:sz="0" w:space="0" w:color="auto"/>
        <w:bottom w:val="none" w:sz="0" w:space="0" w:color="auto"/>
        <w:right w:val="none" w:sz="0" w:space="0" w:color="auto"/>
      </w:divBdr>
    </w:div>
    <w:div w:id="225410475">
      <w:bodyDiv w:val="1"/>
      <w:marLeft w:val="0"/>
      <w:marRight w:val="0"/>
      <w:marTop w:val="0"/>
      <w:marBottom w:val="0"/>
      <w:divBdr>
        <w:top w:val="none" w:sz="0" w:space="0" w:color="auto"/>
        <w:left w:val="none" w:sz="0" w:space="0" w:color="auto"/>
        <w:bottom w:val="none" w:sz="0" w:space="0" w:color="auto"/>
        <w:right w:val="none" w:sz="0" w:space="0" w:color="auto"/>
      </w:divBdr>
    </w:div>
    <w:div w:id="234630254">
      <w:bodyDiv w:val="1"/>
      <w:marLeft w:val="0"/>
      <w:marRight w:val="0"/>
      <w:marTop w:val="0"/>
      <w:marBottom w:val="0"/>
      <w:divBdr>
        <w:top w:val="none" w:sz="0" w:space="0" w:color="auto"/>
        <w:left w:val="none" w:sz="0" w:space="0" w:color="auto"/>
        <w:bottom w:val="none" w:sz="0" w:space="0" w:color="auto"/>
        <w:right w:val="none" w:sz="0" w:space="0" w:color="auto"/>
      </w:divBdr>
    </w:div>
    <w:div w:id="234630427">
      <w:bodyDiv w:val="1"/>
      <w:marLeft w:val="0"/>
      <w:marRight w:val="0"/>
      <w:marTop w:val="0"/>
      <w:marBottom w:val="0"/>
      <w:divBdr>
        <w:top w:val="none" w:sz="0" w:space="0" w:color="auto"/>
        <w:left w:val="none" w:sz="0" w:space="0" w:color="auto"/>
        <w:bottom w:val="none" w:sz="0" w:space="0" w:color="auto"/>
        <w:right w:val="none" w:sz="0" w:space="0" w:color="auto"/>
      </w:divBdr>
    </w:div>
    <w:div w:id="235096285">
      <w:bodyDiv w:val="1"/>
      <w:marLeft w:val="0"/>
      <w:marRight w:val="0"/>
      <w:marTop w:val="0"/>
      <w:marBottom w:val="0"/>
      <w:divBdr>
        <w:top w:val="none" w:sz="0" w:space="0" w:color="auto"/>
        <w:left w:val="none" w:sz="0" w:space="0" w:color="auto"/>
        <w:bottom w:val="none" w:sz="0" w:space="0" w:color="auto"/>
        <w:right w:val="none" w:sz="0" w:space="0" w:color="auto"/>
      </w:divBdr>
    </w:div>
    <w:div w:id="248662234">
      <w:bodyDiv w:val="1"/>
      <w:marLeft w:val="0"/>
      <w:marRight w:val="0"/>
      <w:marTop w:val="0"/>
      <w:marBottom w:val="0"/>
      <w:divBdr>
        <w:top w:val="none" w:sz="0" w:space="0" w:color="auto"/>
        <w:left w:val="none" w:sz="0" w:space="0" w:color="auto"/>
        <w:bottom w:val="none" w:sz="0" w:space="0" w:color="auto"/>
        <w:right w:val="none" w:sz="0" w:space="0" w:color="auto"/>
      </w:divBdr>
    </w:div>
    <w:div w:id="252278053">
      <w:bodyDiv w:val="1"/>
      <w:marLeft w:val="0"/>
      <w:marRight w:val="0"/>
      <w:marTop w:val="0"/>
      <w:marBottom w:val="0"/>
      <w:divBdr>
        <w:top w:val="none" w:sz="0" w:space="0" w:color="auto"/>
        <w:left w:val="none" w:sz="0" w:space="0" w:color="auto"/>
        <w:bottom w:val="none" w:sz="0" w:space="0" w:color="auto"/>
        <w:right w:val="none" w:sz="0" w:space="0" w:color="auto"/>
      </w:divBdr>
    </w:div>
    <w:div w:id="258605649">
      <w:bodyDiv w:val="1"/>
      <w:marLeft w:val="0"/>
      <w:marRight w:val="0"/>
      <w:marTop w:val="0"/>
      <w:marBottom w:val="0"/>
      <w:divBdr>
        <w:top w:val="none" w:sz="0" w:space="0" w:color="auto"/>
        <w:left w:val="none" w:sz="0" w:space="0" w:color="auto"/>
        <w:bottom w:val="none" w:sz="0" w:space="0" w:color="auto"/>
        <w:right w:val="none" w:sz="0" w:space="0" w:color="auto"/>
      </w:divBdr>
    </w:div>
    <w:div w:id="259342723">
      <w:bodyDiv w:val="1"/>
      <w:marLeft w:val="0"/>
      <w:marRight w:val="0"/>
      <w:marTop w:val="0"/>
      <w:marBottom w:val="0"/>
      <w:divBdr>
        <w:top w:val="none" w:sz="0" w:space="0" w:color="auto"/>
        <w:left w:val="none" w:sz="0" w:space="0" w:color="auto"/>
        <w:bottom w:val="none" w:sz="0" w:space="0" w:color="auto"/>
        <w:right w:val="none" w:sz="0" w:space="0" w:color="auto"/>
      </w:divBdr>
    </w:div>
    <w:div w:id="261039438">
      <w:bodyDiv w:val="1"/>
      <w:marLeft w:val="0"/>
      <w:marRight w:val="0"/>
      <w:marTop w:val="0"/>
      <w:marBottom w:val="0"/>
      <w:divBdr>
        <w:top w:val="none" w:sz="0" w:space="0" w:color="auto"/>
        <w:left w:val="none" w:sz="0" w:space="0" w:color="auto"/>
        <w:bottom w:val="none" w:sz="0" w:space="0" w:color="auto"/>
        <w:right w:val="none" w:sz="0" w:space="0" w:color="auto"/>
      </w:divBdr>
    </w:div>
    <w:div w:id="261766869">
      <w:bodyDiv w:val="1"/>
      <w:marLeft w:val="0"/>
      <w:marRight w:val="0"/>
      <w:marTop w:val="0"/>
      <w:marBottom w:val="0"/>
      <w:divBdr>
        <w:top w:val="none" w:sz="0" w:space="0" w:color="auto"/>
        <w:left w:val="none" w:sz="0" w:space="0" w:color="auto"/>
        <w:bottom w:val="none" w:sz="0" w:space="0" w:color="auto"/>
        <w:right w:val="none" w:sz="0" w:space="0" w:color="auto"/>
      </w:divBdr>
    </w:div>
    <w:div w:id="263197211">
      <w:bodyDiv w:val="1"/>
      <w:marLeft w:val="0"/>
      <w:marRight w:val="0"/>
      <w:marTop w:val="0"/>
      <w:marBottom w:val="0"/>
      <w:divBdr>
        <w:top w:val="none" w:sz="0" w:space="0" w:color="auto"/>
        <w:left w:val="none" w:sz="0" w:space="0" w:color="auto"/>
        <w:bottom w:val="none" w:sz="0" w:space="0" w:color="auto"/>
        <w:right w:val="none" w:sz="0" w:space="0" w:color="auto"/>
      </w:divBdr>
    </w:div>
    <w:div w:id="267587743">
      <w:bodyDiv w:val="1"/>
      <w:marLeft w:val="0"/>
      <w:marRight w:val="0"/>
      <w:marTop w:val="0"/>
      <w:marBottom w:val="0"/>
      <w:divBdr>
        <w:top w:val="none" w:sz="0" w:space="0" w:color="auto"/>
        <w:left w:val="none" w:sz="0" w:space="0" w:color="auto"/>
        <w:bottom w:val="none" w:sz="0" w:space="0" w:color="auto"/>
        <w:right w:val="none" w:sz="0" w:space="0" w:color="auto"/>
      </w:divBdr>
    </w:div>
    <w:div w:id="268392800">
      <w:bodyDiv w:val="1"/>
      <w:marLeft w:val="0"/>
      <w:marRight w:val="0"/>
      <w:marTop w:val="0"/>
      <w:marBottom w:val="0"/>
      <w:divBdr>
        <w:top w:val="none" w:sz="0" w:space="0" w:color="auto"/>
        <w:left w:val="none" w:sz="0" w:space="0" w:color="auto"/>
        <w:bottom w:val="none" w:sz="0" w:space="0" w:color="auto"/>
        <w:right w:val="none" w:sz="0" w:space="0" w:color="auto"/>
      </w:divBdr>
    </w:div>
    <w:div w:id="269163020">
      <w:bodyDiv w:val="1"/>
      <w:marLeft w:val="0"/>
      <w:marRight w:val="0"/>
      <w:marTop w:val="0"/>
      <w:marBottom w:val="0"/>
      <w:divBdr>
        <w:top w:val="none" w:sz="0" w:space="0" w:color="auto"/>
        <w:left w:val="none" w:sz="0" w:space="0" w:color="auto"/>
        <w:bottom w:val="none" w:sz="0" w:space="0" w:color="auto"/>
        <w:right w:val="none" w:sz="0" w:space="0" w:color="auto"/>
      </w:divBdr>
    </w:div>
    <w:div w:id="273824957">
      <w:bodyDiv w:val="1"/>
      <w:marLeft w:val="0"/>
      <w:marRight w:val="0"/>
      <w:marTop w:val="0"/>
      <w:marBottom w:val="0"/>
      <w:divBdr>
        <w:top w:val="none" w:sz="0" w:space="0" w:color="auto"/>
        <w:left w:val="none" w:sz="0" w:space="0" w:color="auto"/>
        <w:bottom w:val="none" w:sz="0" w:space="0" w:color="auto"/>
        <w:right w:val="none" w:sz="0" w:space="0" w:color="auto"/>
      </w:divBdr>
    </w:div>
    <w:div w:id="274794549">
      <w:bodyDiv w:val="1"/>
      <w:marLeft w:val="0"/>
      <w:marRight w:val="0"/>
      <w:marTop w:val="0"/>
      <w:marBottom w:val="0"/>
      <w:divBdr>
        <w:top w:val="none" w:sz="0" w:space="0" w:color="auto"/>
        <w:left w:val="none" w:sz="0" w:space="0" w:color="auto"/>
        <w:bottom w:val="none" w:sz="0" w:space="0" w:color="auto"/>
        <w:right w:val="none" w:sz="0" w:space="0" w:color="auto"/>
      </w:divBdr>
    </w:div>
    <w:div w:id="278801820">
      <w:bodyDiv w:val="1"/>
      <w:marLeft w:val="0"/>
      <w:marRight w:val="0"/>
      <w:marTop w:val="0"/>
      <w:marBottom w:val="0"/>
      <w:divBdr>
        <w:top w:val="none" w:sz="0" w:space="0" w:color="auto"/>
        <w:left w:val="none" w:sz="0" w:space="0" w:color="auto"/>
        <w:bottom w:val="none" w:sz="0" w:space="0" w:color="auto"/>
        <w:right w:val="none" w:sz="0" w:space="0" w:color="auto"/>
      </w:divBdr>
    </w:div>
    <w:div w:id="280110309">
      <w:bodyDiv w:val="1"/>
      <w:marLeft w:val="0"/>
      <w:marRight w:val="0"/>
      <w:marTop w:val="0"/>
      <w:marBottom w:val="0"/>
      <w:divBdr>
        <w:top w:val="none" w:sz="0" w:space="0" w:color="auto"/>
        <w:left w:val="none" w:sz="0" w:space="0" w:color="auto"/>
        <w:bottom w:val="none" w:sz="0" w:space="0" w:color="auto"/>
        <w:right w:val="none" w:sz="0" w:space="0" w:color="auto"/>
      </w:divBdr>
    </w:div>
    <w:div w:id="280648814">
      <w:bodyDiv w:val="1"/>
      <w:marLeft w:val="0"/>
      <w:marRight w:val="0"/>
      <w:marTop w:val="0"/>
      <w:marBottom w:val="0"/>
      <w:divBdr>
        <w:top w:val="none" w:sz="0" w:space="0" w:color="auto"/>
        <w:left w:val="none" w:sz="0" w:space="0" w:color="auto"/>
        <w:bottom w:val="none" w:sz="0" w:space="0" w:color="auto"/>
        <w:right w:val="none" w:sz="0" w:space="0" w:color="auto"/>
      </w:divBdr>
    </w:div>
    <w:div w:id="281690075">
      <w:bodyDiv w:val="1"/>
      <w:marLeft w:val="0"/>
      <w:marRight w:val="0"/>
      <w:marTop w:val="0"/>
      <w:marBottom w:val="0"/>
      <w:divBdr>
        <w:top w:val="none" w:sz="0" w:space="0" w:color="auto"/>
        <w:left w:val="none" w:sz="0" w:space="0" w:color="auto"/>
        <w:bottom w:val="none" w:sz="0" w:space="0" w:color="auto"/>
        <w:right w:val="none" w:sz="0" w:space="0" w:color="auto"/>
      </w:divBdr>
    </w:div>
    <w:div w:id="295068497">
      <w:bodyDiv w:val="1"/>
      <w:marLeft w:val="0"/>
      <w:marRight w:val="0"/>
      <w:marTop w:val="0"/>
      <w:marBottom w:val="0"/>
      <w:divBdr>
        <w:top w:val="none" w:sz="0" w:space="0" w:color="auto"/>
        <w:left w:val="none" w:sz="0" w:space="0" w:color="auto"/>
        <w:bottom w:val="none" w:sz="0" w:space="0" w:color="auto"/>
        <w:right w:val="none" w:sz="0" w:space="0" w:color="auto"/>
      </w:divBdr>
    </w:div>
    <w:div w:id="296223149">
      <w:bodyDiv w:val="1"/>
      <w:marLeft w:val="0"/>
      <w:marRight w:val="0"/>
      <w:marTop w:val="0"/>
      <w:marBottom w:val="0"/>
      <w:divBdr>
        <w:top w:val="none" w:sz="0" w:space="0" w:color="auto"/>
        <w:left w:val="none" w:sz="0" w:space="0" w:color="auto"/>
        <w:bottom w:val="none" w:sz="0" w:space="0" w:color="auto"/>
        <w:right w:val="none" w:sz="0" w:space="0" w:color="auto"/>
      </w:divBdr>
    </w:div>
    <w:div w:id="300233224">
      <w:bodyDiv w:val="1"/>
      <w:marLeft w:val="0"/>
      <w:marRight w:val="0"/>
      <w:marTop w:val="0"/>
      <w:marBottom w:val="0"/>
      <w:divBdr>
        <w:top w:val="none" w:sz="0" w:space="0" w:color="auto"/>
        <w:left w:val="none" w:sz="0" w:space="0" w:color="auto"/>
        <w:bottom w:val="none" w:sz="0" w:space="0" w:color="auto"/>
        <w:right w:val="none" w:sz="0" w:space="0" w:color="auto"/>
      </w:divBdr>
    </w:div>
    <w:div w:id="302663387">
      <w:bodyDiv w:val="1"/>
      <w:marLeft w:val="0"/>
      <w:marRight w:val="0"/>
      <w:marTop w:val="0"/>
      <w:marBottom w:val="0"/>
      <w:divBdr>
        <w:top w:val="none" w:sz="0" w:space="0" w:color="auto"/>
        <w:left w:val="none" w:sz="0" w:space="0" w:color="auto"/>
        <w:bottom w:val="none" w:sz="0" w:space="0" w:color="auto"/>
        <w:right w:val="none" w:sz="0" w:space="0" w:color="auto"/>
      </w:divBdr>
    </w:div>
    <w:div w:id="308097949">
      <w:bodyDiv w:val="1"/>
      <w:marLeft w:val="0"/>
      <w:marRight w:val="0"/>
      <w:marTop w:val="0"/>
      <w:marBottom w:val="0"/>
      <w:divBdr>
        <w:top w:val="none" w:sz="0" w:space="0" w:color="auto"/>
        <w:left w:val="none" w:sz="0" w:space="0" w:color="auto"/>
        <w:bottom w:val="none" w:sz="0" w:space="0" w:color="auto"/>
        <w:right w:val="none" w:sz="0" w:space="0" w:color="auto"/>
      </w:divBdr>
    </w:div>
    <w:div w:id="309485920">
      <w:bodyDiv w:val="1"/>
      <w:marLeft w:val="0"/>
      <w:marRight w:val="0"/>
      <w:marTop w:val="0"/>
      <w:marBottom w:val="0"/>
      <w:divBdr>
        <w:top w:val="none" w:sz="0" w:space="0" w:color="auto"/>
        <w:left w:val="none" w:sz="0" w:space="0" w:color="auto"/>
        <w:bottom w:val="none" w:sz="0" w:space="0" w:color="auto"/>
        <w:right w:val="none" w:sz="0" w:space="0" w:color="auto"/>
      </w:divBdr>
    </w:div>
    <w:div w:id="309599724">
      <w:bodyDiv w:val="1"/>
      <w:marLeft w:val="0"/>
      <w:marRight w:val="0"/>
      <w:marTop w:val="0"/>
      <w:marBottom w:val="0"/>
      <w:divBdr>
        <w:top w:val="none" w:sz="0" w:space="0" w:color="auto"/>
        <w:left w:val="none" w:sz="0" w:space="0" w:color="auto"/>
        <w:bottom w:val="none" w:sz="0" w:space="0" w:color="auto"/>
        <w:right w:val="none" w:sz="0" w:space="0" w:color="auto"/>
      </w:divBdr>
    </w:div>
    <w:div w:id="311908437">
      <w:bodyDiv w:val="1"/>
      <w:marLeft w:val="0"/>
      <w:marRight w:val="0"/>
      <w:marTop w:val="0"/>
      <w:marBottom w:val="0"/>
      <w:divBdr>
        <w:top w:val="none" w:sz="0" w:space="0" w:color="auto"/>
        <w:left w:val="none" w:sz="0" w:space="0" w:color="auto"/>
        <w:bottom w:val="none" w:sz="0" w:space="0" w:color="auto"/>
        <w:right w:val="none" w:sz="0" w:space="0" w:color="auto"/>
      </w:divBdr>
    </w:div>
    <w:div w:id="321812563">
      <w:bodyDiv w:val="1"/>
      <w:marLeft w:val="0"/>
      <w:marRight w:val="0"/>
      <w:marTop w:val="0"/>
      <w:marBottom w:val="0"/>
      <w:divBdr>
        <w:top w:val="none" w:sz="0" w:space="0" w:color="auto"/>
        <w:left w:val="none" w:sz="0" w:space="0" w:color="auto"/>
        <w:bottom w:val="none" w:sz="0" w:space="0" w:color="auto"/>
        <w:right w:val="none" w:sz="0" w:space="0" w:color="auto"/>
      </w:divBdr>
    </w:div>
    <w:div w:id="330568405">
      <w:bodyDiv w:val="1"/>
      <w:marLeft w:val="0"/>
      <w:marRight w:val="0"/>
      <w:marTop w:val="0"/>
      <w:marBottom w:val="0"/>
      <w:divBdr>
        <w:top w:val="none" w:sz="0" w:space="0" w:color="auto"/>
        <w:left w:val="none" w:sz="0" w:space="0" w:color="auto"/>
        <w:bottom w:val="none" w:sz="0" w:space="0" w:color="auto"/>
        <w:right w:val="none" w:sz="0" w:space="0" w:color="auto"/>
      </w:divBdr>
    </w:div>
    <w:div w:id="339161816">
      <w:bodyDiv w:val="1"/>
      <w:marLeft w:val="0"/>
      <w:marRight w:val="0"/>
      <w:marTop w:val="0"/>
      <w:marBottom w:val="0"/>
      <w:divBdr>
        <w:top w:val="none" w:sz="0" w:space="0" w:color="auto"/>
        <w:left w:val="none" w:sz="0" w:space="0" w:color="auto"/>
        <w:bottom w:val="none" w:sz="0" w:space="0" w:color="auto"/>
        <w:right w:val="none" w:sz="0" w:space="0" w:color="auto"/>
      </w:divBdr>
    </w:div>
    <w:div w:id="353070128">
      <w:bodyDiv w:val="1"/>
      <w:marLeft w:val="0"/>
      <w:marRight w:val="0"/>
      <w:marTop w:val="0"/>
      <w:marBottom w:val="0"/>
      <w:divBdr>
        <w:top w:val="none" w:sz="0" w:space="0" w:color="auto"/>
        <w:left w:val="none" w:sz="0" w:space="0" w:color="auto"/>
        <w:bottom w:val="none" w:sz="0" w:space="0" w:color="auto"/>
        <w:right w:val="none" w:sz="0" w:space="0" w:color="auto"/>
      </w:divBdr>
    </w:div>
    <w:div w:id="356658167">
      <w:bodyDiv w:val="1"/>
      <w:marLeft w:val="0"/>
      <w:marRight w:val="0"/>
      <w:marTop w:val="0"/>
      <w:marBottom w:val="0"/>
      <w:divBdr>
        <w:top w:val="none" w:sz="0" w:space="0" w:color="auto"/>
        <w:left w:val="none" w:sz="0" w:space="0" w:color="auto"/>
        <w:bottom w:val="none" w:sz="0" w:space="0" w:color="auto"/>
        <w:right w:val="none" w:sz="0" w:space="0" w:color="auto"/>
      </w:divBdr>
    </w:div>
    <w:div w:id="370883816">
      <w:bodyDiv w:val="1"/>
      <w:marLeft w:val="0"/>
      <w:marRight w:val="0"/>
      <w:marTop w:val="0"/>
      <w:marBottom w:val="0"/>
      <w:divBdr>
        <w:top w:val="none" w:sz="0" w:space="0" w:color="auto"/>
        <w:left w:val="none" w:sz="0" w:space="0" w:color="auto"/>
        <w:bottom w:val="none" w:sz="0" w:space="0" w:color="auto"/>
        <w:right w:val="none" w:sz="0" w:space="0" w:color="auto"/>
      </w:divBdr>
    </w:div>
    <w:div w:id="380596006">
      <w:bodyDiv w:val="1"/>
      <w:marLeft w:val="0"/>
      <w:marRight w:val="0"/>
      <w:marTop w:val="0"/>
      <w:marBottom w:val="0"/>
      <w:divBdr>
        <w:top w:val="none" w:sz="0" w:space="0" w:color="auto"/>
        <w:left w:val="none" w:sz="0" w:space="0" w:color="auto"/>
        <w:bottom w:val="none" w:sz="0" w:space="0" w:color="auto"/>
        <w:right w:val="none" w:sz="0" w:space="0" w:color="auto"/>
      </w:divBdr>
    </w:div>
    <w:div w:id="382367864">
      <w:bodyDiv w:val="1"/>
      <w:marLeft w:val="0"/>
      <w:marRight w:val="0"/>
      <w:marTop w:val="0"/>
      <w:marBottom w:val="0"/>
      <w:divBdr>
        <w:top w:val="none" w:sz="0" w:space="0" w:color="auto"/>
        <w:left w:val="none" w:sz="0" w:space="0" w:color="auto"/>
        <w:bottom w:val="none" w:sz="0" w:space="0" w:color="auto"/>
        <w:right w:val="none" w:sz="0" w:space="0" w:color="auto"/>
      </w:divBdr>
    </w:div>
    <w:div w:id="384529880">
      <w:bodyDiv w:val="1"/>
      <w:marLeft w:val="0"/>
      <w:marRight w:val="0"/>
      <w:marTop w:val="0"/>
      <w:marBottom w:val="0"/>
      <w:divBdr>
        <w:top w:val="none" w:sz="0" w:space="0" w:color="auto"/>
        <w:left w:val="none" w:sz="0" w:space="0" w:color="auto"/>
        <w:bottom w:val="none" w:sz="0" w:space="0" w:color="auto"/>
        <w:right w:val="none" w:sz="0" w:space="0" w:color="auto"/>
      </w:divBdr>
    </w:div>
    <w:div w:id="386033863">
      <w:bodyDiv w:val="1"/>
      <w:marLeft w:val="0"/>
      <w:marRight w:val="0"/>
      <w:marTop w:val="0"/>
      <w:marBottom w:val="0"/>
      <w:divBdr>
        <w:top w:val="none" w:sz="0" w:space="0" w:color="auto"/>
        <w:left w:val="none" w:sz="0" w:space="0" w:color="auto"/>
        <w:bottom w:val="none" w:sz="0" w:space="0" w:color="auto"/>
        <w:right w:val="none" w:sz="0" w:space="0" w:color="auto"/>
      </w:divBdr>
    </w:div>
    <w:div w:id="386757182">
      <w:bodyDiv w:val="1"/>
      <w:marLeft w:val="0"/>
      <w:marRight w:val="0"/>
      <w:marTop w:val="0"/>
      <w:marBottom w:val="0"/>
      <w:divBdr>
        <w:top w:val="none" w:sz="0" w:space="0" w:color="auto"/>
        <w:left w:val="none" w:sz="0" w:space="0" w:color="auto"/>
        <w:bottom w:val="none" w:sz="0" w:space="0" w:color="auto"/>
        <w:right w:val="none" w:sz="0" w:space="0" w:color="auto"/>
      </w:divBdr>
    </w:div>
    <w:div w:id="393478360">
      <w:bodyDiv w:val="1"/>
      <w:marLeft w:val="0"/>
      <w:marRight w:val="0"/>
      <w:marTop w:val="0"/>
      <w:marBottom w:val="0"/>
      <w:divBdr>
        <w:top w:val="none" w:sz="0" w:space="0" w:color="auto"/>
        <w:left w:val="none" w:sz="0" w:space="0" w:color="auto"/>
        <w:bottom w:val="none" w:sz="0" w:space="0" w:color="auto"/>
        <w:right w:val="none" w:sz="0" w:space="0" w:color="auto"/>
      </w:divBdr>
    </w:div>
    <w:div w:id="395054046">
      <w:bodyDiv w:val="1"/>
      <w:marLeft w:val="0"/>
      <w:marRight w:val="0"/>
      <w:marTop w:val="0"/>
      <w:marBottom w:val="0"/>
      <w:divBdr>
        <w:top w:val="none" w:sz="0" w:space="0" w:color="auto"/>
        <w:left w:val="none" w:sz="0" w:space="0" w:color="auto"/>
        <w:bottom w:val="none" w:sz="0" w:space="0" w:color="auto"/>
        <w:right w:val="none" w:sz="0" w:space="0" w:color="auto"/>
      </w:divBdr>
    </w:div>
    <w:div w:id="398097097">
      <w:bodyDiv w:val="1"/>
      <w:marLeft w:val="0"/>
      <w:marRight w:val="0"/>
      <w:marTop w:val="0"/>
      <w:marBottom w:val="0"/>
      <w:divBdr>
        <w:top w:val="none" w:sz="0" w:space="0" w:color="auto"/>
        <w:left w:val="none" w:sz="0" w:space="0" w:color="auto"/>
        <w:bottom w:val="none" w:sz="0" w:space="0" w:color="auto"/>
        <w:right w:val="none" w:sz="0" w:space="0" w:color="auto"/>
      </w:divBdr>
    </w:div>
    <w:div w:id="398483439">
      <w:bodyDiv w:val="1"/>
      <w:marLeft w:val="0"/>
      <w:marRight w:val="0"/>
      <w:marTop w:val="0"/>
      <w:marBottom w:val="0"/>
      <w:divBdr>
        <w:top w:val="none" w:sz="0" w:space="0" w:color="auto"/>
        <w:left w:val="none" w:sz="0" w:space="0" w:color="auto"/>
        <w:bottom w:val="none" w:sz="0" w:space="0" w:color="auto"/>
        <w:right w:val="none" w:sz="0" w:space="0" w:color="auto"/>
      </w:divBdr>
    </w:div>
    <w:div w:id="408891232">
      <w:bodyDiv w:val="1"/>
      <w:marLeft w:val="0"/>
      <w:marRight w:val="0"/>
      <w:marTop w:val="0"/>
      <w:marBottom w:val="0"/>
      <w:divBdr>
        <w:top w:val="none" w:sz="0" w:space="0" w:color="auto"/>
        <w:left w:val="none" w:sz="0" w:space="0" w:color="auto"/>
        <w:bottom w:val="none" w:sz="0" w:space="0" w:color="auto"/>
        <w:right w:val="none" w:sz="0" w:space="0" w:color="auto"/>
      </w:divBdr>
    </w:div>
    <w:div w:id="411247074">
      <w:bodyDiv w:val="1"/>
      <w:marLeft w:val="0"/>
      <w:marRight w:val="0"/>
      <w:marTop w:val="0"/>
      <w:marBottom w:val="0"/>
      <w:divBdr>
        <w:top w:val="none" w:sz="0" w:space="0" w:color="auto"/>
        <w:left w:val="none" w:sz="0" w:space="0" w:color="auto"/>
        <w:bottom w:val="none" w:sz="0" w:space="0" w:color="auto"/>
        <w:right w:val="none" w:sz="0" w:space="0" w:color="auto"/>
      </w:divBdr>
    </w:div>
    <w:div w:id="416362591">
      <w:bodyDiv w:val="1"/>
      <w:marLeft w:val="0"/>
      <w:marRight w:val="0"/>
      <w:marTop w:val="0"/>
      <w:marBottom w:val="0"/>
      <w:divBdr>
        <w:top w:val="none" w:sz="0" w:space="0" w:color="auto"/>
        <w:left w:val="none" w:sz="0" w:space="0" w:color="auto"/>
        <w:bottom w:val="none" w:sz="0" w:space="0" w:color="auto"/>
        <w:right w:val="none" w:sz="0" w:space="0" w:color="auto"/>
      </w:divBdr>
    </w:div>
    <w:div w:id="418259980">
      <w:bodyDiv w:val="1"/>
      <w:marLeft w:val="0"/>
      <w:marRight w:val="0"/>
      <w:marTop w:val="0"/>
      <w:marBottom w:val="0"/>
      <w:divBdr>
        <w:top w:val="none" w:sz="0" w:space="0" w:color="auto"/>
        <w:left w:val="none" w:sz="0" w:space="0" w:color="auto"/>
        <w:bottom w:val="none" w:sz="0" w:space="0" w:color="auto"/>
        <w:right w:val="none" w:sz="0" w:space="0" w:color="auto"/>
      </w:divBdr>
    </w:div>
    <w:div w:id="419378437">
      <w:bodyDiv w:val="1"/>
      <w:marLeft w:val="0"/>
      <w:marRight w:val="0"/>
      <w:marTop w:val="0"/>
      <w:marBottom w:val="0"/>
      <w:divBdr>
        <w:top w:val="none" w:sz="0" w:space="0" w:color="auto"/>
        <w:left w:val="none" w:sz="0" w:space="0" w:color="auto"/>
        <w:bottom w:val="none" w:sz="0" w:space="0" w:color="auto"/>
        <w:right w:val="none" w:sz="0" w:space="0" w:color="auto"/>
      </w:divBdr>
    </w:div>
    <w:div w:id="424544348">
      <w:bodyDiv w:val="1"/>
      <w:marLeft w:val="0"/>
      <w:marRight w:val="0"/>
      <w:marTop w:val="0"/>
      <w:marBottom w:val="0"/>
      <w:divBdr>
        <w:top w:val="none" w:sz="0" w:space="0" w:color="auto"/>
        <w:left w:val="none" w:sz="0" w:space="0" w:color="auto"/>
        <w:bottom w:val="none" w:sz="0" w:space="0" w:color="auto"/>
        <w:right w:val="none" w:sz="0" w:space="0" w:color="auto"/>
      </w:divBdr>
    </w:div>
    <w:div w:id="429619277">
      <w:bodyDiv w:val="1"/>
      <w:marLeft w:val="0"/>
      <w:marRight w:val="0"/>
      <w:marTop w:val="0"/>
      <w:marBottom w:val="0"/>
      <w:divBdr>
        <w:top w:val="none" w:sz="0" w:space="0" w:color="auto"/>
        <w:left w:val="none" w:sz="0" w:space="0" w:color="auto"/>
        <w:bottom w:val="none" w:sz="0" w:space="0" w:color="auto"/>
        <w:right w:val="none" w:sz="0" w:space="0" w:color="auto"/>
      </w:divBdr>
    </w:div>
    <w:div w:id="432432924">
      <w:bodyDiv w:val="1"/>
      <w:marLeft w:val="0"/>
      <w:marRight w:val="0"/>
      <w:marTop w:val="0"/>
      <w:marBottom w:val="0"/>
      <w:divBdr>
        <w:top w:val="none" w:sz="0" w:space="0" w:color="auto"/>
        <w:left w:val="none" w:sz="0" w:space="0" w:color="auto"/>
        <w:bottom w:val="none" w:sz="0" w:space="0" w:color="auto"/>
        <w:right w:val="none" w:sz="0" w:space="0" w:color="auto"/>
      </w:divBdr>
    </w:div>
    <w:div w:id="432556229">
      <w:bodyDiv w:val="1"/>
      <w:marLeft w:val="0"/>
      <w:marRight w:val="0"/>
      <w:marTop w:val="0"/>
      <w:marBottom w:val="0"/>
      <w:divBdr>
        <w:top w:val="none" w:sz="0" w:space="0" w:color="auto"/>
        <w:left w:val="none" w:sz="0" w:space="0" w:color="auto"/>
        <w:bottom w:val="none" w:sz="0" w:space="0" w:color="auto"/>
        <w:right w:val="none" w:sz="0" w:space="0" w:color="auto"/>
      </w:divBdr>
    </w:div>
    <w:div w:id="435713995">
      <w:bodyDiv w:val="1"/>
      <w:marLeft w:val="0"/>
      <w:marRight w:val="0"/>
      <w:marTop w:val="0"/>
      <w:marBottom w:val="0"/>
      <w:divBdr>
        <w:top w:val="none" w:sz="0" w:space="0" w:color="auto"/>
        <w:left w:val="none" w:sz="0" w:space="0" w:color="auto"/>
        <w:bottom w:val="none" w:sz="0" w:space="0" w:color="auto"/>
        <w:right w:val="none" w:sz="0" w:space="0" w:color="auto"/>
      </w:divBdr>
    </w:div>
    <w:div w:id="447314567">
      <w:bodyDiv w:val="1"/>
      <w:marLeft w:val="0"/>
      <w:marRight w:val="0"/>
      <w:marTop w:val="0"/>
      <w:marBottom w:val="0"/>
      <w:divBdr>
        <w:top w:val="none" w:sz="0" w:space="0" w:color="auto"/>
        <w:left w:val="none" w:sz="0" w:space="0" w:color="auto"/>
        <w:bottom w:val="none" w:sz="0" w:space="0" w:color="auto"/>
        <w:right w:val="none" w:sz="0" w:space="0" w:color="auto"/>
      </w:divBdr>
    </w:div>
    <w:div w:id="455175417">
      <w:bodyDiv w:val="1"/>
      <w:marLeft w:val="0"/>
      <w:marRight w:val="0"/>
      <w:marTop w:val="0"/>
      <w:marBottom w:val="0"/>
      <w:divBdr>
        <w:top w:val="none" w:sz="0" w:space="0" w:color="auto"/>
        <w:left w:val="none" w:sz="0" w:space="0" w:color="auto"/>
        <w:bottom w:val="none" w:sz="0" w:space="0" w:color="auto"/>
        <w:right w:val="none" w:sz="0" w:space="0" w:color="auto"/>
      </w:divBdr>
    </w:div>
    <w:div w:id="457384352">
      <w:bodyDiv w:val="1"/>
      <w:marLeft w:val="0"/>
      <w:marRight w:val="0"/>
      <w:marTop w:val="0"/>
      <w:marBottom w:val="0"/>
      <w:divBdr>
        <w:top w:val="none" w:sz="0" w:space="0" w:color="auto"/>
        <w:left w:val="none" w:sz="0" w:space="0" w:color="auto"/>
        <w:bottom w:val="none" w:sz="0" w:space="0" w:color="auto"/>
        <w:right w:val="none" w:sz="0" w:space="0" w:color="auto"/>
      </w:divBdr>
    </w:div>
    <w:div w:id="465394777">
      <w:bodyDiv w:val="1"/>
      <w:marLeft w:val="0"/>
      <w:marRight w:val="0"/>
      <w:marTop w:val="0"/>
      <w:marBottom w:val="0"/>
      <w:divBdr>
        <w:top w:val="none" w:sz="0" w:space="0" w:color="auto"/>
        <w:left w:val="none" w:sz="0" w:space="0" w:color="auto"/>
        <w:bottom w:val="none" w:sz="0" w:space="0" w:color="auto"/>
        <w:right w:val="none" w:sz="0" w:space="0" w:color="auto"/>
      </w:divBdr>
    </w:div>
    <w:div w:id="479007634">
      <w:bodyDiv w:val="1"/>
      <w:marLeft w:val="0"/>
      <w:marRight w:val="0"/>
      <w:marTop w:val="0"/>
      <w:marBottom w:val="0"/>
      <w:divBdr>
        <w:top w:val="none" w:sz="0" w:space="0" w:color="auto"/>
        <w:left w:val="none" w:sz="0" w:space="0" w:color="auto"/>
        <w:bottom w:val="none" w:sz="0" w:space="0" w:color="auto"/>
        <w:right w:val="none" w:sz="0" w:space="0" w:color="auto"/>
      </w:divBdr>
    </w:div>
    <w:div w:id="486631159">
      <w:bodyDiv w:val="1"/>
      <w:marLeft w:val="0"/>
      <w:marRight w:val="0"/>
      <w:marTop w:val="0"/>
      <w:marBottom w:val="0"/>
      <w:divBdr>
        <w:top w:val="none" w:sz="0" w:space="0" w:color="auto"/>
        <w:left w:val="none" w:sz="0" w:space="0" w:color="auto"/>
        <w:bottom w:val="none" w:sz="0" w:space="0" w:color="auto"/>
        <w:right w:val="none" w:sz="0" w:space="0" w:color="auto"/>
      </w:divBdr>
    </w:div>
    <w:div w:id="491875393">
      <w:bodyDiv w:val="1"/>
      <w:marLeft w:val="0"/>
      <w:marRight w:val="0"/>
      <w:marTop w:val="0"/>
      <w:marBottom w:val="0"/>
      <w:divBdr>
        <w:top w:val="none" w:sz="0" w:space="0" w:color="auto"/>
        <w:left w:val="none" w:sz="0" w:space="0" w:color="auto"/>
        <w:bottom w:val="none" w:sz="0" w:space="0" w:color="auto"/>
        <w:right w:val="none" w:sz="0" w:space="0" w:color="auto"/>
      </w:divBdr>
    </w:div>
    <w:div w:id="492836360">
      <w:bodyDiv w:val="1"/>
      <w:marLeft w:val="0"/>
      <w:marRight w:val="0"/>
      <w:marTop w:val="0"/>
      <w:marBottom w:val="0"/>
      <w:divBdr>
        <w:top w:val="none" w:sz="0" w:space="0" w:color="auto"/>
        <w:left w:val="none" w:sz="0" w:space="0" w:color="auto"/>
        <w:bottom w:val="none" w:sz="0" w:space="0" w:color="auto"/>
        <w:right w:val="none" w:sz="0" w:space="0" w:color="auto"/>
      </w:divBdr>
    </w:div>
    <w:div w:id="496269299">
      <w:bodyDiv w:val="1"/>
      <w:marLeft w:val="0"/>
      <w:marRight w:val="0"/>
      <w:marTop w:val="0"/>
      <w:marBottom w:val="0"/>
      <w:divBdr>
        <w:top w:val="none" w:sz="0" w:space="0" w:color="auto"/>
        <w:left w:val="none" w:sz="0" w:space="0" w:color="auto"/>
        <w:bottom w:val="none" w:sz="0" w:space="0" w:color="auto"/>
        <w:right w:val="none" w:sz="0" w:space="0" w:color="auto"/>
      </w:divBdr>
    </w:div>
    <w:div w:id="502168928">
      <w:bodyDiv w:val="1"/>
      <w:marLeft w:val="0"/>
      <w:marRight w:val="0"/>
      <w:marTop w:val="0"/>
      <w:marBottom w:val="0"/>
      <w:divBdr>
        <w:top w:val="none" w:sz="0" w:space="0" w:color="auto"/>
        <w:left w:val="none" w:sz="0" w:space="0" w:color="auto"/>
        <w:bottom w:val="none" w:sz="0" w:space="0" w:color="auto"/>
        <w:right w:val="none" w:sz="0" w:space="0" w:color="auto"/>
      </w:divBdr>
    </w:div>
    <w:div w:id="508060496">
      <w:bodyDiv w:val="1"/>
      <w:marLeft w:val="0"/>
      <w:marRight w:val="0"/>
      <w:marTop w:val="0"/>
      <w:marBottom w:val="0"/>
      <w:divBdr>
        <w:top w:val="none" w:sz="0" w:space="0" w:color="auto"/>
        <w:left w:val="none" w:sz="0" w:space="0" w:color="auto"/>
        <w:bottom w:val="none" w:sz="0" w:space="0" w:color="auto"/>
        <w:right w:val="none" w:sz="0" w:space="0" w:color="auto"/>
      </w:divBdr>
    </w:div>
    <w:div w:id="517547482">
      <w:bodyDiv w:val="1"/>
      <w:marLeft w:val="0"/>
      <w:marRight w:val="0"/>
      <w:marTop w:val="0"/>
      <w:marBottom w:val="0"/>
      <w:divBdr>
        <w:top w:val="none" w:sz="0" w:space="0" w:color="auto"/>
        <w:left w:val="none" w:sz="0" w:space="0" w:color="auto"/>
        <w:bottom w:val="none" w:sz="0" w:space="0" w:color="auto"/>
        <w:right w:val="none" w:sz="0" w:space="0" w:color="auto"/>
      </w:divBdr>
    </w:div>
    <w:div w:id="526451162">
      <w:bodyDiv w:val="1"/>
      <w:marLeft w:val="0"/>
      <w:marRight w:val="0"/>
      <w:marTop w:val="0"/>
      <w:marBottom w:val="0"/>
      <w:divBdr>
        <w:top w:val="none" w:sz="0" w:space="0" w:color="auto"/>
        <w:left w:val="none" w:sz="0" w:space="0" w:color="auto"/>
        <w:bottom w:val="none" w:sz="0" w:space="0" w:color="auto"/>
        <w:right w:val="none" w:sz="0" w:space="0" w:color="auto"/>
      </w:divBdr>
    </w:div>
    <w:div w:id="529414949">
      <w:bodyDiv w:val="1"/>
      <w:marLeft w:val="0"/>
      <w:marRight w:val="0"/>
      <w:marTop w:val="0"/>
      <w:marBottom w:val="0"/>
      <w:divBdr>
        <w:top w:val="none" w:sz="0" w:space="0" w:color="auto"/>
        <w:left w:val="none" w:sz="0" w:space="0" w:color="auto"/>
        <w:bottom w:val="none" w:sz="0" w:space="0" w:color="auto"/>
        <w:right w:val="none" w:sz="0" w:space="0" w:color="auto"/>
      </w:divBdr>
    </w:div>
    <w:div w:id="529731362">
      <w:bodyDiv w:val="1"/>
      <w:marLeft w:val="0"/>
      <w:marRight w:val="0"/>
      <w:marTop w:val="0"/>
      <w:marBottom w:val="0"/>
      <w:divBdr>
        <w:top w:val="none" w:sz="0" w:space="0" w:color="auto"/>
        <w:left w:val="none" w:sz="0" w:space="0" w:color="auto"/>
        <w:bottom w:val="none" w:sz="0" w:space="0" w:color="auto"/>
        <w:right w:val="none" w:sz="0" w:space="0" w:color="auto"/>
      </w:divBdr>
    </w:div>
    <w:div w:id="534389206">
      <w:bodyDiv w:val="1"/>
      <w:marLeft w:val="0"/>
      <w:marRight w:val="0"/>
      <w:marTop w:val="0"/>
      <w:marBottom w:val="0"/>
      <w:divBdr>
        <w:top w:val="none" w:sz="0" w:space="0" w:color="auto"/>
        <w:left w:val="none" w:sz="0" w:space="0" w:color="auto"/>
        <w:bottom w:val="none" w:sz="0" w:space="0" w:color="auto"/>
        <w:right w:val="none" w:sz="0" w:space="0" w:color="auto"/>
      </w:divBdr>
    </w:div>
    <w:div w:id="536356373">
      <w:bodyDiv w:val="1"/>
      <w:marLeft w:val="0"/>
      <w:marRight w:val="0"/>
      <w:marTop w:val="0"/>
      <w:marBottom w:val="0"/>
      <w:divBdr>
        <w:top w:val="none" w:sz="0" w:space="0" w:color="auto"/>
        <w:left w:val="none" w:sz="0" w:space="0" w:color="auto"/>
        <w:bottom w:val="none" w:sz="0" w:space="0" w:color="auto"/>
        <w:right w:val="none" w:sz="0" w:space="0" w:color="auto"/>
      </w:divBdr>
    </w:div>
    <w:div w:id="546334208">
      <w:bodyDiv w:val="1"/>
      <w:marLeft w:val="0"/>
      <w:marRight w:val="0"/>
      <w:marTop w:val="0"/>
      <w:marBottom w:val="0"/>
      <w:divBdr>
        <w:top w:val="none" w:sz="0" w:space="0" w:color="auto"/>
        <w:left w:val="none" w:sz="0" w:space="0" w:color="auto"/>
        <w:bottom w:val="none" w:sz="0" w:space="0" w:color="auto"/>
        <w:right w:val="none" w:sz="0" w:space="0" w:color="auto"/>
      </w:divBdr>
    </w:div>
    <w:div w:id="546843116">
      <w:bodyDiv w:val="1"/>
      <w:marLeft w:val="0"/>
      <w:marRight w:val="0"/>
      <w:marTop w:val="0"/>
      <w:marBottom w:val="0"/>
      <w:divBdr>
        <w:top w:val="none" w:sz="0" w:space="0" w:color="auto"/>
        <w:left w:val="none" w:sz="0" w:space="0" w:color="auto"/>
        <w:bottom w:val="none" w:sz="0" w:space="0" w:color="auto"/>
        <w:right w:val="none" w:sz="0" w:space="0" w:color="auto"/>
      </w:divBdr>
    </w:div>
    <w:div w:id="553585420">
      <w:bodyDiv w:val="1"/>
      <w:marLeft w:val="0"/>
      <w:marRight w:val="0"/>
      <w:marTop w:val="0"/>
      <w:marBottom w:val="0"/>
      <w:divBdr>
        <w:top w:val="none" w:sz="0" w:space="0" w:color="auto"/>
        <w:left w:val="none" w:sz="0" w:space="0" w:color="auto"/>
        <w:bottom w:val="none" w:sz="0" w:space="0" w:color="auto"/>
        <w:right w:val="none" w:sz="0" w:space="0" w:color="auto"/>
      </w:divBdr>
    </w:div>
    <w:div w:id="559707718">
      <w:bodyDiv w:val="1"/>
      <w:marLeft w:val="0"/>
      <w:marRight w:val="0"/>
      <w:marTop w:val="0"/>
      <w:marBottom w:val="0"/>
      <w:divBdr>
        <w:top w:val="none" w:sz="0" w:space="0" w:color="auto"/>
        <w:left w:val="none" w:sz="0" w:space="0" w:color="auto"/>
        <w:bottom w:val="none" w:sz="0" w:space="0" w:color="auto"/>
        <w:right w:val="none" w:sz="0" w:space="0" w:color="auto"/>
      </w:divBdr>
    </w:div>
    <w:div w:id="562524470">
      <w:bodyDiv w:val="1"/>
      <w:marLeft w:val="0"/>
      <w:marRight w:val="0"/>
      <w:marTop w:val="0"/>
      <w:marBottom w:val="0"/>
      <w:divBdr>
        <w:top w:val="none" w:sz="0" w:space="0" w:color="auto"/>
        <w:left w:val="none" w:sz="0" w:space="0" w:color="auto"/>
        <w:bottom w:val="none" w:sz="0" w:space="0" w:color="auto"/>
        <w:right w:val="none" w:sz="0" w:space="0" w:color="auto"/>
      </w:divBdr>
    </w:div>
    <w:div w:id="563686373">
      <w:bodyDiv w:val="1"/>
      <w:marLeft w:val="0"/>
      <w:marRight w:val="0"/>
      <w:marTop w:val="0"/>
      <w:marBottom w:val="0"/>
      <w:divBdr>
        <w:top w:val="none" w:sz="0" w:space="0" w:color="auto"/>
        <w:left w:val="none" w:sz="0" w:space="0" w:color="auto"/>
        <w:bottom w:val="none" w:sz="0" w:space="0" w:color="auto"/>
        <w:right w:val="none" w:sz="0" w:space="0" w:color="auto"/>
      </w:divBdr>
    </w:div>
    <w:div w:id="566261929">
      <w:bodyDiv w:val="1"/>
      <w:marLeft w:val="0"/>
      <w:marRight w:val="0"/>
      <w:marTop w:val="0"/>
      <w:marBottom w:val="0"/>
      <w:divBdr>
        <w:top w:val="none" w:sz="0" w:space="0" w:color="auto"/>
        <w:left w:val="none" w:sz="0" w:space="0" w:color="auto"/>
        <w:bottom w:val="none" w:sz="0" w:space="0" w:color="auto"/>
        <w:right w:val="none" w:sz="0" w:space="0" w:color="auto"/>
      </w:divBdr>
    </w:div>
    <w:div w:id="566645657">
      <w:bodyDiv w:val="1"/>
      <w:marLeft w:val="0"/>
      <w:marRight w:val="0"/>
      <w:marTop w:val="0"/>
      <w:marBottom w:val="0"/>
      <w:divBdr>
        <w:top w:val="none" w:sz="0" w:space="0" w:color="auto"/>
        <w:left w:val="none" w:sz="0" w:space="0" w:color="auto"/>
        <w:bottom w:val="none" w:sz="0" w:space="0" w:color="auto"/>
        <w:right w:val="none" w:sz="0" w:space="0" w:color="auto"/>
      </w:divBdr>
    </w:div>
    <w:div w:id="567308055">
      <w:bodyDiv w:val="1"/>
      <w:marLeft w:val="0"/>
      <w:marRight w:val="0"/>
      <w:marTop w:val="0"/>
      <w:marBottom w:val="0"/>
      <w:divBdr>
        <w:top w:val="none" w:sz="0" w:space="0" w:color="auto"/>
        <w:left w:val="none" w:sz="0" w:space="0" w:color="auto"/>
        <w:bottom w:val="none" w:sz="0" w:space="0" w:color="auto"/>
        <w:right w:val="none" w:sz="0" w:space="0" w:color="auto"/>
      </w:divBdr>
    </w:div>
    <w:div w:id="577322078">
      <w:bodyDiv w:val="1"/>
      <w:marLeft w:val="0"/>
      <w:marRight w:val="0"/>
      <w:marTop w:val="0"/>
      <w:marBottom w:val="0"/>
      <w:divBdr>
        <w:top w:val="none" w:sz="0" w:space="0" w:color="auto"/>
        <w:left w:val="none" w:sz="0" w:space="0" w:color="auto"/>
        <w:bottom w:val="none" w:sz="0" w:space="0" w:color="auto"/>
        <w:right w:val="none" w:sz="0" w:space="0" w:color="auto"/>
      </w:divBdr>
    </w:div>
    <w:div w:id="579098362">
      <w:bodyDiv w:val="1"/>
      <w:marLeft w:val="0"/>
      <w:marRight w:val="0"/>
      <w:marTop w:val="0"/>
      <w:marBottom w:val="0"/>
      <w:divBdr>
        <w:top w:val="none" w:sz="0" w:space="0" w:color="auto"/>
        <w:left w:val="none" w:sz="0" w:space="0" w:color="auto"/>
        <w:bottom w:val="none" w:sz="0" w:space="0" w:color="auto"/>
        <w:right w:val="none" w:sz="0" w:space="0" w:color="auto"/>
      </w:divBdr>
    </w:div>
    <w:div w:id="581372545">
      <w:bodyDiv w:val="1"/>
      <w:marLeft w:val="0"/>
      <w:marRight w:val="0"/>
      <w:marTop w:val="0"/>
      <w:marBottom w:val="0"/>
      <w:divBdr>
        <w:top w:val="none" w:sz="0" w:space="0" w:color="auto"/>
        <w:left w:val="none" w:sz="0" w:space="0" w:color="auto"/>
        <w:bottom w:val="none" w:sz="0" w:space="0" w:color="auto"/>
        <w:right w:val="none" w:sz="0" w:space="0" w:color="auto"/>
      </w:divBdr>
    </w:div>
    <w:div w:id="583342360">
      <w:bodyDiv w:val="1"/>
      <w:marLeft w:val="0"/>
      <w:marRight w:val="0"/>
      <w:marTop w:val="0"/>
      <w:marBottom w:val="0"/>
      <w:divBdr>
        <w:top w:val="none" w:sz="0" w:space="0" w:color="auto"/>
        <w:left w:val="none" w:sz="0" w:space="0" w:color="auto"/>
        <w:bottom w:val="none" w:sz="0" w:space="0" w:color="auto"/>
        <w:right w:val="none" w:sz="0" w:space="0" w:color="auto"/>
      </w:divBdr>
    </w:div>
    <w:div w:id="584344872">
      <w:bodyDiv w:val="1"/>
      <w:marLeft w:val="0"/>
      <w:marRight w:val="0"/>
      <w:marTop w:val="0"/>
      <w:marBottom w:val="0"/>
      <w:divBdr>
        <w:top w:val="none" w:sz="0" w:space="0" w:color="auto"/>
        <w:left w:val="none" w:sz="0" w:space="0" w:color="auto"/>
        <w:bottom w:val="none" w:sz="0" w:space="0" w:color="auto"/>
        <w:right w:val="none" w:sz="0" w:space="0" w:color="auto"/>
      </w:divBdr>
    </w:div>
    <w:div w:id="586961954">
      <w:bodyDiv w:val="1"/>
      <w:marLeft w:val="0"/>
      <w:marRight w:val="0"/>
      <w:marTop w:val="0"/>
      <w:marBottom w:val="0"/>
      <w:divBdr>
        <w:top w:val="none" w:sz="0" w:space="0" w:color="auto"/>
        <w:left w:val="none" w:sz="0" w:space="0" w:color="auto"/>
        <w:bottom w:val="none" w:sz="0" w:space="0" w:color="auto"/>
        <w:right w:val="none" w:sz="0" w:space="0" w:color="auto"/>
      </w:divBdr>
    </w:div>
    <w:div w:id="591207089">
      <w:bodyDiv w:val="1"/>
      <w:marLeft w:val="0"/>
      <w:marRight w:val="0"/>
      <w:marTop w:val="0"/>
      <w:marBottom w:val="0"/>
      <w:divBdr>
        <w:top w:val="none" w:sz="0" w:space="0" w:color="auto"/>
        <w:left w:val="none" w:sz="0" w:space="0" w:color="auto"/>
        <w:bottom w:val="none" w:sz="0" w:space="0" w:color="auto"/>
        <w:right w:val="none" w:sz="0" w:space="0" w:color="auto"/>
      </w:divBdr>
    </w:div>
    <w:div w:id="593368268">
      <w:bodyDiv w:val="1"/>
      <w:marLeft w:val="0"/>
      <w:marRight w:val="0"/>
      <w:marTop w:val="0"/>
      <w:marBottom w:val="0"/>
      <w:divBdr>
        <w:top w:val="none" w:sz="0" w:space="0" w:color="auto"/>
        <w:left w:val="none" w:sz="0" w:space="0" w:color="auto"/>
        <w:bottom w:val="none" w:sz="0" w:space="0" w:color="auto"/>
        <w:right w:val="none" w:sz="0" w:space="0" w:color="auto"/>
      </w:divBdr>
    </w:div>
    <w:div w:id="595358774">
      <w:bodyDiv w:val="1"/>
      <w:marLeft w:val="0"/>
      <w:marRight w:val="0"/>
      <w:marTop w:val="0"/>
      <w:marBottom w:val="0"/>
      <w:divBdr>
        <w:top w:val="none" w:sz="0" w:space="0" w:color="auto"/>
        <w:left w:val="none" w:sz="0" w:space="0" w:color="auto"/>
        <w:bottom w:val="none" w:sz="0" w:space="0" w:color="auto"/>
        <w:right w:val="none" w:sz="0" w:space="0" w:color="auto"/>
      </w:divBdr>
    </w:div>
    <w:div w:id="597174546">
      <w:bodyDiv w:val="1"/>
      <w:marLeft w:val="0"/>
      <w:marRight w:val="0"/>
      <w:marTop w:val="0"/>
      <w:marBottom w:val="0"/>
      <w:divBdr>
        <w:top w:val="none" w:sz="0" w:space="0" w:color="auto"/>
        <w:left w:val="none" w:sz="0" w:space="0" w:color="auto"/>
        <w:bottom w:val="none" w:sz="0" w:space="0" w:color="auto"/>
        <w:right w:val="none" w:sz="0" w:space="0" w:color="auto"/>
      </w:divBdr>
    </w:div>
    <w:div w:id="601181592">
      <w:bodyDiv w:val="1"/>
      <w:marLeft w:val="0"/>
      <w:marRight w:val="0"/>
      <w:marTop w:val="0"/>
      <w:marBottom w:val="0"/>
      <w:divBdr>
        <w:top w:val="none" w:sz="0" w:space="0" w:color="auto"/>
        <w:left w:val="none" w:sz="0" w:space="0" w:color="auto"/>
        <w:bottom w:val="none" w:sz="0" w:space="0" w:color="auto"/>
        <w:right w:val="none" w:sz="0" w:space="0" w:color="auto"/>
      </w:divBdr>
    </w:div>
    <w:div w:id="613824648">
      <w:bodyDiv w:val="1"/>
      <w:marLeft w:val="0"/>
      <w:marRight w:val="0"/>
      <w:marTop w:val="0"/>
      <w:marBottom w:val="0"/>
      <w:divBdr>
        <w:top w:val="none" w:sz="0" w:space="0" w:color="auto"/>
        <w:left w:val="none" w:sz="0" w:space="0" w:color="auto"/>
        <w:bottom w:val="none" w:sz="0" w:space="0" w:color="auto"/>
        <w:right w:val="none" w:sz="0" w:space="0" w:color="auto"/>
      </w:divBdr>
    </w:div>
    <w:div w:id="614597216">
      <w:bodyDiv w:val="1"/>
      <w:marLeft w:val="0"/>
      <w:marRight w:val="0"/>
      <w:marTop w:val="0"/>
      <w:marBottom w:val="0"/>
      <w:divBdr>
        <w:top w:val="none" w:sz="0" w:space="0" w:color="auto"/>
        <w:left w:val="none" w:sz="0" w:space="0" w:color="auto"/>
        <w:bottom w:val="none" w:sz="0" w:space="0" w:color="auto"/>
        <w:right w:val="none" w:sz="0" w:space="0" w:color="auto"/>
      </w:divBdr>
    </w:div>
    <w:div w:id="614748021">
      <w:bodyDiv w:val="1"/>
      <w:marLeft w:val="0"/>
      <w:marRight w:val="0"/>
      <w:marTop w:val="0"/>
      <w:marBottom w:val="0"/>
      <w:divBdr>
        <w:top w:val="none" w:sz="0" w:space="0" w:color="auto"/>
        <w:left w:val="none" w:sz="0" w:space="0" w:color="auto"/>
        <w:bottom w:val="none" w:sz="0" w:space="0" w:color="auto"/>
        <w:right w:val="none" w:sz="0" w:space="0" w:color="auto"/>
      </w:divBdr>
    </w:div>
    <w:div w:id="621107641">
      <w:bodyDiv w:val="1"/>
      <w:marLeft w:val="0"/>
      <w:marRight w:val="0"/>
      <w:marTop w:val="0"/>
      <w:marBottom w:val="0"/>
      <w:divBdr>
        <w:top w:val="none" w:sz="0" w:space="0" w:color="auto"/>
        <w:left w:val="none" w:sz="0" w:space="0" w:color="auto"/>
        <w:bottom w:val="none" w:sz="0" w:space="0" w:color="auto"/>
        <w:right w:val="none" w:sz="0" w:space="0" w:color="auto"/>
      </w:divBdr>
    </w:div>
    <w:div w:id="624317414">
      <w:bodyDiv w:val="1"/>
      <w:marLeft w:val="0"/>
      <w:marRight w:val="0"/>
      <w:marTop w:val="0"/>
      <w:marBottom w:val="0"/>
      <w:divBdr>
        <w:top w:val="none" w:sz="0" w:space="0" w:color="auto"/>
        <w:left w:val="none" w:sz="0" w:space="0" w:color="auto"/>
        <w:bottom w:val="none" w:sz="0" w:space="0" w:color="auto"/>
        <w:right w:val="none" w:sz="0" w:space="0" w:color="auto"/>
      </w:divBdr>
    </w:div>
    <w:div w:id="626550885">
      <w:bodyDiv w:val="1"/>
      <w:marLeft w:val="0"/>
      <w:marRight w:val="0"/>
      <w:marTop w:val="0"/>
      <w:marBottom w:val="0"/>
      <w:divBdr>
        <w:top w:val="none" w:sz="0" w:space="0" w:color="auto"/>
        <w:left w:val="none" w:sz="0" w:space="0" w:color="auto"/>
        <w:bottom w:val="none" w:sz="0" w:space="0" w:color="auto"/>
        <w:right w:val="none" w:sz="0" w:space="0" w:color="auto"/>
      </w:divBdr>
    </w:div>
    <w:div w:id="630861624">
      <w:bodyDiv w:val="1"/>
      <w:marLeft w:val="0"/>
      <w:marRight w:val="0"/>
      <w:marTop w:val="0"/>
      <w:marBottom w:val="0"/>
      <w:divBdr>
        <w:top w:val="none" w:sz="0" w:space="0" w:color="auto"/>
        <w:left w:val="none" w:sz="0" w:space="0" w:color="auto"/>
        <w:bottom w:val="none" w:sz="0" w:space="0" w:color="auto"/>
        <w:right w:val="none" w:sz="0" w:space="0" w:color="auto"/>
      </w:divBdr>
    </w:div>
    <w:div w:id="632055351">
      <w:bodyDiv w:val="1"/>
      <w:marLeft w:val="0"/>
      <w:marRight w:val="0"/>
      <w:marTop w:val="0"/>
      <w:marBottom w:val="0"/>
      <w:divBdr>
        <w:top w:val="none" w:sz="0" w:space="0" w:color="auto"/>
        <w:left w:val="none" w:sz="0" w:space="0" w:color="auto"/>
        <w:bottom w:val="none" w:sz="0" w:space="0" w:color="auto"/>
        <w:right w:val="none" w:sz="0" w:space="0" w:color="auto"/>
      </w:divBdr>
    </w:div>
    <w:div w:id="632713080">
      <w:bodyDiv w:val="1"/>
      <w:marLeft w:val="0"/>
      <w:marRight w:val="0"/>
      <w:marTop w:val="0"/>
      <w:marBottom w:val="0"/>
      <w:divBdr>
        <w:top w:val="none" w:sz="0" w:space="0" w:color="auto"/>
        <w:left w:val="none" w:sz="0" w:space="0" w:color="auto"/>
        <w:bottom w:val="none" w:sz="0" w:space="0" w:color="auto"/>
        <w:right w:val="none" w:sz="0" w:space="0" w:color="auto"/>
      </w:divBdr>
    </w:div>
    <w:div w:id="642127782">
      <w:bodyDiv w:val="1"/>
      <w:marLeft w:val="0"/>
      <w:marRight w:val="0"/>
      <w:marTop w:val="0"/>
      <w:marBottom w:val="0"/>
      <w:divBdr>
        <w:top w:val="none" w:sz="0" w:space="0" w:color="auto"/>
        <w:left w:val="none" w:sz="0" w:space="0" w:color="auto"/>
        <w:bottom w:val="none" w:sz="0" w:space="0" w:color="auto"/>
        <w:right w:val="none" w:sz="0" w:space="0" w:color="auto"/>
      </w:divBdr>
    </w:div>
    <w:div w:id="645091996">
      <w:bodyDiv w:val="1"/>
      <w:marLeft w:val="0"/>
      <w:marRight w:val="0"/>
      <w:marTop w:val="0"/>
      <w:marBottom w:val="0"/>
      <w:divBdr>
        <w:top w:val="none" w:sz="0" w:space="0" w:color="auto"/>
        <w:left w:val="none" w:sz="0" w:space="0" w:color="auto"/>
        <w:bottom w:val="none" w:sz="0" w:space="0" w:color="auto"/>
        <w:right w:val="none" w:sz="0" w:space="0" w:color="auto"/>
      </w:divBdr>
    </w:div>
    <w:div w:id="645205586">
      <w:bodyDiv w:val="1"/>
      <w:marLeft w:val="0"/>
      <w:marRight w:val="0"/>
      <w:marTop w:val="0"/>
      <w:marBottom w:val="0"/>
      <w:divBdr>
        <w:top w:val="none" w:sz="0" w:space="0" w:color="auto"/>
        <w:left w:val="none" w:sz="0" w:space="0" w:color="auto"/>
        <w:bottom w:val="none" w:sz="0" w:space="0" w:color="auto"/>
        <w:right w:val="none" w:sz="0" w:space="0" w:color="auto"/>
      </w:divBdr>
    </w:div>
    <w:div w:id="658196023">
      <w:bodyDiv w:val="1"/>
      <w:marLeft w:val="0"/>
      <w:marRight w:val="0"/>
      <w:marTop w:val="0"/>
      <w:marBottom w:val="0"/>
      <w:divBdr>
        <w:top w:val="none" w:sz="0" w:space="0" w:color="auto"/>
        <w:left w:val="none" w:sz="0" w:space="0" w:color="auto"/>
        <w:bottom w:val="none" w:sz="0" w:space="0" w:color="auto"/>
        <w:right w:val="none" w:sz="0" w:space="0" w:color="auto"/>
      </w:divBdr>
    </w:div>
    <w:div w:id="661157490">
      <w:bodyDiv w:val="1"/>
      <w:marLeft w:val="0"/>
      <w:marRight w:val="0"/>
      <w:marTop w:val="0"/>
      <w:marBottom w:val="0"/>
      <w:divBdr>
        <w:top w:val="none" w:sz="0" w:space="0" w:color="auto"/>
        <w:left w:val="none" w:sz="0" w:space="0" w:color="auto"/>
        <w:bottom w:val="none" w:sz="0" w:space="0" w:color="auto"/>
        <w:right w:val="none" w:sz="0" w:space="0" w:color="auto"/>
      </w:divBdr>
    </w:div>
    <w:div w:id="669672737">
      <w:bodyDiv w:val="1"/>
      <w:marLeft w:val="0"/>
      <w:marRight w:val="0"/>
      <w:marTop w:val="0"/>
      <w:marBottom w:val="0"/>
      <w:divBdr>
        <w:top w:val="none" w:sz="0" w:space="0" w:color="auto"/>
        <w:left w:val="none" w:sz="0" w:space="0" w:color="auto"/>
        <w:bottom w:val="none" w:sz="0" w:space="0" w:color="auto"/>
        <w:right w:val="none" w:sz="0" w:space="0" w:color="auto"/>
      </w:divBdr>
    </w:div>
    <w:div w:id="680469710">
      <w:bodyDiv w:val="1"/>
      <w:marLeft w:val="0"/>
      <w:marRight w:val="0"/>
      <w:marTop w:val="0"/>
      <w:marBottom w:val="0"/>
      <w:divBdr>
        <w:top w:val="none" w:sz="0" w:space="0" w:color="auto"/>
        <w:left w:val="none" w:sz="0" w:space="0" w:color="auto"/>
        <w:bottom w:val="none" w:sz="0" w:space="0" w:color="auto"/>
        <w:right w:val="none" w:sz="0" w:space="0" w:color="auto"/>
      </w:divBdr>
    </w:div>
    <w:div w:id="680743019">
      <w:bodyDiv w:val="1"/>
      <w:marLeft w:val="0"/>
      <w:marRight w:val="0"/>
      <w:marTop w:val="0"/>
      <w:marBottom w:val="0"/>
      <w:divBdr>
        <w:top w:val="none" w:sz="0" w:space="0" w:color="auto"/>
        <w:left w:val="none" w:sz="0" w:space="0" w:color="auto"/>
        <w:bottom w:val="none" w:sz="0" w:space="0" w:color="auto"/>
        <w:right w:val="none" w:sz="0" w:space="0" w:color="auto"/>
      </w:divBdr>
    </w:div>
    <w:div w:id="682168682">
      <w:bodyDiv w:val="1"/>
      <w:marLeft w:val="0"/>
      <w:marRight w:val="0"/>
      <w:marTop w:val="0"/>
      <w:marBottom w:val="0"/>
      <w:divBdr>
        <w:top w:val="none" w:sz="0" w:space="0" w:color="auto"/>
        <w:left w:val="none" w:sz="0" w:space="0" w:color="auto"/>
        <w:bottom w:val="none" w:sz="0" w:space="0" w:color="auto"/>
        <w:right w:val="none" w:sz="0" w:space="0" w:color="auto"/>
      </w:divBdr>
    </w:div>
    <w:div w:id="683481163">
      <w:bodyDiv w:val="1"/>
      <w:marLeft w:val="0"/>
      <w:marRight w:val="0"/>
      <w:marTop w:val="0"/>
      <w:marBottom w:val="0"/>
      <w:divBdr>
        <w:top w:val="none" w:sz="0" w:space="0" w:color="auto"/>
        <w:left w:val="none" w:sz="0" w:space="0" w:color="auto"/>
        <w:bottom w:val="none" w:sz="0" w:space="0" w:color="auto"/>
        <w:right w:val="none" w:sz="0" w:space="0" w:color="auto"/>
      </w:divBdr>
    </w:div>
    <w:div w:id="684865155">
      <w:bodyDiv w:val="1"/>
      <w:marLeft w:val="0"/>
      <w:marRight w:val="0"/>
      <w:marTop w:val="0"/>
      <w:marBottom w:val="0"/>
      <w:divBdr>
        <w:top w:val="none" w:sz="0" w:space="0" w:color="auto"/>
        <w:left w:val="none" w:sz="0" w:space="0" w:color="auto"/>
        <w:bottom w:val="none" w:sz="0" w:space="0" w:color="auto"/>
        <w:right w:val="none" w:sz="0" w:space="0" w:color="auto"/>
      </w:divBdr>
    </w:div>
    <w:div w:id="690107240">
      <w:bodyDiv w:val="1"/>
      <w:marLeft w:val="0"/>
      <w:marRight w:val="0"/>
      <w:marTop w:val="0"/>
      <w:marBottom w:val="0"/>
      <w:divBdr>
        <w:top w:val="none" w:sz="0" w:space="0" w:color="auto"/>
        <w:left w:val="none" w:sz="0" w:space="0" w:color="auto"/>
        <w:bottom w:val="none" w:sz="0" w:space="0" w:color="auto"/>
        <w:right w:val="none" w:sz="0" w:space="0" w:color="auto"/>
      </w:divBdr>
    </w:div>
    <w:div w:id="690570959">
      <w:bodyDiv w:val="1"/>
      <w:marLeft w:val="0"/>
      <w:marRight w:val="0"/>
      <w:marTop w:val="0"/>
      <w:marBottom w:val="0"/>
      <w:divBdr>
        <w:top w:val="none" w:sz="0" w:space="0" w:color="auto"/>
        <w:left w:val="none" w:sz="0" w:space="0" w:color="auto"/>
        <w:bottom w:val="none" w:sz="0" w:space="0" w:color="auto"/>
        <w:right w:val="none" w:sz="0" w:space="0" w:color="auto"/>
      </w:divBdr>
    </w:div>
    <w:div w:id="703940893">
      <w:bodyDiv w:val="1"/>
      <w:marLeft w:val="0"/>
      <w:marRight w:val="0"/>
      <w:marTop w:val="0"/>
      <w:marBottom w:val="0"/>
      <w:divBdr>
        <w:top w:val="none" w:sz="0" w:space="0" w:color="auto"/>
        <w:left w:val="none" w:sz="0" w:space="0" w:color="auto"/>
        <w:bottom w:val="none" w:sz="0" w:space="0" w:color="auto"/>
        <w:right w:val="none" w:sz="0" w:space="0" w:color="auto"/>
      </w:divBdr>
    </w:div>
    <w:div w:id="716247334">
      <w:bodyDiv w:val="1"/>
      <w:marLeft w:val="0"/>
      <w:marRight w:val="0"/>
      <w:marTop w:val="0"/>
      <w:marBottom w:val="0"/>
      <w:divBdr>
        <w:top w:val="none" w:sz="0" w:space="0" w:color="auto"/>
        <w:left w:val="none" w:sz="0" w:space="0" w:color="auto"/>
        <w:bottom w:val="none" w:sz="0" w:space="0" w:color="auto"/>
        <w:right w:val="none" w:sz="0" w:space="0" w:color="auto"/>
      </w:divBdr>
    </w:div>
    <w:div w:id="716471239">
      <w:bodyDiv w:val="1"/>
      <w:marLeft w:val="0"/>
      <w:marRight w:val="0"/>
      <w:marTop w:val="0"/>
      <w:marBottom w:val="0"/>
      <w:divBdr>
        <w:top w:val="none" w:sz="0" w:space="0" w:color="auto"/>
        <w:left w:val="none" w:sz="0" w:space="0" w:color="auto"/>
        <w:bottom w:val="none" w:sz="0" w:space="0" w:color="auto"/>
        <w:right w:val="none" w:sz="0" w:space="0" w:color="auto"/>
      </w:divBdr>
    </w:div>
    <w:div w:id="718480065">
      <w:bodyDiv w:val="1"/>
      <w:marLeft w:val="0"/>
      <w:marRight w:val="0"/>
      <w:marTop w:val="0"/>
      <w:marBottom w:val="0"/>
      <w:divBdr>
        <w:top w:val="none" w:sz="0" w:space="0" w:color="auto"/>
        <w:left w:val="none" w:sz="0" w:space="0" w:color="auto"/>
        <w:bottom w:val="none" w:sz="0" w:space="0" w:color="auto"/>
        <w:right w:val="none" w:sz="0" w:space="0" w:color="auto"/>
      </w:divBdr>
    </w:div>
    <w:div w:id="721708038">
      <w:bodyDiv w:val="1"/>
      <w:marLeft w:val="0"/>
      <w:marRight w:val="0"/>
      <w:marTop w:val="0"/>
      <w:marBottom w:val="0"/>
      <w:divBdr>
        <w:top w:val="none" w:sz="0" w:space="0" w:color="auto"/>
        <w:left w:val="none" w:sz="0" w:space="0" w:color="auto"/>
        <w:bottom w:val="none" w:sz="0" w:space="0" w:color="auto"/>
        <w:right w:val="none" w:sz="0" w:space="0" w:color="auto"/>
      </w:divBdr>
    </w:div>
    <w:div w:id="727143406">
      <w:bodyDiv w:val="1"/>
      <w:marLeft w:val="0"/>
      <w:marRight w:val="0"/>
      <w:marTop w:val="0"/>
      <w:marBottom w:val="0"/>
      <w:divBdr>
        <w:top w:val="none" w:sz="0" w:space="0" w:color="auto"/>
        <w:left w:val="none" w:sz="0" w:space="0" w:color="auto"/>
        <w:bottom w:val="none" w:sz="0" w:space="0" w:color="auto"/>
        <w:right w:val="none" w:sz="0" w:space="0" w:color="auto"/>
      </w:divBdr>
    </w:div>
    <w:div w:id="728303352">
      <w:bodyDiv w:val="1"/>
      <w:marLeft w:val="0"/>
      <w:marRight w:val="0"/>
      <w:marTop w:val="0"/>
      <w:marBottom w:val="0"/>
      <w:divBdr>
        <w:top w:val="none" w:sz="0" w:space="0" w:color="auto"/>
        <w:left w:val="none" w:sz="0" w:space="0" w:color="auto"/>
        <w:bottom w:val="none" w:sz="0" w:space="0" w:color="auto"/>
        <w:right w:val="none" w:sz="0" w:space="0" w:color="auto"/>
      </w:divBdr>
    </w:div>
    <w:div w:id="729503732">
      <w:bodyDiv w:val="1"/>
      <w:marLeft w:val="0"/>
      <w:marRight w:val="0"/>
      <w:marTop w:val="0"/>
      <w:marBottom w:val="0"/>
      <w:divBdr>
        <w:top w:val="none" w:sz="0" w:space="0" w:color="auto"/>
        <w:left w:val="none" w:sz="0" w:space="0" w:color="auto"/>
        <w:bottom w:val="none" w:sz="0" w:space="0" w:color="auto"/>
        <w:right w:val="none" w:sz="0" w:space="0" w:color="auto"/>
      </w:divBdr>
    </w:div>
    <w:div w:id="729696872">
      <w:bodyDiv w:val="1"/>
      <w:marLeft w:val="0"/>
      <w:marRight w:val="0"/>
      <w:marTop w:val="0"/>
      <w:marBottom w:val="0"/>
      <w:divBdr>
        <w:top w:val="none" w:sz="0" w:space="0" w:color="auto"/>
        <w:left w:val="none" w:sz="0" w:space="0" w:color="auto"/>
        <w:bottom w:val="none" w:sz="0" w:space="0" w:color="auto"/>
        <w:right w:val="none" w:sz="0" w:space="0" w:color="auto"/>
      </w:divBdr>
    </w:div>
    <w:div w:id="729813187">
      <w:bodyDiv w:val="1"/>
      <w:marLeft w:val="0"/>
      <w:marRight w:val="0"/>
      <w:marTop w:val="0"/>
      <w:marBottom w:val="0"/>
      <w:divBdr>
        <w:top w:val="none" w:sz="0" w:space="0" w:color="auto"/>
        <w:left w:val="none" w:sz="0" w:space="0" w:color="auto"/>
        <w:bottom w:val="none" w:sz="0" w:space="0" w:color="auto"/>
        <w:right w:val="none" w:sz="0" w:space="0" w:color="auto"/>
      </w:divBdr>
    </w:div>
    <w:div w:id="735589065">
      <w:bodyDiv w:val="1"/>
      <w:marLeft w:val="0"/>
      <w:marRight w:val="0"/>
      <w:marTop w:val="0"/>
      <w:marBottom w:val="0"/>
      <w:divBdr>
        <w:top w:val="none" w:sz="0" w:space="0" w:color="auto"/>
        <w:left w:val="none" w:sz="0" w:space="0" w:color="auto"/>
        <w:bottom w:val="none" w:sz="0" w:space="0" w:color="auto"/>
        <w:right w:val="none" w:sz="0" w:space="0" w:color="auto"/>
      </w:divBdr>
    </w:div>
    <w:div w:id="738600891">
      <w:bodyDiv w:val="1"/>
      <w:marLeft w:val="0"/>
      <w:marRight w:val="0"/>
      <w:marTop w:val="0"/>
      <w:marBottom w:val="0"/>
      <w:divBdr>
        <w:top w:val="none" w:sz="0" w:space="0" w:color="auto"/>
        <w:left w:val="none" w:sz="0" w:space="0" w:color="auto"/>
        <w:bottom w:val="none" w:sz="0" w:space="0" w:color="auto"/>
        <w:right w:val="none" w:sz="0" w:space="0" w:color="auto"/>
      </w:divBdr>
    </w:div>
    <w:div w:id="738787580">
      <w:bodyDiv w:val="1"/>
      <w:marLeft w:val="0"/>
      <w:marRight w:val="0"/>
      <w:marTop w:val="0"/>
      <w:marBottom w:val="0"/>
      <w:divBdr>
        <w:top w:val="none" w:sz="0" w:space="0" w:color="auto"/>
        <w:left w:val="none" w:sz="0" w:space="0" w:color="auto"/>
        <w:bottom w:val="none" w:sz="0" w:space="0" w:color="auto"/>
        <w:right w:val="none" w:sz="0" w:space="0" w:color="auto"/>
      </w:divBdr>
    </w:div>
    <w:div w:id="738868503">
      <w:bodyDiv w:val="1"/>
      <w:marLeft w:val="0"/>
      <w:marRight w:val="0"/>
      <w:marTop w:val="0"/>
      <w:marBottom w:val="0"/>
      <w:divBdr>
        <w:top w:val="none" w:sz="0" w:space="0" w:color="auto"/>
        <w:left w:val="none" w:sz="0" w:space="0" w:color="auto"/>
        <w:bottom w:val="none" w:sz="0" w:space="0" w:color="auto"/>
        <w:right w:val="none" w:sz="0" w:space="0" w:color="auto"/>
      </w:divBdr>
    </w:div>
    <w:div w:id="740713263">
      <w:bodyDiv w:val="1"/>
      <w:marLeft w:val="0"/>
      <w:marRight w:val="0"/>
      <w:marTop w:val="0"/>
      <w:marBottom w:val="0"/>
      <w:divBdr>
        <w:top w:val="none" w:sz="0" w:space="0" w:color="auto"/>
        <w:left w:val="none" w:sz="0" w:space="0" w:color="auto"/>
        <w:bottom w:val="none" w:sz="0" w:space="0" w:color="auto"/>
        <w:right w:val="none" w:sz="0" w:space="0" w:color="auto"/>
      </w:divBdr>
    </w:div>
    <w:div w:id="748423858">
      <w:bodyDiv w:val="1"/>
      <w:marLeft w:val="0"/>
      <w:marRight w:val="0"/>
      <w:marTop w:val="0"/>
      <w:marBottom w:val="0"/>
      <w:divBdr>
        <w:top w:val="none" w:sz="0" w:space="0" w:color="auto"/>
        <w:left w:val="none" w:sz="0" w:space="0" w:color="auto"/>
        <w:bottom w:val="none" w:sz="0" w:space="0" w:color="auto"/>
        <w:right w:val="none" w:sz="0" w:space="0" w:color="auto"/>
      </w:divBdr>
    </w:div>
    <w:div w:id="750543136">
      <w:bodyDiv w:val="1"/>
      <w:marLeft w:val="0"/>
      <w:marRight w:val="0"/>
      <w:marTop w:val="0"/>
      <w:marBottom w:val="0"/>
      <w:divBdr>
        <w:top w:val="none" w:sz="0" w:space="0" w:color="auto"/>
        <w:left w:val="none" w:sz="0" w:space="0" w:color="auto"/>
        <w:bottom w:val="none" w:sz="0" w:space="0" w:color="auto"/>
        <w:right w:val="none" w:sz="0" w:space="0" w:color="auto"/>
      </w:divBdr>
    </w:div>
    <w:div w:id="756561139">
      <w:bodyDiv w:val="1"/>
      <w:marLeft w:val="0"/>
      <w:marRight w:val="0"/>
      <w:marTop w:val="0"/>
      <w:marBottom w:val="0"/>
      <w:divBdr>
        <w:top w:val="none" w:sz="0" w:space="0" w:color="auto"/>
        <w:left w:val="none" w:sz="0" w:space="0" w:color="auto"/>
        <w:bottom w:val="none" w:sz="0" w:space="0" w:color="auto"/>
        <w:right w:val="none" w:sz="0" w:space="0" w:color="auto"/>
      </w:divBdr>
    </w:div>
    <w:div w:id="761685787">
      <w:bodyDiv w:val="1"/>
      <w:marLeft w:val="0"/>
      <w:marRight w:val="0"/>
      <w:marTop w:val="0"/>
      <w:marBottom w:val="0"/>
      <w:divBdr>
        <w:top w:val="none" w:sz="0" w:space="0" w:color="auto"/>
        <w:left w:val="none" w:sz="0" w:space="0" w:color="auto"/>
        <w:bottom w:val="none" w:sz="0" w:space="0" w:color="auto"/>
        <w:right w:val="none" w:sz="0" w:space="0" w:color="auto"/>
      </w:divBdr>
    </w:div>
    <w:div w:id="763918190">
      <w:bodyDiv w:val="1"/>
      <w:marLeft w:val="0"/>
      <w:marRight w:val="0"/>
      <w:marTop w:val="0"/>
      <w:marBottom w:val="0"/>
      <w:divBdr>
        <w:top w:val="none" w:sz="0" w:space="0" w:color="auto"/>
        <w:left w:val="none" w:sz="0" w:space="0" w:color="auto"/>
        <w:bottom w:val="none" w:sz="0" w:space="0" w:color="auto"/>
        <w:right w:val="none" w:sz="0" w:space="0" w:color="auto"/>
      </w:divBdr>
    </w:div>
    <w:div w:id="764037899">
      <w:bodyDiv w:val="1"/>
      <w:marLeft w:val="0"/>
      <w:marRight w:val="0"/>
      <w:marTop w:val="0"/>
      <w:marBottom w:val="0"/>
      <w:divBdr>
        <w:top w:val="none" w:sz="0" w:space="0" w:color="auto"/>
        <w:left w:val="none" w:sz="0" w:space="0" w:color="auto"/>
        <w:bottom w:val="none" w:sz="0" w:space="0" w:color="auto"/>
        <w:right w:val="none" w:sz="0" w:space="0" w:color="auto"/>
      </w:divBdr>
    </w:div>
    <w:div w:id="764497720">
      <w:bodyDiv w:val="1"/>
      <w:marLeft w:val="0"/>
      <w:marRight w:val="0"/>
      <w:marTop w:val="0"/>
      <w:marBottom w:val="0"/>
      <w:divBdr>
        <w:top w:val="none" w:sz="0" w:space="0" w:color="auto"/>
        <w:left w:val="none" w:sz="0" w:space="0" w:color="auto"/>
        <w:bottom w:val="none" w:sz="0" w:space="0" w:color="auto"/>
        <w:right w:val="none" w:sz="0" w:space="0" w:color="auto"/>
      </w:divBdr>
    </w:div>
    <w:div w:id="768161187">
      <w:bodyDiv w:val="1"/>
      <w:marLeft w:val="0"/>
      <w:marRight w:val="0"/>
      <w:marTop w:val="0"/>
      <w:marBottom w:val="0"/>
      <w:divBdr>
        <w:top w:val="none" w:sz="0" w:space="0" w:color="auto"/>
        <w:left w:val="none" w:sz="0" w:space="0" w:color="auto"/>
        <w:bottom w:val="none" w:sz="0" w:space="0" w:color="auto"/>
        <w:right w:val="none" w:sz="0" w:space="0" w:color="auto"/>
      </w:divBdr>
    </w:div>
    <w:div w:id="768428653">
      <w:bodyDiv w:val="1"/>
      <w:marLeft w:val="0"/>
      <w:marRight w:val="0"/>
      <w:marTop w:val="0"/>
      <w:marBottom w:val="0"/>
      <w:divBdr>
        <w:top w:val="none" w:sz="0" w:space="0" w:color="auto"/>
        <w:left w:val="none" w:sz="0" w:space="0" w:color="auto"/>
        <w:bottom w:val="none" w:sz="0" w:space="0" w:color="auto"/>
        <w:right w:val="none" w:sz="0" w:space="0" w:color="auto"/>
      </w:divBdr>
    </w:div>
    <w:div w:id="770902781">
      <w:bodyDiv w:val="1"/>
      <w:marLeft w:val="0"/>
      <w:marRight w:val="0"/>
      <w:marTop w:val="0"/>
      <w:marBottom w:val="0"/>
      <w:divBdr>
        <w:top w:val="none" w:sz="0" w:space="0" w:color="auto"/>
        <w:left w:val="none" w:sz="0" w:space="0" w:color="auto"/>
        <w:bottom w:val="none" w:sz="0" w:space="0" w:color="auto"/>
        <w:right w:val="none" w:sz="0" w:space="0" w:color="auto"/>
      </w:divBdr>
    </w:div>
    <w:div w:id="776171570">
      <w:bodyDiv w:val="1"/>
      <w:marLeft w:val="0"/>
      <w:marRight w:val="0"/>
      <w:marTop w:val="0"/>
      <w:marBottom w:val="0"/>
      <w:divBdr>
        <w:top w:val="none" w:sz="0" w:space="0" w:color="auto"/>
        <w:left w:val="none" w:sz="0" w:space="0" w:color="auto"/>
        <w:bottom w:val="none" w:sz="0" w:space="0" w:color="auto"/>
        <w:right w:val="none" w:sz="0" w:space="0" w:color="auto"/>
      </w:divBdr>
    </w:div>
    <w:div w:id="780957314">
      <w:bodyDiv w:val="1"/>
      <w:marLeft w:val="0"/>
      <w:marRight w:val="0"/>
      <w:marTop w:val="0"/>
      <w:marBottom w:val="0"/>
      <w:divBdr>
        <w:top w:val="none" w:sz="0" w:space="0" w:color="auto"/>
        <w:left w:val="none" w:sz="0" w:space="0" w:color="auto"/>
        <w:bottom w:val="none" w:sz="0" w:space="0" w:color="auto"/>
        <w:right w:val="none" w:sz="0" w:space="0" w:color="auto"/>
      </w:divBdr>
    </w:div>
    <w:div w:id="782958736">
      <w:bodyDiv w:val="1"/>
      <w:marLeft w:val="0"/>
      <w:marRight w:val="0"/>
      <w:marTop w:val="0"/>
      <w:marBottom w:val="0"/>
      <w:divBdr>
        <w:top w:val="none" w:sz="0" w:space="0" w:color="auto"/>
        <w:left w:val="none" w:sz="0" w:space="0" w:color="auto"/>
        <w:bottom w:val="none" w:sz="0" w:space="0" w:color="auto"/>
        <w:right w:val="none" w:sz="0" w:space="0" w:color="auto"/>
      </w:divBdr>
    </w:div>
    <w:div w:id="783967389">
      <w:bodyDiv w:val="1"/>
      <w:marLeft w:val="0"/>
      <w:marRight w:val="0"/>
      <w:marTop w:val="0"/>
      <w:marBottom w:val="0"/>
      <w:divBdr>
        <w:top w:val="none" w:sz="0" w:space="0" w:color="auto"/>
        <w:left w:val="none" w:sz="0" w:space="0" w:color="auto"/>
        <w:bottom w:val="none" w:sz="0" w:space="0" w:color="auto"/>
        <w:right w:val="none" w:sz="0" w:space="0" w:color="auto"/>
      </w:divBdr>
    </w:div>
    <w:div w:id="784159282">
      <w:bodyDiv w:val="1"/>
      <w:marLeft w:val="0"/>
      <w:marRight w:val="0"/>
      <w:marTop w:val="0"/>
      <w:marBottom w:val="0"/>
      <w:divBdr>
        <w:top w:val="none" w:sz="0" w:space="0" w:color="auto"/>
        <w:left w:val="none" w:sz="0" w:space="0" w:color="auto"/>
        <w:bottom w:val="none" w:sz="0" w:space="0" w:color="auto"/>
        <w:right w:val="none" w:sz="0" w:space="0" w:color="auto"/>
      </w:divBdr>
    </w:div>
    <w:div w:id="785538048">
      <w:bodyDiv w:val="1"/>
      <w:marLeft w:val="0"/>
      <w:marRight w:val="0"/>
      <w:marTop w:val="0"/>
      <w:marBottom w:val="0"/>
      <w:divBdr>
        <w:top w:val="none" w:sz="0" w:space="0" w:color="auto"/>
        <w:left w:val="none" w:sz="0" w:space="0" w:color="auto"/>
        <w:bottom w:val="none" w:sz="0" w:space="0" w:color="auto"/>
        <w:right w:val="none" w:sz="0" w:space="0" w:color="auto"/>
      </w:divBdr>
    </w:div>
    <w:div w:id="793796325">
      <w:bodyDiv w:val="1"/>
      <w:marLeft w:val="0"/>
      <w:marRight w:val="0"/>
      <w:marTop w:val="0"/>
      <w:marBottom w:val="0"/>
      <w:divBdr>
        <w:top w:val="none" w:sz="0" w:space="0" w:color="auto"/>
        <w:left w:val="none" w:sz="0" w:space="0" w:color="auto"/>
        <w:bottom w:val="none" w:sz="0" w:space="0" w:color="auto"/>
        <w:right w:val="none" w:sz="0" w:space="0" w:color="auto"/>
      </w:divBdr>
    </w:div>
    <w:div w:id="803697964">
      <w:bodyDiv w:val="1"/>
      <w:marLeft w:val="0"/>
      <w:marRight w:val="0"/>
      <w:marTop w:val="0"/>
      <w:marBottom w:val="0"/>
      <w:divBdr>
        <w:top w:val="none" w:sz="0" w:space="0" w:color="auto"/>
        <w:left w:val="none" w:sz="0" w:space="0" w:color="auto"/>
        <w:bottom w:val="none" w:sz="0" w:space="0" w:color="auto"/>
        <w:right w:val="none" w:sz="0" w:space="0" w:color="auto"/>
      </w:divBdr>
    </w:div>
    <w:div w:id="807279006">
      <w:bodyDiv w:val="1"/>
      <w:marLeft w:val="0"/>
      <w:marRight w:val="0"/>
      <w:marTop w:val="0"/>
      <w:marBottom w:val="0"/>
      <w:divBdr>
        <w:top w:val="none" w:sz="0" w:space="0" w:color="auto"/>
        <w:left w:val="none" w:sz="0" w:space="0" w:color="auto"/>
        <w:bottom w:val="none" w:sz="0" w:space="0" w:color="auto"/>
        <w:right w:val="none" w:sz="0" w:space="0" w:color="auto"/>
      </w:divBdr>
    </w:div>
    <w:div w:id="807552225">
      <w:bodyDiv w:val="1"/>
      <w:marLeft w:val="0"/>
      <w:marRight w:val="0"/>
      <w:marTop w:val="0"/>
      <w:marBottom w:val="0"/>
      <w:divBdr>
        <w:top w:val="none" w:sz="0" w:space="0" w:color="auto"/>
        <w:left w:val="none" w:sz="0" w:space="0" w:color="auto"/>
        <w:bottom w:val="none" w:sz="0" w:space="0" w:color="auto"/>
        <w:right w:val="none" w:sz="0" w:space="0" w:color="auto"/>
      </w:divBdr>
    </w:div>
    <w:div w:id="809051549">
      <w:bodyDiv w:val="1"/>
      <w:marLeft w:val="0"/>
      <w:marRight w:val="0"/>
      <w:marTop w:val="0"/>
      <w:marBottom w:val="0"/>
      <w:divBdr>
        <w:top w:val="none" w:sz="0" w:space="0" w:color="auto"/>
        <w:left w:val="none" w:sz="0" w:space="0" w:color="auto"/>
        <w:bottom w:val="none" w:sz="0" w:space="0" w:color="auto"/>
        <w:right w:val="none" w:sz="0" w:space="0" w:color="auto"/>
      </w:divBdr>
    </w:div>
    <w:div w:id="810756018">
      <w:bodyDiv w:val="1"/>
      <w:marLeft w:val="0"/>
      <w:marRight w:val="0"/>
      <w:marTop w:val="0"/>
      <w:marBottom w:val="0"/>
      <w:divBdr>
        <w:top w:val="none" w:sz="0" w:space="0" w:color="auto"/>
        <w:left w:val="none" w:sz="0" w:space="0" w:color="auto"/>
        <w:bottom w:val="none" w:sz="0" w:space="0" w:color="auto"/>
        <w:right w:val="none" w:sz="0" w:space="0" w:color="auto"/>
      </w:divBdr>
    </w:div>
    <w:div w:id="815146732">
      <w:bodyDiv w:val="1"/>
      <w:marLeft w:val="0"/>
      <w:marRight w:val="0"/>
      <w:marTop w:val="0"/>
      <w:marBottom w:val="0"/>
      <w:divBdr>
        <w:top w:val="none" w:sz="0" w:space="0" w:color="auto"/>
        <w:left w:val="none" w:sz="0" w:space="0" w:color="auto"/>
        <w:bottom w:val="none" w:sz="0" w:space="0" w:color="auto"/>
        <w:right w:val="none" w:sz="0" w:space="0" w:color="auto"/>
      </w:divBdr>
    </w:div>
    <w:div w:id="817453538">
      <w:bodyDiv w:val="1"/>
      <w:marLeft w:val="0"/>
      <w:marRight w:val="0"/>
      <w:marTop w:val="0"/>
      <w:marBottom w:val="0"/>
      <w:divBdr>
        <w:top w:val="none" w:sz="0" w:space="0" w:color="auto"/>
        <w:left w:val="none" w:sz="0" w:space="0" w:color="auto"/>
        <w:bottom w:val="none" w:sz="0" w:space="0" w:color="auto"/>
        <w:right w:val="none" w:sz="0" w:space="0" w:color="auto"/>
      </w:divBdr>
    </w:div>
    <w:div w:id="834610316">
      <w:bodyDiv w:val="1"/>
      <w:marLeft w:val="0"/>
      <w:marRight w:val="0"/>
      <w:marTop w:val="0"/>
      <w:marBottom w:val="0"/>
      <w:divBdr>
        <w:top w:val="none" w:sz="0" w:space="0" w:color="auto"/>
        <w:left w:val="none" w:sz="0" w:space="0" w:color="auto"/>
        <w:bottom w:val="none" w:sz="0" w:space="0" w:color="auto"/>
        <w:right w:val="none" w:sz="0" w:space="0" w:color="auto"/>
      </w:divBdr>
    </w:div>
    <w:div w:id="836190609">
      <w:bodyDiv w:val="1"/>
      <w:marLeft w:val="0"/>
      <w:marRight w:val="0"/>
      <w:marTop w:val="0"/>
      <w:marBottom w:val="0"/>
      <w:divBdr>
        <w:top w:val="none" w:sz="0" w:space="0" w:color="auto"/>
        <w:left w:val="none" w:sz="0" w:space="0" w:color="auto"/>
        <w:bottom w:val="none" w:sz="0" w:space="0" w:color="auto"/>
        <w:right w:val="none" w:sz="0" w:space="0" w:color="auto"/>
      </w:divBdr>
    </w:div>
    <w:div w:id="839277858">
      <w:bodyDiv w:val="1"/>
      <w:marLeft w:val="0"/>
      <w:marRight w:val="0"/>
      <w:marTop w:val="0"/>
      <w:marBottom w:val="0"/>
      <w:divBdr>
        <w:top w:val="none" w:sz="0" w:space="0" w:color="auto"/>
        <w:left w:val="none" w:sz="0" w:space="0" w:color="auto"/>
        <w:bottom w:val="none" w:sz="0" w:space="0" w:color="auto"/>
        <w:right w:val="none" w:sz="0" w:space="0" w:color="auto"/>
      </w:divBdr>
    </w:div>
    <w:div w:id="843128024">
      <w:bodyDiv w:val="1"/>
      <w:marLeft w:val="0"/>
      <w:marRight w:val="0"/>
      <w:marTop w:val="0"/>
      <w:marBottom w:val="0"/>
      <w:divBdr>
        <w:top w:val="none" w:sz="0" w:space="0" w:color="auto"/>
        <w:left w:val="none" w:sz="0" w:space="0" w:color="auto"/>
        <w:bottom w:val="none" w:sz="0" w:space="0" w:color="auto"/>
        <w:right w:val="none" w:sz="0" w:space="0" w:color="auto"/>
      </w:divBdr>
    </w:div>
    <w:div w:id="846791295">
      <w:bodyDiv w:val="1"/>
      <w:marLeft w:val="0"/>
      <w:marRight w:val="0"/>
      <w:marTop w:val="0"/>
      <w:marBottom w:val="0"/>
      <w:divBdr>
        <w:top w:val="none" w:sz="0" w:space="0" w:color="auto"/>
        <w:left w:val="none" w:sz="0" w:space="0" w:color="auto"/>
        <w:bottom w:val="none" w:sz="0" w:space="0" w:color="auto"/>
        <w:right w:val="none" w:sz="0" w:space="0" w:color="auto"/>
      </w:divBdr>
    </w:div>
    <w:div w:id="850224425">
      <w:bodyDiv w:val="1"/>
      <w:marLeft w:val="0"/>
      <w:marRight w:val="0"/>
      <w:marTop w:val="0"/>
      <w:marBottom w:val="0"/>
      <w:divBdr>
        <w:top w:val="none" w:sz="0" w:space="0" w:color="auto"/>
        <w:left w:val="none" w:sz="0" w:space="0" w:color="auto"/>
        <w:bottom w:val="none" w:sz="0" w:space="0" w:color="auto"/>
        <w:right w:val="none" w:sz="0" w:space="0" w:color="auto"/>
      </w:divBdr>
    </w:div>
    <w:div w:id="850338334">
      <w:bodyDiv w:val="1"/>
      <w:marLeft w:val="0"/>
      <w:marRight w:val="0"/>
      <w:marTop w:val="0"/>
      <w:marBottom w:val="0"/>
      <w:divBdr>
        <w:top w:val="none" w:sz="0" w:space="0" w:color="auto"/>
        <w:left w:val="none" w:sz="0" w:space="0" w:color="auto"/>
        <w:bottom w:val="none" w:sz="0" w:space="0" w:color="auto"/>
        <w:right w:val="none" w:sz="0" w:space="0" w:color="auto"/>
      </w:divBdr>
    </w:div>
    <w:div w:id="851188790">
      <w:bodyDiv w:val="1"/>
      <w:marLeft w:val="0"/>
      <w:marRight w:val="0"/>
      <w:marTop w:val="0"/>
      <w:marBottom w:val="0"/>
      <w:divBdr>
        <w:top w:val="none" w:sz="0" w:space="0" w:color="auto"/>
        <w:left w:val="none" w:sz="0" w:space="0" w:color="auto"/>
        <w:bottom w:val="none" w:sz="0" w:space="0" w:color="auto"/>
        <w:right w:val="none" w:sz="0" w:space="0" w:color="auto"/>
      </w:divBdr>
    </w:div>
    <w:div w:id="852232898">
      <w:bodyDiv w:val="1"/>
      <w:marLeft w:val="0"/>
      <w:marRight w:val="0"/>
      <w:marTop w:val="0"/>
      <w:marBottom w:val="0"/>
      <w:divBdr>
        <w:top w:val="none" w:sz="0" w:space="0" w:color="auto"/>
        <w:left w:val="none" w:sz="0" w:space="0" w:color="auto"/>
        <w:bottom w:val="none" w:sz="0" w:space="0" w:color="auto"/>
        <w:right w:val="none" w:sz="0" w:space="0" w:color="auto"/>
      </w:divBdr>
    </w:div>
    <w:div w:id="853030238">
      <w:bodyDiv w:val="1"/>
      <w:marLeft w:val="0"/>
      <w:marRight w:val="0"/>
      <w:marTop w:val="0"/>
      <w:marBottom w:val="0"/>
      <w:divBdr>
        <w:top w:val="none" w:sz="0" w:space="0" w:color="auto"/>
        <w:left w:val="none" w:sz="0" w:space="0" w:color="auto"/>
        <w:bottom w:val="none" w:sz="0" w:space="0" w:color="auto"/>
        <w:right w:val="none" w:sz="0" w:space="0" w:color="auto"/>
      </w:divBdr>
    </w:div>
    <w:div w:id="853492971">
      <w:bodyDiv w:val="1"/>
      <w:marLeft w:val="0"/>
      <w:marRight w:val="0"/>
      <w:marTop w:val="0"/>
      <w:marBottom w:val="0"/>
      <w:divBdr>
        <w:top w:val="none" w:sz="0" w:space="0" w:color="auto"/>
        <w:left w:val="none" w:sz="0" w:space="0" w:color="auto"/>
        <w:bottom w:val="none" w:sz="0" w:space="0" w:color="auto"/>
        <w:right w:val="none" w:sz="0" w:space="0" w:color="auto"/>
      </w:divBdr>
    </w:div>
    <w:div w:id="854878485">
      <w:bodyDiv w:val="1"/>
      <w:marLeft w:val="0"/>
      <w:marRight w:val="0"/>
      <w:marTop w:val="0"/>
      <w:marBottom w:val="0"/>
      <w:divBdr>
        <w:top w:val="none" w:sz="0" w:space="0" w:color="auto"/>
        <w:left w:val="none" w:sz="0" w:space="0" w:color="auto"/>
        <w:bottom w:val="none" w:sz="0" w:space="0" w:color="auto"/>
        <w:right w:val="none" w:sz="0" w:space="0" w:color="auto"/>
      </w:divBdr>
    </w:div>
    <w:div w:id="857621019">
      <w:bodyDiv w:val="1"/>
      <w:marLeft w:val="0"/>
      <w:marRight w:val="0"/>
      <w:marTop w:val="0"/>
      <w:marBottom w:val="0"/>
      <w:divBdr>
        <w:top w:val="none" w:sz="0" w:space="0" w:color="auto"/>
        <w:left w:val="none" w:sz="0" w:space="0" w:color="auto"/>
        <w:bottom w:val="none" w:sz="0" w:space="0" w:color="auto"/>
        <w:right w:val="none" w:sz="0" w:space="0" w:color="auto"/>
      </w:divBdr>
    </w:div>
    <w:div w:id="858736303">
      <w:bodyDiv w:val="1"/>
      <w:marLeft w:val="0"/>
      <w:marRight w:val="0"/>
      <w:marTop w:val="0"/>
      <w:marBottom w:val="0"/>
      <w:divBdr>
        <w:top w:val="none" w:sz="0" w:space="0" w:color="auto"/>
        <w:left w:val="none" w:sz="0" w:space="0" w:color="auto"/>
        <w:bottom w:val="none" w:sz="0" w:space="0" w:color="auto"/>
        <w:right w:val="none" w:sz="0" w:space="0" w:color="auto"/>
      </w:divBdr>
    </w:div>
    <w:div w:id="860436576">
      <w:bodyDiv w:val="1"/>
      <w:marLeft w:val="0"/>
      <w:marRight w:val="0"/>
      <w:marTop w:val="0"/>
      <w:marBottom w:val="0"/>
      <w:divBdr>
        <w:top w:val="none" w:sz="0" w:space="0" w:color="auto"/>
        <w:left w:val="none" w:sz="0" w:space="0" w:color="auto"/>
        <w:bottom w:val="none" w:sz="0" w:space="0" w:color="auto"/>
        <w:right w:val="none" w:sz="0" w:space="0" w:color="auto"/>
      </w:divBdr>
    </w:div>
    <w:div w:id="862590831">
      <w:bodyDiv w:val="1"/>
      <w:marLeft w:val="0"/>
      <w:marRight w:val="0"/>
      <w:marTop w:val="0"/>
      <w:marBottom w:val="0"/>
      <w:divBdr>
        <w:top w:val="none" w:sz="0" w:space="0" w:color="auto"/>
        <w:left w:val="none" w:sz="0" w:space="0" w:color="auto"/>
        <w:bottom w:val="none" w:sz="0" w:space="0" w:color="auto"/>
        <w:right w:val="none" w:sz="0" w:space="0" w:color="auto"/>
      </w:divBdr>
    </w:div>
    <w:div w:id="867838008">
      <w:bodyDiv w:val="1"/>
      <w:marLeft w:val="0"/>
      <w:marRight w:val="0"/>
      <w:marTop w:val="0"/>
      <w:marBottom w:val="0"/>
      <w:divBdr>
        <w:top w:val="none" w:sz="0" w:space="0" w:color="auto"/>
        <w:left w:val="none" w:sz="0" w:space="0" w:color="auto"/>
        <w:bottom w:val="none" w:sz="0" w:space="0" w:color="auto"/>
        <w:right w:val="none" w:sz="0" w:space="0" w:color="auto"/>
      </w:divBdr>
    </w:div>
    <w:div w:id="868177470">
      <w:bodyDiv w:val="1"/>
      <w:marLeft w:val="0"/>
      <w:marRight w:val="0"/>
      <w:marTop w:val="0"/>
      <w:marBottom w:val="0"/>
      <w:divBdr>
        <w:top w:val="none" w:sz="0" w:space="0" w:color="auto"/>
        <w:left w:val="none" w:sz="0" w:space="0" w:color="auto"/>
        <w:bottom w:val="none" w:sz="0" w:space="0" w:color="auto"/>
        <w:right w:val="none" w:sz="0" w:space="0" w:color="auto"/>
      </w:divBdr>
    </w:div>
    <w:div w:id="875237162">
      <w:bodyDiv w:val="1"/>
      <w:marLeft w:val="0"/>
      <w:marRight w:val="0"/>
      <w:marTop w:val="0"/>
      <w:marBottom w:val="0"/>
      <w:divBdr>
        <w:top w:val="none" w:sz="0" w:space="0" w:color="auto"/>
        <w:left w:val="none" w:sz="0" w:space="0" w:color="auto"/>
        <w:bottom w:val="none" w:sz="0" w:space="0" w:color="auto"/>
        <w:right w:val="none" w:sz="0" w:space="0" w:color="auto"/>
      </w:divBdr>
    </w:div>
    <w:div w:id="875578380">
      <w:bodyDiv w:val="1"/>
      <w:marLeft w:val="0"/>
      <w:marRight w:val="0"/>
      <w:marTop w:val="0"/>
      <w:marBottom w:val="0"/>
      <w:divBdr>
        <w:top w:val="none" w:sz="0" w:space="0" w:color="auto"/>
        <w:left w:val="none" w:sz="0" w:space="0" w:color="auto"/>
        <w:bottom w:val="none" w:sz="0" w:space="0" w:color="auto"/>
        <w:right w:val="none" w:sz="0" w:space="0" w:color="auto"/>
      </w:divBdr>
    </w:div>
    <w:div w:id="877202694">
      <w:bodyDiv w:val="1"/>
      <w:marLeft w:val="0"/>
      <w:marRight w:val="0"/>
      <w:marTop w:val="0"/>
      <w:marBottom w:val="0"/>
      <w:divBdr>
        <w:top w:val="none" w:sz="0" w:space="0" w:color="auto"/>
        <w:left w:val="none" w:sz="0" w:space="0" w:color="auto"/>
        <w:bottom w:val="none" w:sz="0" w:space="0" w:color="auto"/>
        <w:right w:val="none" w:sz="0" w:space="0" w:color="auto"/>
      </w:divBdr>
    </w:div>
    <w:div w:id="877359288">
      <w:bodyDiv w:val="1"/>
      <w:marLeft w:val="0"/>
      <w:marRight w:val="0"/>
      <w:marTop w:val="0"/>
      <w:marBottom w:val="0"/>
      <w:divBdr>
        <w:top w:val="none" w:sz="0" w:space="0" w:color="auto"/>
        <w:left w:val="none" w:sz="0" w:space="0" w:color="auto"/>
        <w:bottom w:val="none" w:sz="0" w:space="0" w:color="auto"/>
        <w:right w:val="none" w:sz="0" w:space="0" w:color="auto"/>
      </w:divBdr>
    </w:div>
    <w:div w:id="880702984">
      <w:bodyDiv w:val="1"/>
      <w:marLeft w:val="0"/>
      <w:marRight w:val="0"/>
      <w:marTop w:val="0"/>
      <w:marBottom w:val="0"/>
      <w:divBdr>
        <w:top w:val="none" w:sz="0" w:space="0" w:color="auto"/>
        <w:left w:val="none" w:sz="0" w:space="0" w:color="auto"/>
        <w:bottom w:val="none" w:sz="0" w:space="0" w:color="auto"/>
        <w:right w:val="none" w:sz="0" w:space="0" w:color="auto"/>
      </w:divBdr>
    </w:div>
    <w:div w:id="884174873">
      <w:bodyDiv w:val="1"/>
      <w:marLeft w:val="0"/>
      <w:marRight w:val="0"/>
      <w:marTop w:val="0"/>
      <w:marBottom w:val="0"/>
      <w:divBdr>
        <w:top w:val="none" w:sz="0" w:space="0" w:color="auto"/>
        <w:left w:val="none" w:sz="0" w:space="0" w:color="auto"/>
        <w:bottom w:val="none" w:sz="0" w:space="0" w:color="auto"/>
        <w:right w:val="none" w:sz="0" w:space="0" w:color="auto"/>
      </w:divBdr>
    </w:div>
    <w:div w:id="885872724">
      <w:bodyDiv w:val="1"/>
      <w:marLeft w:val="0"/>
      <w:marRight w:val="0"/>
      <w:marTop w:val="0"/>
      <w:marBottom w:val="0"/>
      <w:divBdr>
        <w:top w:val="none" w:sz="0" w:space="0" w:color="auto"/>
        <w:left w:val="none" w:sz="0" w:space="0" w:color="auto"/>
        <w:bottom w:val="none" w:sz="0" w:space="0" w:color="auto"/>
        <w:right w:val="none" w:sz="0" w:space="0" w:color="auto"/>
      </w:divBdr>
    </w:div>
    <w:div w:id="891967111">
      <w:bodyDiv w:val="1"/>
      <w:marLeft w:val="0"/>
      <w:marRight w:val="0"/>
      <w:marTop w:val="0"/>
      <w:marBottom w:val="0"/>
      <w:divBdr>
        <w:top w:val="none" w:sz="0" w:space="0" w:color="auto"/>
        <w:left w:val="none" w:sz="0" w:space="0" w:color="auto"/>
        <w:bottom w:val="none" w:sz="0" w:space="0" w:color="auto"/>
        <w:right w:val="none" w:sz="0" w:space="0" w:color="auto"/>
      </w:divBdr>
    </w:div>
    <w:div w:id="896745962">
      <w:bodyDiv w:val="1"/>
      <w:marLeft w:val="0"/>
      <w:marRight w:val="0"/>
      <w:marTop w:val="0"/>
      <w:marBottom w:val="0"/>
      <w:divBdr>
        <w:top w:val="none" w:sz="0" w:space="0" w:color="auto"/>
        <w:left w:val="none" w:sz="0" w:space="0" w:color="auto"/>
        <w:bottom w:val="none" w:sz="0" w:space="0" w:color="auto"/>
        <w:right w:val="none" w:sz="0" w:space="0" w:color="auto"/>
      </w:divBdr>
      <w:divsChild>
        <w:div w:id="1226837031">
          <w:marLeft w:val="0"/>
          <w:marRight w:val="0"/>
          <w:marTop w:val="0"/>
          <w:marBottom w:val="0"/>
          <w:divBdr>
            <w:top w:val="none" w:sz="0" w:space="0" w:color="auto"/>
            <w:left w:val="none" w:sz="0" w:space="0" w:color="auto"/>
            <w:bottom w:val="none" w:sz="0" w:space="0" w:color="auto"/>
            <w:right w:val="none" w:sz="0" w:space="0" w:color="auto"/>
          </w:divBdr>
        </w:div>
      </w:divsChild>
    </w:div>
    <w:div w:id="897744394">
      <w:bodyDiv w:val="1"/>
      <w:marLeft w:val="0"/>
      <w:marRight w:val="0"/>
      <w:marTop w:val="0"/>
      <w:marBottom w:val="0"/>
      <w:divBdr>
        <w:top w:val="none" w:sz="0" w:space="0" w:color="auto"/>
        <w:left w:val="none" w:sz="0" w:space="0" w:color="auto"/>
        <w:bottom w:val="none" w:sz="0" w:space="0" w:color="auto"/>
        <w:right w:val="none" w:sz="0" w:space="0" w:color="auto"/>
      </w:divBdr>
    </w:div>
    <w:div w:id="901139540">
      <w:bodyDiv w:val="1"/>
      <w:marLeft w:val="0"/>
      <w:marRight w:val="0"/>
      <w:marTop w:val="0"/>
      <w:marBottom w:val="0"/>
      <w:divBdr>
        <w:top w:val="none" w:sz="0" w:space="0" w:color="auto"/>
        <w:left w:val="none" w:sz="0" w:space="0" w:color="auto"/>
        <w:bottom w:val="none" w:sz="0" w:space="0" w:color="auto"/>
        <w:right w:val="none" w:sz="0" w:space="0" w:color="auto"/>
      </w:divBdr>
    </w:div>
    <w:div w:id="904876664">
      <w:bodyDiv w:val="1"/>
      <w:marLeft w:val="0"/>
      <w:marRight w:val="0"/>
      <w:marTop w:val="0"/>
      <w:marBottom w:val="0"/>
      <w:divBdr>
        <w:top w:val="none" w:sz="0" w:space="0" w:color="auto"/>
        <w:left w:val="none" w:sz="0" w:space="0" w:color="auto"/>
        <w:bottom w:val="none" w:sz="0" w:space="0" w:color="auto"/>
        <w:right w:val="none" w:sz="0" w:space="0" w:color="auto"/>
      </w:divBdr>
    </w:div>
    <w:div w:id="906187758">
      <w:bodyDiv w:val="1"/>
      <w:marLeft w:val="0"/>
      <w:marRight w:val="0"/>
      <w:marTop w:val="0"/>
      <w:marBottom w:val="0"/>
      <w:divBdr>
        <w:top w:val="none" w:sz="0" w:space="0" w:color="auto"/>
        <w:left w:val="none" w:sz="0" w:space="0" w:color="auto"/>
        <w:bottom w:val="none" w:sz="0" w:space="0" w:color="auto"/>
        <w:right w:val="none" w:sz="0" w:space="0" w:color="auto"/>
      </w:divBdr>
    </w:div>
    <w:div w:id="908272357">
      <w:bodyDiv w:val="1"/>
      <w:marLeft w:val="0"/>
      <w:marRight w:val="0"/>
      <w:marTop w:val="0"/>
      <w:marBottom w:val="0"/>
      <w:divBdr>
        <w:top w:val="none" w:sz="0" w:space="0" w:color="auto"/>
        <w:left w:val="none" w:sz="0" w:space="0" w:color="auto"/>
        <w:bottom w:val="none" w:sz="0" w:space="0" w:color="auto"/>
        <w:right w:val="none" w:sz="0" w:space="0" w:color="auto"/>
      </w:divBdr>
    </w:div>
    <w:div w:id="909196748">
      <w:bodyDiv w:val="1"/>
      <w:marLeft w:val="0"/>
      <w:marRight w:val="0"/>
      <w:marTop w:val="0"/>
      <w:marBottom w:val="0"/>
      <w:divBdr>
        <w:top w:val="none" w:sz="0" w:space="0" w:color="auto"/>
        <w:left w:val="none" w:sz="0" w:space="0" w:color="auto"/>
        <w:bottom w:val="none" w:sz="0" w:space="0" w:color="auto"/>
        <w:right w:val="none" w:sz="0" w:space="0" w:color="auto"/>
      </w:divBdr>
    </w:div>
    <w:div w:id="910426547">
      <w:bodyDiv w:val="1"/>
      <w:marLeft w:val="0"/>
      <w:marRight w:val="0"/>
      <w:marTop w:val="0"/>
      <w:marBottom w:val="0"/>
      <w:divBdr>
        <w:top w:val="none" w:sz="0" w:space="0" w:color="auto"/>
        <w:left w:val="none" w:sz="0" w:space="0" w:color="auto"/>
        <w:bottom w:val="none" w:sz="0" w:space="0" w:color="auto"/>
        <w:right w:val="none" w:sz="0" w:space="0" w:color="auto"/>
      </w:divBdr>
    </w:div>
    <w:div w:id="919801075">
      <w:bodyDiv w:val="1"/>
      <w:marLeft w:val="0"/>
      <w:marRight w:val="0"/>
      <w:marTop w:val="0"/>
      <w:marBottom w:val="0"/>
      <w:divBdr>
        <w:top w:val="none" w:sz="0" w:space="0" w:color="auto"/>
        <w:left w:val="none" w:sz="0" w:space="0" w:color="auto"/>
        <w:bottom w:val="none" w:sz="0" w:space="0" w:color="auto"/>
        <w:right w:val="none" w:sz="0" w:space="0" w:color="auto"/>
      </w:divBdr>
    </w:div>
    <w:div w:id="921178306">
      <w:bodyDiv w:val="1"/>
      <w:marLeft w:val="0"/>
      <w:marRight w:val="0"/>
      <w:marTop w:val="0"/>
      <w:marBottom w:val="0"/>
      <w:divBdr>
        <w:top w:val="none" w:sz="0" w:space="0" w:color="auto"/>
        <w:left w:val="none" w:sz="0" w:space="0" w:color="auto"/>
        <w:bottom w:val="none" w:sz="0" w:space="0" w:color="auto"/>
        <w:right w:val="none" w:sz="0" w:space="0" w:color="auto"/>
      </w:divBdr>
    </w:div>
    <w:div w:id="923997808">
      <w:bodyDiv w:val="1"/>
      <w:marLeft w:val="0"/>
      <w:marRight w:val="0"/>
      <w:marTop w:val="0"/>
      <w:marBottom w:val="0"/>
      <w:divBdr>
        <w:top w:val="none" w:sz="0" w:space="0" w:color="auto"/>
        <w:left w:val="none" w:sz="0" w:space="0" w:color="auto"/>
        <w:bottom w:val="none" w:sz="0" w:space="0" w:color="auto"/>
        <w:right w:val="none" w:sz="0" w:space="0" w:color="auto"/>
      </w:divBdr>
    </w:div>
    <w:div w:id="924731845">
      <w:bodyDiv w:val="1"/>
      <w:marLeft w:val="0"/>
      <w:marRight w:val="0"/>
      <w:marTop w:val="0"/>
      <w:marBottom w:val="0"/>
      <w:divBdr>
        <w:top w:val="none" w:sz="0" w:space="0" w:color="auto"/>
        <w:left w:val="none" w:sz="0" w:space="0" w:color="auto"/>
        <w:bottom w:val="none" w:sz="0" w:space="0" w:color="auto"/>
        <w:right w:val="none" w:sz="0" w:space="0" w:color="auto"/>
      </w:divBdr>
    </w:div>
    <w:div w:id="924917082">
      <w:bodyDiv w:val="1"/>
      <w:marLeft w:val="0"/>
      <w:marRight w:val="0"/>
      <w:marTop w:val="0"/>
      <w:marBottom w:val="0"/>
      <w:divBdr>
        <w:top w:val="none" w:sz="0" w:space="0" w:color="auto"/>
        <w:left w:val="none" w:sz="0" w:space="0" w:color="auto"/>
        <w:bottom w:val="none" w:sz="0" w:space="0" w:color="auto"/>
        <w:right w:val="none" w:sz="0" w:space="0" w:color="auto"/>
      </w:divBdr>
    </w:div>
    <w:div w:id="925724935">
      <w:bodyDiv w:val="1"/>
      <w:marLeft w:val="0"/>
      <w:marRight w:val="0"/>
      <w:marTop w:val="0"/>
      <w:marBottom w:val="0"/>
      <w:divBdr>
        <w:top w:val="none" w:sz="0" w:space="0" w:color="auto"/>
        <w:left w:val="none" w:sz="0" w:space="0" w:color="auto"/>
        <w:bottom w:val="none" w:sz="0" w:space="0" w:color="auto"/>
        <w:right w:val="none" w:sz="0" w:space="0" w:color="auto"/>
      </w:divBdr>
    </w:div>
    <w:div w:id="928585349">
      <w:bodyDiv w:val="1"/>
      <w:marLeft w:val="0"/>
      <w:marRight w:val="0"/>
      <w:marTop w:val="0"/>
      <w:marBottom w:val="0"/>
      <w:divBdr>
        <w:top w:val="none" w:sz="0" w:space="0" w:color="auto"/>
        <w:left w:val="none" w:sz="0" w:space="0" w:color="auto"/>
        <w:bottom w:val="none" w:sz="0" w:space="0" w:color="auto"/>
        <w:right w:val="none" w:sz="0" w:space="0" w:color="auto"/>
      </w:divBdr>
    </w:div>
    <w:div w:id="928926948">
      <w:bodyDiv w:val="1"/>
      <w:marLeft w:val="0"/>
      <w:marRight w:val="0"/>
      <w:marTop w:val="0"/>
      <w:marBottom w:val="0"/>
      <w:divBdr>
        <w:top w:val="none" w:sz="0" w:space="0" w:color="auto"/>
        <w:left w:val="none" w:sz="0" w:space="0" w:color="auto"/>
        <w:bottom w:val="none" w:sz="0" w:space="0" w:color="auto"/>
        <w:right w:val="none" w:sz="0" w:space="0" w:color="auto"/>
      </w:divBdr>
    </w:div>
    <w:div w:id="929970548">
      <w:bodyDiv w:val="1"/>
      <w:marLeft w:val="0"/>
      <w:marRight w:val="0"/>
      <w:marTop w:val="0"/>
      <w:marBottom w:val="0"/>
      <w:divBdr>
        <w:top w:val="none" w:sz="0" w:space="0" w:color="auto"/>
        <w:left w:val="none" w:sz="0" w:space="0" w:color="auto"/>
        <w:bottom w:val="none" w:sz="0" w:space="0" w:color="auto"/>
        <w:right w:val="none" w:sz="0" w:space="0" w:color="auto"/>
      </w:divBdr>
    </w:div>
    <w:div w:id="931427615">
      <w:bodyDiv w:val="1"/>
      <w:marLeft w:val="0"/>
      <w:marRight w:val="0"/>
      <w:marTop w:val="0"/>
      <w:marBottom w:val="0"/>
      <w:divBdr>
        <w:top w:val="none" w:sz="0" w:space="0" w:color="auto"/>
        <w:left w:val="none" w:sz="0" w:space="0" w:color="auto"/>
        <w:bottom w:val="none" w:sz="0" w:space="0" w:color="auto"/>
        <w:right w:val="none" w:sz="0" w:space="0" w:color="auto"/>
      </w:divBdr>
    </w:div>
    <w:div w:id="932930643">
      <w:bodyDiv w:val="1"/>
      <w:marLeft w:val="0"/>
      <w:marRight w:val="0"/>
      <w:marTop w:val="0"/>
      <w:marBottom w:val="0"/>
      <w:divBdr>
        <w:top w:val="none" w:sz="0" w:space="0" w:color="auto"/>
        <w:left w:val="none" w:sz="0" w:space="0" w:color="auto"/>
        <w:bottom w:val="none" w:sz="0" w:space="0" w:color="auto"/>
        <w:right w:val="none" w:sz="0" w:space="0" w:color="auto"/>
      </w:divBdr>
    </w:div>
    <w:div w:id="940526292">
      <w:bodyDiv w:val="1"/>
      <w:marLeft w:val="0"/>
      <w:marRight w:val="0"/>
      <w:marTop w:val="0"/>
      <w:marBottom w:val="0"/>
      <w:divBdr>
        <w:top w:val="none" w:sz="0" w:space="0" w:color="auto"/>
        <w:left w:val="none" w:sz="0" w:space="0" w:color="auto"/>
        <w:bottom w:val="none" w:sz="0" w:space="0" w:color="auto"/>
        <w:right w:val="none" w:sz="0" w:space="0" w:color="auto"/>
      </w:divBdr>
    </w:div>
    <w:div w:id="948590608">
      <w:bodyDiv w:val="1"/>
      <w:marLeft w:val="0"/>
      <w:marRight w:val="0"/>
      <w:marTop w:val="0"/>
      <w:marBottom w:val="0"/>
      <w:divBdr>
        <w:top w:val="none" w:sz="0" w:space="0" w:color="auto"/>
        <w:left w:val="none" w:sz="0" w:space="0" w:color="auto"/>
        <w:bottom w:val="none" w:sz="0" w:space="0" w:color="auto"/>
        <w:right w:val="none" w:sz="0" w:space="0" w:color="auto"/>
      </w:divBdr>
    </w:div>
    <w:div w:id="949894923">
      <w:bodyDiv w:val="1"/>
      <w:marLeft w:val="0"/>
      <w:marRight w:val="0"/>
      <w:marTop w:val="0"/>
      <w:marBottom w:val="0"/>
      <w:divBdr>
        <w:top w:val="none" w:sz="0" w:space="0" w:color="auto"/>
        <w:left w:val="none" w:sz="0" w:space="0" w:color="auto"/>
        <w:bottom w:val="none" w:sz="0" w:space="0" w:color="auto"/>
        <w:right w:val="none" w:sz="0" w:space="0" w:color="auto"/>
      </w:divBdr>
    </w:div>
    <w:div w:id="951864508">
      <w:bodyDiv w:val="1"/>
      <w:marLeft w:val="0"/>
      <w:marRight w:val="0"/>
      <w:marTop w:val="0"/>
      <w:marBottom w:val="0"/>
      <w:divBdr>
        <w:top w:val="none" w:sz="0" w:space="0" w:color="auto"/>
        <w:left w:val="none" w:sz="0" w:space="0" w:color="auto"/>
        <w:bottom w:val="none" w:sz="0" w:space="0" w:color="auto"/>
        <w:right w:val="none" w:sz="0" w:space="0" w:color="auto"/>
      </w:divBdr>
    </w:div>
    <w:div w:id="954486255">
      <w:bodyDiv w:val="1"/>
      <w:marLeft w:val="0"/>
      <w:marRight w:val="0"/>
      <w:marTop w:val="0"/>
      <w:marBottom w:val="0"/>
      <w:divBdr>
        <w:top w:val="none" w:sz="0" w:space="0" w:color="auto"/>
        <w:left w:val="none" w:sz="0" w:space="0" w:color="auto"/>
        <w:bottom w:val="none" w:sz="0" w:space="0" w:color="auto"/>
        <w:right w:val="none" w:sz="0" w:space="0" w:color="auto"/>
      </w:divBdr>
    </w:div>
    <w:div w:id="954603748">
      <w:bodyDiv w:val="1"/>
      <w:marLeft w:val="0"/>
      <w:marRight w:val="0"/>
      <w:marTop w:val="0"/>
      <w:marBottom w:val="0"/>
      <w:divBdr>
        <w:top w:val="none" w:sz="0" w:space="0" w:color="auto"/>
        <w:left w:val="none" w:sz="0" w:space="0" w:color="auto"/>
        <w:bottom w:val="none" w:sz="0" w:space="0" w:color="auto"/>
        <w:right w:val="none" w:sz="0" w:space="0" w:color="auto"/>
      </w:divBdr>
    </w:div>
    <w:div w:id="957447935">
      <w:bodyDiv w:val="1"/>
      <w:marLeft w:val="0"/>
      <w:marRight w:val="0"/>
      <w:marTop w:val="0"/>
      <w:marBottom w:val="0"/>
      <w:divBdr>
        <w:top w:val="none" w:sz="0" w:space="0" w:color="auto"/>
        <w:left w:val="none" w:sz="0" w:space="0" w:color="auto"/>
        <w:bottom w:val="none" w:sz="0" w:space="0" w:color="auto"/>
        <w:right w:val="none" w:sz="0" w:space="0" w:color="auto"/>
      </w:divBdr>
    </w:div>
    <w:div w:id="957952682">
      <w:bodyDiv w:val="1"/>
      <w:marLeft w:val="0"/>
      <w:marRight w:val="0"/>
      <w:marTop w:val="0"/>
      <w:marBottom w:val="0"/>
      <w:divBdr>
        <w:top w:val="none" w:sz="0" w:space="0" w:color="auto"/>
        <w:left w:val="none" w:sz="0" w:space="0" w:color="auto"/>
        <w:bottom w:val="none" w:sz="0" w:space="0" w:color="auto"/>
        <w:right w:val="none" w:sz="0" w:space="0" w:color="auto"/>
      </w:divBdr>
    </w:div>
    <w:div w:id="965350555">
      <w:bodyDiv w:val="1"/>
      <w:marLeft w:val="0"/>
      <w:marRight w:val="0"/>
      <w:marTop w:val="0"/>
      <w:marBottom w:val="0"/>
      <w:divBdr>
        <w:top w:val="none" w:sz="0" w:space="0" w:color="auto"/>
        <w:left w:val="none" w:sz="0" w:space="0" w:color="auto"/>
        <w:bottom w:val="none" w:sz="0" w:space="0" w:color="auto"/>
        <w:right w:val="none" w:sz="0" w:space="0" w:color="auto"/>
      </w:divBdr>
    </w:div>
    <w:div w:id="971205728">
      <w:bodyDiv w:val="1"/>
      <w:marLeft w:val="0"/>
      <w:marRight w:val="0"/>
      <w:marTop w:val="0"/>
      <w:marBottom w:val="0"/>
      <w:divBdr>
        <w:top w:val="none" w:sz="0" w:space="0" w:color="auto"/>
        <w:left w:val="none" w:sz="0" w:space="0" w:color="auto"/>
        <w:bottom w:val="none" w:sz="0" w:space="0" w:color="auto"/>
        <w:right w:val="none" w:sz="0" w:space="0" w:color="auto"/>
      </w:divBdr>
    </w:div>
    <w:div w:id="975719930">
      <w:bodyDiv w:val="1"/>
      <w:marLeft w:val="0"/>
      <w:marRight w:val="0"/>
      <w:marTop w:val="0"/>
      <w:marBottom w:val="0"/>
      <w:divBdr>
        <w:top w:val="none" w:sz="0" w:space="0" w:color="auto"/>
        <w:left w:val="none" w:sz="0" w:space="0" w:color="auto"/>
        <w:bottom w:val="none" w:sz="0" w:space="0" w:color="auto"/>
        <w:right w:val="none" w:sz="0" w:space="0" w:color="auto"/>
      </w:divBdr>
    </w:div>
    <w:div w:id="976034680">
      <w:bodyDiv w:val="1"/>
      <w:marLeft w:val="0"/>
      <w:marRight w:val="0"/>
      <w:marTop w:val="0"/>
      <w:marBottom w:val="0"/>
      <w:divBdr>
        <w:top w:val="none" w:sz="0" w:space="0" w:color="auto"/>
        <w:left w:val="none" w:sz="0" w:space="0" w:color="auto"/>
        <w:bottom w:val="none" w:sz="0" w:space="0" w:color="auto"/>
        <w:right w:val="none" w:sz="0" w:space="0" w:color="auto"/>
      </w:divBdr>
    </w:div>
    <w:div w:id="976687158">
      <w:bodyDiv w:val="1"/>
      <w:marLeft w:val="0"/>
      <w:marRight w:val="0"/>
      <w:marTop w:val="0"/>
      <w:marBottom w:val="0"/>
      <w:divBdr>
        <w:top w:val="none" w:sz="0" w:space="0" w:color="auto"/>
        <w:left w:val="none" w:sz="0" w:space="0" w:color="auto"/>
        <w:bottom w:val="none" w:sz="0" w:space="0" w:color="auto"/>
        <w:right w:val="none" w:sz="0" w:space="0" w:color="auto"/>
      </w:divBdr>
    </w:div>
    <w:div w:id="978341011">
      <w:bodyDiv w:val="1"/>
      <w:marLeft w:val="0"/>
      <w:marRight w:val="0"/>
      <w:marTop w:val="0"/>
      <w:marBottom w:val="0"/>
      <w:divBdr>
        <w:top w:val="none" w:sz="0" w:space="0" w:color="auto"/>
        <w:left w:val="none" w:sz="0" w:space="0" w:color="auto"/>
        <w:bottom w:val="none" w:sz="0" w:space="0" w:color="auto"/>
        <w:right w:val="none" w:sz="0" w:space="0" w:color="auto"/>
      </w:divBdr>
    </w:div>
    <w:div w:id="978346280">
      <w:bodyDiv w:val="1"/>
      <w:marLeft w:val="0"/>
      <w:marRight w:val="0"/>
      <w:marTop w:val="0"/>
      <w:marBottom w:val="0"/>
      <w:divBdr>
        <w:top w:val="none" w:sz="0" w:space="0" w:color="auto"/>
        <w:left w:val="none" w:sz="0" w:space="0" w:color="auto"/>
        <w:bottom w:val="none" w:sz="0" w:space="0" w:color="auto"/>
        <w:right w:val="none" w:sz="0" w:space="0" w:color="auto"/>
      </w:divBdr>
    </w:div>
    <w:div w:id="979114323">
      <w:bodyDiv w:val="1"/>
      <w:marLeft w:val="0"/>
      <w:marRight w:val="0"/>
      <w:marTop w:val="0"/>
      <w:marBottom w:val="0"/>
      <w:divBdr>
        <w:top w:val="none" w:sz="0" w:space="0" w:color="auto"/>
        <w:left w:val="none" w:sz="0" w:space="0" w:color="auto"/>
        <w:bottom w:val="none" w:sz="0" w:space="0" w:color="auto"/>
        <w:right w:val="none" w:sz="0" w:space="0" w:color="auto"/>
      </w:divBdr>
    </w:div>
    <w:div w:id="979189528">
      <w:bodyDiv w:val="1"/>
      <w:marLeft w:val="0"/>
      <w:marRight w:val="0"/>
      <w:marTop w:val="0"/>
      <w:marBottom w:val="0"/>
      <w:divBdr>
        <w:top w:val="none" w:sz="0" w:space="0" w:color="auto"/>
        <w:left w:val="none" w:sz="0" w:space="0" w:color="auto"/>
        <w:bottom w:val="none" w:sz="0" w:space="0" w:color="auto"/>
        <w:right w:val="none" w:sz="0" w:space="0" w:color="auto"/>
      </w:divBdr>
    </w:div>
    <w:div w:id="991716763">
      <w:bodyDiv w:val="1"/>
      <w:marLeft w:val="0"/>
      <w:marRight w:val="0"/>
      <w:marTop w:val="0"/>
      <w:marBottom w:val="0"/>
      <w:divBdr>
        <w:top w:val="none" w:sz="0" w:space="0" w:color="auto"/>
        <w:left w:val="none" w:sz="0" w:space="0" w:color="auto"/>
        <w:bottom w:val="none" w:sz="0" w:space="0" w:color="auto"/>
        <w:right w:val="none" w:sz="0" w:space="0" w:color="auto"/>
      </w:divBdr>
    </w:div>
    <w:div w:id="993492090">
      <w:bodyDiv w:val="1"/>
      <w:marLeft w:val="0"/>
      <w:marRight w:val="0"/>
      <w:marTop w:val="0"/>
      <w:marBottom w:val="0"/>
      <w:divBdr>
        <w:top w:val="none" w:sz="0" w:space="0" w:color="auto"/>
        <w:left w:val="none" w:sz="0" w:space="0" w:color="auto"/>
        <w:bottom w:val="none" w:sz="0" w:space="0" w:color="auto"/>
        <w:right w:val="none" w:sz="0" w:space="0" w:color="auto"/>
      </w:divBdr>
    </w:div>
    <w:div w:id="994263530">
      <w:bodyDiv w:val="1"/>
      <w:marLeft w:val="0"/>
      <w:marRight w:val="0"/>
      <w:marTop w:val="0"/>
      <w:marBottom w:val="0"/>
      <w:divBdr>
        <w:top w:val="none" w:sz="0" w:space="0" w:color="auto"/>
        <w:left w:val="none" w:sz="0" w:space="0" w:color="auto"/>
        <w:bottom w:val="none" w:sz="0" w:space="0" w:color="auto"/>
        <w:right w:val="none" w:sz="0" w:space="0" w:color="auto"/>
      </w:divBdr>
    </w:div>
    <w:div w:id="1010527947">
      <w:bodyDiv w:val="1"/>
      <w:marLeft w:val="0"/>
      <w:marRight w:val="0"/>
      <w:marTop w:val="0"/>
      <w:marBottom w:val="0"/>
      <w:divBdr>
        <w:top w:val="none" w:sz="0" w:space="0" w:color="auto"/>
        <w:left w:val="none" w:sz="0" w:space="0" w:color="auto"/>
        <w:bottom w:val="none" w:sz="0" w:space="0" w:color="auto"/>
        <w:right w:val="none" w:sz="0" w:space="0" w:color="auto"/>
      </w:divBdr>
    </w:div>
    <w:div w:id="1010721261">
      <w:bodyDiv w:val="1"/>
      <w:marLeft w:val="0"/>
      <w:marRight w:val="0"/>
      <w:marTop w:val="0"/>
      <w:marBottom w:val="0"/>
      <w:divBdr>
        <w:top w:val="none" w:sz="0" w:space="0" w:color="auto"/>
        <w:left w:val="none" w:sz="0" w:space="0" w:color="auto"/>
        <w:bottom w:val="none" w:sz="0" w:space="0" w:color="auto"/>
        <w:right w:val="none" w:sz="0" w:space="0" w:color="auto"/>
      </w:divBdr>
    </w:div>
    <w:div w:id="1014767245">
      <w:bodyDiv w:val="1"/>
      <w:marLeft w:val="0"/>
      <w:marRight w:val="0"/>
      <w:marTop w:val="0"/>
      <w:marBottom w:val="0"/>
      <w:divBdr>
        <w:top w:val="none" w:sz="0" w:space="0" w:color="auto"/>
        <w:left w:val="none" w:sz="0" w:space="0" w:color="auto"/>
        <w:bottom w:val="none" w:sz="0" w:space="0" w:color="auto"/>
        <w:right w:val="none" w:sz="0" w:space="0" w:color="auto"/>
      </w:divBdr>
    </w:div>
    <w:div w:id="1015418435">
      <w:bodyDiv w:val="1"/>
      <w:marLeft w:val="0"/>
      <w:marRight w:val="0"/>
      <w:marTop w:val="0"/>
      <w:marBottom w:val="0"/>
      <w:divBdr>
        <w:top w:val="none" w:sz="0" w:space="0" w:color="auto"/>
        <w:left w:val="none" w:sz="0" w:space="0" w:color="auto"/>
        <w:bottom w:val="none" w:sz="0" w:space="0" w:color="auto"/>
        <w:right w:val="none" w:sz="0" w:space="0" w:color="auto"/>
      </w:divBdr>
    </w:div>
    <w:div w:id="1016424293">
      <w:bodyDiv w:val="1"/>
      <w:marLeft w:val="0"/>
      <w:marRight w:val="0"/>
      <w:marTop w:val="0"/>
      <w:marBottom w:val="0"/>
      <w:divBdr>
        <w:top w:val="none" w:sz="0" w:space="0" w:color="auto"/>
        <w:left w:val="none" w:sz="0" w:space="0" w:color="auto"/>
        <w:bottom w:val="none" w:sz="0" w:space="0" w:color="auto"/>
        <w:right w:val="none" w:sz="0" w:space="0" w:color="auto"/>
      </w:divBdr>
    </w:div>
    <w:div w:id="1018039844">
      <w:bodyDiv w:val="1"/>
      <w:marLeft w:val="0"/>
      <w:marRight w:val="0"/>
      <w:marTop w:val="0"/>
      <w:marBottom w:val="0"/>
      <w:divBdr>
        <w:top w:val="none" w:sz="0" w:space="0" w:color="auto"/>
        <w:left w:val="none" w:sz="0" w:space="0" w:color="auto"/>
        <w:bottom w:val="none" w:sz="0" w:space="0" w:color="auto"/>
        <w:right w:val="none" w:sz="0" w:space="0" w:color="auto"/>
      </w:divBdr>
    </w:div>
    <w:div w:id="1024360239">
      <w:bodyDiv w:val="1"/>
      <w:marLeft w:val="0"/>
      <w:marRight w:val="0"/>
      <w:marTop w:val="0"/>
      <w:marBottom w:val="0"/>
      <w:divBdr>
        <w:top w:val="none" w:sz="0" w:space="0" w:color="auto"/>
        <w:left w:val="none" w:sz="0" w:space="0" w:color="auto"/>
        <w:bottom w:val="none" w:sz="0" w:space="0" w:color="auto"/>
        <w:right w:val="none" w:sz="0" w:space="0" w:color="auto"/>
      </w:divBdr>
    </w:div>
    <w:div w:id="1025135303">
      <w:bodyDiv w:val="1"/>
      <w:marLeft w:val="0"/>
      <w:marRight w:val="0"/>
      <w:marTop w:val="0"/>
      <w:marBottom w:val="0"/>
      <w:divBdr>
        <w:top w:val="none" w:sz="0" w:space="0" w:color="auto"/>
        <w:left w:val="none" w:sz="0" w:space="0" w:color="auto"/>
        <w:bottom w:val="none" w:sz="0" w:space="0" w:color="auto"/>
        <w:right w:val="none" w:sz="0" w:space="0" w:color="auto"/>
      </w:divBdr>
    </w:div>
    <w:div w:id="1025256971">
      <w:bodyDiv w:val="1"/>
      <w:marLeft w:val="0"/>
      <w:marRight w:val="0"/>
      <w:marTop w:val="0"/>
      <w:marBottom w:val="0"/>
      <w:divBdr>
        <w:top w:val="none" w:sz="0" w:space="0" w:color="auto"/>
        <w:left w:val="none" w:sz="0" w:space="0" w:color="auto"/>
        <w:bottom w:val="none" w:sz="0" w:space="0" w:color="auto"/>
        <w:right w:val="none" w:sz="0" w:space="0" w:color="auto"/>
      </w:divBdr>
    </w:div>
    <w:div w:id="1027298098">
      <w:bodyDiv w:val="1"/>
      <w:marLeft w:val="0"/>
      <w:marRight w:val="0"/>
      <w:marTop w:val="0"/>
      <w:marBottom w:val="0"/>
      <w:divBdr>
        <w:top w:val="none" w:sz="0" w:space="0" w:color="auto"/>
        <w:left w:val="none" w:sz="0" w:space="0" w:color="auto"/>
        <w:bottom w:val="none" w:sz="0" w:space="0" w:color="auto"/>
        <w:right w:val="none" w:sz="0" w:space="0" w:color="auto"/>
      </w:divBdr>
    </w:div>
    <w:div w:id="1034773122">
      <w:bodyDiv w:val="1"/>
      <w:marLeft w:val="0"/>
      <w:marRight w:val="0"/>
      <w:marTop w:val="0"/>
      <w:marBottom w:val="0"/>
      <w:divBdr>
        <w:top w:val="none" w:sz="0" w:space="0" w:color="auto"/>
        <w:left w:val="none" w:sz="0" w:space="0" w:color="auto"/>
        <w:bottom w:val="none" w:sz="0" w:space="0" w:color="auto"/>
        <w:right w:val="none" w:sz="0" w:space="0" w:color="auto"/>
      </w:divBdr>
    </w:div>
    <w:div w:id="1035544415">
      <w:bodyDiv w:val="1"/>
      <w:marLeft w:val="0"/>
      <w:marRight w:val="0"/>
      <w:marTop w:val="0"/>
      <w:marBottom w:val="0"/>
      <w:divBdr>
        <w:top w:val="none" w:sz="0" w:space="0" w:color="auto"/>
        <w:left w:val="none" w:sz="0" w:space="0" w:color="auto"/>
        <w:bottom w:val="none" w:sz="0" w:space="0" w:color="auto"/>
        <w:right w:val="none" w:sz="0" w:space="0" w:color="auto"/>
      </w:divBdr>
    </w:div>
    <w:div w:id="1040977260">
      <w:bodyDiv w:val="1"/>
      <w:marLeft w:val="0"/>
      <w:marRight w:val="0"/>
      <w:marTop w:val="0"/>
      <w:marBottom w:val="0"/>
      <w:divBdr>
        <w:top w:val="none" w:sz="0" w:space="0" w:color="auto"/>
        <w:left w:val="none" w:sz="0" w:space="0" w:color="auto"/>
        <w:bottom w:val="none" w:sz="0" w:space="0" w:color="auto"/>
        <w:right w:val="none" w:sz="0" w:space="0" w:color="auto"/>
      </w:divBdr>
    </w:div>
    <w:div w:id="1044329884">
      <w:bodyDiv w:val="1"/>
      <w:marLeft w:val="0"/>
      <w:marRight w:val="0"/>
      <w:marTop w:val="0"/>
      <w:marBottom w:val="0"/>
      <w:divBdr>
        <w:top w:val="none" w:sz="0" w:space="0" w:color="auto"/>
        <w:left w:val="none" w:sz="0" w:space="0" w:color="auto"/>
        <w:bottom w:val="none" w:sz="0" w:space="0" w:color="auto"/>
        <w:right w:val="none" w:sz="0" w:space="0" w:color="auto"/>
      </w:divBdr>
    </w:div>
    <w:div w:id="1047333963">
      <w:bodyDiv w:val="1"/>
      <w:marLeft w:val="0"/>
      <w:marRight w:val="0"/>
      <w:marTop w:val="0"/>
      <w:marBottom w:val="0"/>
      <w:divBdr>
        <w:top w:val="none" w:sz="0" w:space="0" w:color="auto"/>
        <w:left w:val="none" w:sz="0" w:space="0" w:color="auto"/>
        <w:bottom w:val="none" w:sz="0" w:space="0" w:color="auto"/>
        <w:right w:val="none" w:sz="0" w:space="0" w:color="auto"/>
      </w:divBdr>
    </w:div>
    <w:div w:id="1053163963">
      <w:bodyDiv w:val="1"/>
      <w:marLeft w:val="0"/>
      <w:marRight w:val="0"/>
      <w:marTop w:val="0"/>
      <w:marBottom w:val="0"/>
      <w:divBdr>
        <w:top w:val="none" w:sz="0" w:space="0" w:color="auto"/>
        <w:left w:val="none" w:sz="0" w:space="0" w:color="auto"/>
        <w:bottom w:val="none" w:sz="0" w:space="0" w:color="auto"/>
        <w:right w:val="none" w:sz="0" w:space="0" w:color="auto"/>
      </w:divBdr>
    </w:div>
    <w:div w:id="1058675378">
      <w:bodyDiv w:val="1"/>
      <w:marLeft w:val="0"/>
      <w:marRight w:val="0"/>
      <w:marTop w:val="0"/>
      <w:marBottom w:val="0"/>
      <w:divBdr>
        <w:top w:val="none" w:sz="0" w:space="0" w:color="auto"/>
        <w:left w:val="none" w:sz="0" w:space="0" w:color="auto"/>
        <w:bottom w:val="none" w:sz="0" w:space="0" w:color="auto"/>
        <w:right w:val="none" w:sz="0" w:space="0" w:color="auto"/>
      </w:divBdr>
    </w:div>
    <w:div w:id="1062559297">
      <w:bodyDiv w:val="1"/>
      <w:marLeft w:val="0"/>
      <w:marRight w:val="0"/>
      <w:marTop w:val="0"/>
      <w:marBottom w:val="0"/>
      <w:divBdr>
        <w:top w:val="none" w:sz="0" w:space="0" w:color="auto"/>
        <w:left w:val="none" w:sz="0" w:space="0" w:color="auto"/>
        <w:bottom w:val="none" w:sz="0" w:space="0" w:color="auto"/>
        <w:right w:val="none" w:sz="0" w:space="0" w:color="auto"/>
      </w:divBdr>
    </w:div>
    <w:div w:id="1075276973">
      <w:bodyDiv w:val="1"/>
      <w:marLeft w:val="0"/>
      <w:marRight w:val="0"/>
      <w:marTop w:val="0"/>
      <w:marBottom w:val="0"/>
      <w:divBdr>
        <w:top w:val="none" w:sz="0" w:space="0" w:color="auto"/>
        <w:left w:val="none" w:sz="0" w:space="0" w:color="auto"/>
        <w:bottom w:val="none" w:sz="0" w:space="0" w:color="auto"/>
        <w:right w:val="none" w:sz="0" w:space="0" w:color="auto"/>
      </w:divBdr>
    </w:div>
    <w:div w:id="1080173350">
      <w:bodyDiv w:val="1"/>
      <w:marLeft w:val="0"/>
      <w:marRight w:val="0"/>
      <w:marTop w:val="0"/>
      <w:marBottom w:val="0"/>
      <w:divBdr>
        <w:top w:val="none" w:sz="0" w:space="0" w:color="auto"/>
        <w:left w:val="none" w:sz="0" w:space="0" w:color="auto"/>
        <w:bottom w:val="none" w:sz="0" w:space="0" w:color="auto"/>
        <w:right w:val="none" w:sz="0" w:space="0" w:color="auto"/>
      </w:divBdr>
    </w:div>
    <w:div w:id="1081021384">
      <w:bodyDiv w:val="1"/>
      <w:marLeft w:val="0"/>
      <w:marRight w:val="0"/>
      <w:marTop w:val="0"/>
      <w:marBottom w:val="0"/>
      <w:divBdr>
        <w:top w:val="none" w:sz="0" w:space="0" w:color="auto"/>
        <w:left w:val="none" w:sz="0" w:space="0" w:color="auto"/>
        <w:bottom w:val="none" w:sz="0" w:space="0" w:color="auto"/>
        <w:right w:val="none" w:sz="0" w:space="0" w:color="auto"/>
      </w:divBdr>
    </w:div>
    <w:div w:id="1082793656">
      <w:bodyDiv w:val="1"/>
      <w:marLeft w:val="0"/>
      <w:marRight w:val="0"/>
      <w:marTop w:val="0"/>
      <w:marBottom w:val="0"/>
      <w:divBdr>
        <w:top w:val="none" w:sz="0" w:space="0" w:color="auto"/>
        <w:left w:val="none" w:sz="0" w:space="0" w:color="auto"/>
        <w:bottom w:val="none" w:sz="0" w:space="0" w:color="auto"/>
        <w:right w:val="none" w:sz="0" w:space="0" w:color="auto"/>
      </w:divBdr>
    </w:div>
    <w:div w:id="1083378038">
      <w:bodyDiv w:val="1"/>
      <w:marLeft w:val="0"/>
      <w:marRight w:val="0"/>
      <w:marTop w:val="0"/>
      <w:marBottom w:val="0"/>
      <w:divBdr>
        <w:top w:val="none" w:sz="0" w:space="0" w:color="auto"/>
        <w:left w:val="none" w:sz="0" w:space="0" w:color="auto"/>
        <w:bottom w:val="none" w:sz="0" w:space="0" w:color="auto"/>
        <w:right w:val="none" w:sz="0" w:space="0" w:color="auto"/>
      </w:divBdr>
    </w:div>
    <w:div w:id="1084954956">
      <w:bodyDiv w:val="1"/>
      <w:marLeft w:val="0"/>
      <w:marRight w:val="0"/>
      <w:marTop w:val="0"/>
      <w:marBottom w:val="0"/>
      <w:divBdr>
        <w:top w:val="none" w:sz="0" w:space="0" w:color="auto"/>
        <w:left w:val="none" w:sz="0" w:space="0" w:color="auto"/>
        <w:bottom w:val="none" w:sz="0" w:space="0" w:color="auto"/>
        <w:right w:val="none" w:sz="0" w:space="0" w:color="auto"/>
      </w:divBdr>
    </w:div>
    <w:div w:id="1089036157">
      <w:bodyDiv w:val="1"/>
      <w:marLeft w:val="0"/>
      <w:marRight w:val="0"/>
      <w:marTop w:val="0"/>
      <w:marBottom w:val="0"/>
      <w:divBdr>
        <w:top w:val="none" w:sz="0" w:space="0" w:color="auto"/>
        <w:left w:val="none" w:sz="0" w:space="0" w:color="auto"/>
        <w:bottom w:val="none" w:sz="0" w:space="0" w:color="auto"/>
        <w:right w:val="none" w:sz="0" w:space="0" w:color="auto"/>
      </w:divBdr>
    </w:div>
    <w:div w:id="1090352453">
      <w:bodyDiv w:val="1"/>
      <w:marLeft w:val="0"/>
      <w:marRight w:val="0"/>
      <w:marTop w:val="0"/>
      <w:marBottom w:val="0"/>
      <w:divBdr>
        <w:top w:val="none" w:sz="0" w:space="0" w:color="auto"/>
        <w:left w:val="none" w:sz="0" w:space="0" w:color="auto"/>
        <w:bottom w:val="none" w:sz="0" w:space="0" w:color="auto"/>
        <w:right w:val="none" w:sz="0" w:space="0" w:color="auto"/>
      </w:divBdr>
    </w:div>
    <w:div w:id="1098019426">
      <w:bodyDiv w:val="1"/>
      <w:marLeft w:val="0"/>
      <w:marRight w:val="0"/>
      <w:marTop w:val="0"/>
      <w:marBottom w:val="0"/>
      <w:divBdr>
        <w:top w:val="none" w:sz="0" w:space="0" w:color="auto"/>
        <w:left w:val="none" w:sz="0" w:space="0" w:color="auto"/>
        <w:bottom w:val="none" w:sz="0" w:space="0" w:color="auto"/>
        <w:right w:val="none" w:sz="0" w:space="0" w:color="auto"/>
      </w:divBdr>
    </w:div>
    <w:div w:id="1098020601">
      <w:bodyDiv w:val="1"/>
      <w:marLeft w:val="0"/>
      <w:marRight w:val="0"/>
      <w:marTop w:val="0"/>
      <w:marBottom w:val="0"/>
      <w:divBdr>
        <w:top w:val="none" w:sz="0" w:space="0" w:color="auto"/>
        <w:left w:val="none" w:sz="0" w:space="0" w:color="auto"/>
        <w:bottom w:val="none" w:sz="0" w:space="0" w:color="auto"/>
        <w:right w:val="none" w:sz="0" w:space="0" w:color="auto"/>
      </w:divBdr>
    </w:div>
    <w:div w:id="1098981770">
      <w:bodyDiv w:val="1"/>
      <w:marLeft w:val="0"/>
      <w:marRight w:val="0"/>
      <w:marTop w:val="0"/>
      <w:marBottom w:val="0"/>
      <w:divBdr>
        <w:top w:val="none" w:sz="0" w:space="0" w:color="auto"/>
        <w:left w:val="none" w:sz="0" w:space="0" w:color="auto"/>
        <w:bottom w:val="none" w:sz="0" w:space="0" w:color="auto"/>
        <w:right w:val="none" w:sz="0" w:space="0" w:color="auto"/>
      </w:divBdr>
    </w:div>
    <w:div w:id="1100107866">
      <w:bodyDiv w:val="1"/>
      <w:marLeft w:val="0"/>
      <w:marRight w:val="0"/>
      <w:marTop w:val="0"/>
      <w:marBottom w:val="0"/>
      <w:divBdr>
        <w:top w:val="none" w:sz="0" w:space="0" w:color="auto"/>
        <w:left w:val="none" w:sz="0" w:space="0" w:color="auto"/>
        <w:bottom w:val="none" w:sz="0" w:space="0" w:color="auto"/>
        <w:right w:val="none" w:sz="0" w:space="0" w:color="auto"/>
      </w:divBdr>
    </w:div>
    <w:div w:id="1102802827">
      <w:bodyDiv w:val="1"/>
      <w:marLeft w:val="0"/>
      <w:marRight w:val="0"/>
      <w:marTop w:val="0"/>
      <w:marBottom w:val="0"/>
      <w:divBdr>
        <w:top w:val="none" w:sz="0" w:space="0" w:color="auto"/>
        <w:left w:val="none" w:sz="0" w:space="0" w:color="auto"/>
        <w:bottom w:val="none" w:sz="0" w:space="0" w:color="auto"/>
        <w:right w:val="none" w:sz="0" w:space="0" w:color="auto"/>
      </w:divBdr>
    </w:div>
    <w:div w:id="1103841692">
      <w:bodyDiv w:val="1"/>
      <w:marLeft w:val="0"/>
      <w:marRight w:val="0"/>
      <w:marTop w:val="0"/>
      <w:marBottom w:val="0"/>
      <w:divBdr>
        <w:top w:val="none" w:sz="0" w:space="0" w:color="auto"/>
        <w:left w:val="none" w:sz="0" w:space="0" w:color="auto"/>
        <w:bottom w:val="none" w:sz="0" w:space="0" w:color="auto"/>
        <w:right w:val="none" w:sz="0" w:space="0" w:color="auto"/>
      </w:divBdr>
    </w:div>
    <w:div w:id="1116175397">
      <w:bodyDiv w:val="1"/>
      <w:marLeft w:val="0"/>
      <w:marRight w:val="0"/>
      <w:marTop w:val="0"/>
      <w:marBottom w:val="0"/>
      <w:divBdr>
        <w:top w:val="none" w:sz="0" w:space="0" w:color="auto"/>
        <w:left w:val="none" w:sz="0" w:space="0" w:color="auto"/>
        <w:bottom w:val="none" w:sz="0" w:space="0" w:color="auto"/>
        <w:right w:val="none" w:sz="0" w:space="0" w:color="auto"/>
      </w:divBdr>
    </w:div>
    <w:div w:id="1116294512">
      <w:bodyDiv w:val="1"/>
      <w:marLeft w:val="0"/>
      <w:marRight w:val="0"/>
      <w:marTop w:val="0"/>
      <w:marBottom w:val="0"/>
      <w:divBdr>
        <w:top w:val="none" w:sz="0" w:space="0" w:color="auto"/>
        <w:left w:val="none" w:sz="0" w:space="0" w:color="auto"/>
        <w:bottom w:val="none" w:sz="0" w:space="0" w:color="auto"/>
        <w:right w:val="none" w:sz="0" w:space="0" w:color="auto"/>
      </w:divBdr>
    </w:div>
    <w:div w:id="1123185906">
      <w:bodyDiv w:val="1"/>
      <w:marLeft w:val="0"/>
      <w:marRight w:val="0"/>
      <w:marTop w:val="0"/>
      <w:marBottom w:val="0"/>
      <w:divBdr>
        <w:top w:val="none" w:sz="0" w:space="0" w:color="auto"/>
        <w:left w:val="none" w:sz="0" w:space="0" w:color="auto"/>
        <w:bottom w:val="none" w:sz="0" w:space="0" w:color="auto"/>
        <w:right w:val="none" w:sz="0" w:space="0" w:color="auto"/>
      </w:divBdr>
    </w:div>
    <w:div w:id="1124346902">
      <w:bodyDiv w:val="1"/>
      <w:marLeft w:val="0"/>
      <w:marRight w:val="0"/>
      <w:marTop w:val="0"/>
      <w:marBottom w:val="0"/>
      <w:divBdr>
        <w:top w:val="none" w:sz="0" w:space="0" w:color="auto"/>
        <w:left w:val="none" w:sz="0" w:space="0" w:color="auto"/>
        <w:bottom w:val="none" w:sz="0" w:space="0" w:color="auto"/>
        <w:right w:val="none" w:sz="0" w:space="0" w:color="auto"/>
      </w:divBdr>
    </w:div>
    <w:div w:id="1128553262">
      <w:bodyDiv w:val="1"/>
      <w:marLeft w:val="0"/>
      <w:marRight w:val="0"/>
      <w:marTop w:val="0"/>
      <w:marBottom w:val="0"/>
      <w:divBdr>
        <w:top w:val="none" w:sz="0" w:space="0" w:color="auto"/>
        <w:left w:val="none" w:sz="0" w:space="0" w:color="auto"/>
        <w:bottom w:val="none" w:sz="0" w:space="0" w:color="auto"/>
        <w:right w:val="none" w:sz="0" w:space="0" w:color="auto"/>
      </w:divBdr>
    </w:div>
    <w:div w:id="1136751462">
      <w:bodyDiv w:val="1"/>
      <w:marLeft w:val="0"/>
      <w:marRight w:val="0"/>
      <w:marTop w:val="0"/>
      <w:marBottom w:val="0"/>
      <w:divBdr>
        <w:top w:val="none" w:sz="0" w:space="0" w:color="auto"/>
        <w:left w:val="none" w:sz="0" w:space="0" w:color="auto"/>
        <w:bottom w:val="none" w:sz="0" w:space="0" w:color="auto"/>
        <w:right w:val="none" w:sz="0" w:space="0" w:color="auto"/>
      </w:divBdr>
    </w:div>
    <w:div w:id="1137525394">
      <w:bodyDiv w:val="1"/>
      <w:marLeft w:val="0"/>
      <w:marRight w:val="0"/>
      <w:marTop w:val="0"/>
      <w:marBottom w:val="0"/>
      <w:divBdr>
        <w:top w:val="none" w:sz="0" w:space="0" w:color="auto"/>
        <w:left w:val="none" w:sz="0" w:space="0" w:color="auto"/>
        <w:bottom w:val="none" w:sz="0" w:space="0" w:color="auto"/>
        <w:right w:val="none" w:sz="0" w:space="0" w:color="auto"/>
      </w:divBdr>
    </w:div>
    <w:div w:id="1145273501">
      <w:bodyDiv w:val="1"/>
      <w:marLeft w:val="0"/>
      <w:marRight w:val="0"/>
      <w:marTop w:val="0"/>
      <w:marBottom w:val="0"/>
      <w:divBdr>
        <w:top w:val="none" w:sz="0" w:space="0" w:color="auto"/>
        <w:left w:val="none" w:sz="0" w:space="0" w:color="auto"/>
        <w:bottom w:val="none" w:sz="0" w:space="0" w:color="auto"/>
        <w:right w:val="none" w:sz="0" w:space="0" w:color="auto"/>
      </w:divBdr>
    </w:div>
    <w:div w:id="1147630032">
      <w:bodyDiv w:val="1"/>
      <w:marLeft w:val="0"/>
      <w:marRight w:val="0"/>
      <w:marTop w:val="0"/>
      <w:marBottom w:val="0"/>
      <w:divBdr>
        <w:top w:val="none" w:sz="0" w:space="0" w:color="auto"/>
        <w:left w:val="none" w:sz="0" w:space="0" w:color="auto"/>
        <w:bottom w:val="none" w:sz="0" w:space="0" w:color="auto"/>
        <w:right w:val="none" w:sz="0" w:space="0" w:color="auto"/>
      </w:divBdr>
    </w:div>
    <w:div w:id="1151209848">
      <w:bodyDiv w:val="1"/>
      <w:marLeft w:val="0"/>
      <w:marRight w:val="0"/>
      <w:marTop w:val="0"/>
      <w:marBottom w:val="0"/>
      <w:divBdr>
        <w:top w:val="none" w:sz="0" w:space="0" w:color="auto"/>
        <w:left w:val="none" w:sz="0" w:space="0" w:color="auto"/>
        <w:bottom w:val="none" w:sz="0" w:space="0" w:color="auto"/>
        <w:right w:val="none" w:sz="0" w:space="0" w:color="auto"/>
      </w:divBdr>
    </w:div>
    <w:div w:id="1157112088">
      <w:bodyDiv w:val="1"/>
      <w:marLeft w:val="0"/>
      <w:marRight w:val="0"/>
      <w:marTop w:val="0"/>
      <w:marBottom w:val="0"/>
      <w:divBdr>
        <w:top w:val="none" w:sz="0" w:space="0" w:color="auto"/>
        <w:left w:val="none" w:sz="0" w:space="0" w:color="auto"/>
        <w:bottom w:val="none" w:sz="0" w:space="0" w:color="auto"/>
        <w:right w:val="none" w:sz="0" w:space="0" w:color="auto"/>
      </w:divBdr>
    </w:div>
    <w:div w:id="1159005332">
      <w:bodyDiv w:val="1"/>
      <w:marLeft w:val="0"/>
      <w:marRight w:val="0"/>
      <w:marTop w:val="0"/>
      <w:marBottom w:val="0"/>
      <w:divBdr>
        <w:top w:val="none" w:sz="0" w:space="0" w:color="auto"/>
        <w:left w:val="none" w:sz="0" w:space="0" w:color="auto"/>
        <w:bottom w:val="none" w:sz="0" w:space="0" w:color="auto"/>
        <w:right w:val="none" w:sz="0" w:space="0" w:color="auto"/>
      </w:divBdr>
    </w:div>
    <w:div w:id="1159268361">
      <w:bodyDiv w:val="1"/>
      <w:marLeft w:val="0"/>
      <w:marRight w:val="0"/>
      <w:marTop w:val="0"/>
      <w:marBottom w:val="0"/>
      <w:divBdr>
        <w:top w:val="none" w:sz="0" w:space="0" w:color="auto"/>
        <w:left w:val="none" w:sz="0" w:space="0" w:color="auto"/>
        <w:bottom w:val="none" w:sz="0" w:space="0" w:color="auto"/>
        <w:right w:val="none" w:sz="0" w:space="0" w:color="auto"/>
      </w:divBdr>
    </w:div>
    <w:div w:id="1164659724">
      <w:bodyDiv w:val="1"/>
      <w:marLeft w:val="0"/>
      <w:marRight w:val="0"/>
      <w:marTop w:val="0"/>
      <w:marBottom w:val="0"/>
      <w:divBdr>
        <w:top w:val="none" w:sz="0" w:space="0" w:color="auto"/>
        <w:left w:val="none" w:sz="0" w:space="0" w:color="auto"/>
        <w:bottom w:val="none" w:sz="0" w:space="0" w:color="auto"/>
        <w:right w:val="none" w:sz="0" w:space="0" w:color="auto"/>
      </w:divBdr>
    </w:div>
    <w:div w:id="1164706314">
      <w:bodyDiv w:val="1"/>
      <w:marLeft w:val="0"/>
      <w:marRight w:val="0"/>
      <w:marTop w:val="0"/>
      <w:marBottom w:val="0"/>
      <w:divBdr>
        <w:top w:val="none" w:sz="0" w:space="0" w:color="auto"/>
        <w:left w:val="none" w:sz="0" w:space="0" w:color="auto"/>
        <w:bottom w:val="none" w:sz="0" w:space="0" w:color="auto"/>
        <w:right w:val="none" w:sz="0" w:space="0" w:color="auto"/>
      </w:divBdr>
    </w:div>
    <w:div w:id="1169060066">
      <w:bodyDiv w:val="1"/>
      <w:marLeft w:val="0"/>
      <w:marRight w:val="0"/>
      <w:marTop w:val="0"/>
      <w:marBottom w:val="0"/>
      <w:divBdr>
        <w:top w:val="none" w:sz="0" w:space="0" w:color="auto"/>
        <w:left w:val="none" w:sz="0" w:space="0" w:color="auto"/>
        <w:bottom w:val="none" w:sz="0" w:space="0" w:color="auto"/>
        <w:right w:val="none" w:sz="0" w:space="0" w:color="auto"/>
      </w:divBdr>
    </w:div>
    <w:div w:id="1179198539">
      <w:bodyDiv w:val="1"/>
      <w:marLeft w:val="0"/>
      <w:marRight w:val="0"/>
      <w:marTop w:val="0"/>
      <w:marBottom w:val="0"/>
      <w:divBdr>
        <w:top w:val="none" w:sz="0" w:space="0" w:color="auto"/>
        <w:left w:val="none" w:sz="0" w:space="0" w:color="auto"/>
        <w:bottom w:val="none" w:sz="0" w:space="0" w:color="auto"/>
        <w:right w:val="none" w:sz="0" w:space="0" w:color="auto"/>
      </w:divBdr>
    </w:div>
    <w:div w:id="1180437001">
      <w:bodyDiv w:val="1"/>
      <w:marLeft w:val="0"/>
      <w:marRight w:val="0"/>
      <w:marTop w:val="0"/>
      <w:marBottom w:val="0"/>
      <w:divBdr>
        <w:top w:val="none" w:sz="0" w:space="0" w:color="auto"/>
        <w:left w:val="none" w:sz="0" w:space="0" w:color="auto"/>
        <w:bottom w:val="none" w:sz="0" w:space="0" w:color="auto"/>
        <w:right w:val="none" w:sz="0" w:space="0" w:color="auto"/>
      </w:divBdr>
    </w:div>
    <w:div w:id="1183862815">
      <w:bodyDiv w:val="1"/>
      <w:marLeft w:val="0"/>
      <w:marRight w:val="0"/>
      <w:marTop w:val="0"/>
      <w:marBottom w:val="0"/>
      <w:divBdr>
        <w:top w:val="none" w:sz="0" w:space="0" w:color="auto"/>
        <w:left w:val="none" w:sz="0" w:space="0" w:color="auto"/>
        <w:bottom w:val="none" w:sz="0" w:space="0" w:color="auto"/>
        <w:right w:val="none" w:sz="0" w:space="0" w:color="auto"/>
      </w:divBdr>
    </w:div>
    <w:div w:id="1189752751">
      <w:bodyDiv w:val="1"/>
      <w:marLeft w:val="0"/>
      <w:marRight w:val="0"/>
      <w:marTop w:val="0"/>
      <w:marBottom w:val="0"/>
      <w:divBdr>
        <w:top w:val="none" w:sz="0" w:space="0" w:color="auto"/>
        <w:left w:val="none" w:sz="0" w:space="0" w:color="auto"/>
        <w:bottom w:val="none" w:sz="0" w:space="0" w:color="auto"/>
        <w:right w:val="none" w:sz="0" w:space="0" w:color="auto"/>
      </w:divBdr>
    </w:div>
    <w:div w:id="1196967777">
      <w:bodyDiv w:val="1"/>
      <w:marLeft w:val="0"/>
      <w:marRight w:val="0"/>
      <w:marTop w:val="0"/>
      <w:marBottom w:val="0"/>
      <w:divBdr>
        <w:top w:val="none" w:sz="0" w:space="0" w:color="auto"/>
        <w:left w:val="none" w:sz="0" w:space="0" w:color="auto"/>
        <w:bottom w:val="none" w:sz="0" w:space="0" w:color="auto"/>
        <w:right w:val="none" w:sz="0" w:space="0" w:color="auto"/>
      </w:divBdr>
    </w:div>
    <w:div w:id="1206404271">
      <w:bodyDiv w:val="1"/>
      <w:marLeft w:val="0"/>
      <w:marRight w:val="0"/>
      <w:marTop w:val="0"/>
      <w:marBottom w:val="0"/>
      <w:divBdr>
        <w:top w:val="none" w:sz="0" w:space="0" w:color="auto"/>
        <w:left w:val="none" w:sz="0" w:space="0" w:color="auto"/>
        <w:bottom w:val="none" w:sz="0" w:space="0" w:color="auto"/>
        <w:right w:val="none" w:sz="0" w:space="0" w:color="auto"/>
      </w:divBdr>
    </w:div>
    <w:div w:id="1208908584">
      <w:bodyDiv w:val="1"/>
      <w:marLeft w:val="0"/>
      <w:marRight w:val="0"/>
      <w:marTop w:val="0"/>
      <w:marBottom w:val="0"/>
      <w:divBdr>
        <w:top w:val="none" w:sz="0" w:space="0" w:color="auto"/>
        <w:left w:val="none" w:sz="0" w:space="0" w:color="auto"/>
        <w:bottom w:val="none" w:sz="0" w:space="0" w:color="auto"/>
        <w:right w:val="none" w:sz="0" w:space="0" w:color="auto"/>
      </w:divBdr>
    </w:div>
    <w:div w:id="1215654775">
      <w:bodyDiv w:val="1"/>
      <w:marLeft w:val="0"/>
      <w:marRight w:val="0"/>
      <w:marTop w:val="0"/>
      <w:marBottom w:val="0"/>
      <w:divBdr>
        <w:top w:val="none" w:sz="0" w:space="0" w:color="auto"/>
        <w:left w:val="none" w:sz="0" w:space="0" w:color="auto"/>
        <w:bottom w:val="none" w:sz="0" w:space="0" w:color="auto"/>
        <w:right w:val="none" w:sz="0" w:space="0" w:color="auto"/>
      </w:divBdr>
    </w:div>
    <w:div w:id="1216427725">
      <w:bodyDiv w:val="1"/>
      <w:marLeft w:val="0"/>
      <w:marRight w:val="0"/>
      <w:marTop w:val="0"/>
      <w:marBottom w:val="0"/>
      <w:divBdr>
        <w:top w:val="none" w:sz="0" w:space="0" w:color="auto"/>
        <w:left w:val="none" w:sz="0" w:space="0" w:color="auto"/>
        <w:bottom w:val="none" w:sz="0" w:space="0" w:color="auto"/>
        <w:right w:val="none" w:sz="0" w:space="0" w:color="auto"/>
      </w:divBdr>
    </w:div>
    <w:div w:id="1216432956">
      <w:bodyDiv w:val="1"/>
      <w:marLeft w:val="0"/>
      <w:marRight w:val="0"/>
      <w:marTop w:val="0"/>
      <w:marBottom w:val="0"/>
      <w:divBdr>
        <w:top w:val="none" w:sz="0" w:space="0" w:color="auto"/>
        <w:left w:val="none" w:sz="0" w:space="0" w:color="auto"/>
        <w:bottom w:val="none" w:sz="0" w:space="0" w:color="auto"/>
        <w:right w:val="none" w:sz="0" w:space="0" w:color="auto"/>
      </w:divBdr>
    </w:div>
    <w:div w:id="1218781033">
      <w:bodyDiv w:val="1"/>
      <w:marLeft w:val="0"/>
      <w:marRight w:val="0"/>
      <w:marTop w:val="0"/>
      <w:marBottom w:val="0"/>
      <w:divBdr>
        <w:top w:val="none" w:sz="0" w:space="0" w:color="auto"/>
        <w:left w:val="none" w:sz="0" w:space="0" w:color="auto"/>
        <w:bottom w:val="none" w:sz="0" w:space="0" w:color="auto"/>
        <w:right w:val="none" w:sz="0" w:space="0" w:color="auto"/>
      </w:divBdr>
    </w:div>
    <w:div w:id="1224486955">
      <w:bodyDiv w:val="1"/>
      <w:marLeft w:val="0"/>
      <w:marRight w:val="0"/>
      <w:marTop w:val="0"/>
      <w:marBottom w:val="0"/>
      <w:divBdr>
        <w:top w:val="none" w:sz="0" w:space="0" w:color="auto"/>
        <w:left w:val="none" w:sz="0" w:space="0" w:color="auto"/>
        <w:bottom w:val="none" w:sz="0" w:space="0" w:color="auto"/>
        <w:right w:val="none" w:sz="0" w:space="0" w:color="auto"/>
      </w:divBdr>
    </w:div>
    <w:div w:id="1226721810">
      <w:bodyDiv w:val="1"/>
      <w:marLeft w:val="0"/>
      <w:marRight w:val="0"/>
      <w:marTop w:val="0"/>
      <w:marBottom w:val="0"/>
      <w:divBdr>
        <w:top w:val="none" w:sz="0" w:space="0" w:color="auto"/>
        <w:left w:val="none" w:sz="0" w:space="0" w:color="auto"/>
        <w:bottom w:val="none" w:sz="0" w:space="0" w:color="auto"/>
        <w:right w:val="none" w:sz="0" w:space="0" w:color="auto"/>
      </w:divBdr>
    </w:div>
    <w:div w:id="1232497151">
      <w:bodyDiv w:val="1"/>
      <w:marLeft w:val="0"/>
      <w:marRight w:val="0"/>
      <w:marTop w:val="0"/>
      <w:marBottom w:val="0"/>
      <w:divBdr>
        <w:top w:val="none" w:sz="0" w:space="0" w:color="auto"/>
        <w:left w:val="none" w:sz="0" w:space="0" w:color="auto"/>
        <w:bottom w:val="none" w:sz="0" w:space="0" w:color="auto"/>
        <w:right w:val="none" w:sz="0" w:space="0" w:color="auto"/>
      </w:divBdr>
    </w:div>
    <w:div w:id="1233351763">
      <w:bodyDiv w:val="1"/>
      <w:marLeft w:val="0"/>
      <w:marRight w:val="0"/>
      <w:marTop w:val="0"/>
      <w:marBottom w:val="0"/>
      <w:divBdr>
        <w:top w:val="none" w:sz="0" w:space="0" w:color="auto"/>
        <w:left w:val="none" w:sz="0" w:space="0" w:color="auto"/>
        <w:bottom w:val="none" w:sz="0" w:space="0" w:color="auto"/>
        <w:right w:val="none" w:sz="0" w:space="0" w:color="auto"/>
      </w:divBdr>
    </w:div>
    <w:div w:id="1234659719">
      <w:bodyDiv w:val="1"/>
      <w:marLeft w:val="0"/>
      <w:marRight w:val="0"/>
      <w:marTop w:val="0"/>
      <w:marBottom w:val="0"/>
      <w:divBdr>
        <w:top w:val="none" w:sz="0" w:space="0" w:color="auto"/>
        <w:left w:val="none" w:sz="0" w:space="0" w:color="auto"/>
        <w:bottom w:val="none" w:sz="0" w:space="0" w:color="auto"/>
        <w:right w:val="none" w:sz="0" w:space="0" w:color="auto"/>
      </w:divBdr>
    </w:div>
    <w:div w:id="1241602943">
      <w:bodyDiv w:val="1"/>
      <w:marLeft w:val="0"/>
      <w:marRight w:val="0"/>
      <w:marTop w:val="0"/>
      <w:marBottom w:val="0"/>
      <w:divBdr>
        <w:top w:val="none" w:sz="0" w:space="0" w:color="auto"/>
        <w:left w:val="none" w:sz="0" w:space="0" w:color="auto"/>
        <w:bottom w:val="none" w:sz="0" w:space="0" w:color="auto"/>
        <w:right w:val="none" w:sz="0" w:space="0" w:color="auto"/>
      </w:divBdr>
    </w:div>
    <w:div w:id="1241866661">
      <w:bodyDiv w:val="1"/>
      <w:marLeft w:val="0"/>
      <w:marRight w:val="0"/>
      <w:marTop w:val="0"/>
      <w:marBottom w:val="0"/>
      <w:divBdr>
        <w:top w:val="none" w:sz="0" w:space="0" w:color="auto"/>
        <w:left w:val="none" w:sz="0" w:space="0" w:color="auto"/>
        <w:bottom w:val="none" w:sz="0" w:space="0" w:color="auto"/>
        <w:right w:val="none" w:sz="0" w:space="0" w:color="auto"/>
      </w:divBdr>
    </w:div>
    <w:div w:id="1242786880">
      <w:bodyDiv w:val="1"/>
      <w:marLeft w:val="0"/>
      <w:marRight w:val="0"/>
      <w:marTop w:val="0"/>
      <w:marBottom w:val="0"/>
      <w:divBdr>
        <w:top w:val="none" w:sz="0" w:space="0" w:color="auto"/>
        <w:left w:val="none" w:sz="0" w:space="0" w:color="auto"/>
        <w:bottom w:val="none" w:sz="0" w:space="0" w:color="auto"/>
        <w:right w:val="none" w:sz="0" w:space="0" w:color="auto"/>
      </w:divBdr>
    </w:div>
    <w:div w:id="1244414409">
      <w:bodyDiv w:val="1"/>
      <w:marLeft w:val="0"/>
      <w:marRight w:val="0"/>
      <w:marTop w:val="0"/>
      <w:marBottom w:val="0"/>
      <w:divBdr>
        <w:top w:val="none" w:sz="0" w:space="0" w:color="auto"/>
        <w:left w:val="none" w:sz="0" w:space="0" w:color="auto"/>
        <w:bottom w:val="none" w:sz="0" w:space="0" w:color="auto"/>
        <w:right w:val="none" w:sz="0" w:space="0" w:color="auto"/>
      </w:divBdr>
    </w:div>
    <w:div w:id="1251816307">
      <w:bodyDiv w:val="1"/>
      <w:marLeft w:val="0"/>
      <w:marRight w:val="0"/>
      <w:marTop w:val="0"/>
      <w:marBottom w:val="0"/>
      <w:divBdr>
        <w:top w:val="none" w:sz="0" w:space="0" w:color="auto"/>
        <w:left w:val="none" w:sz="0" w:space="0" w:color="auto"/>
        <w:bottom w:val="none" w:sz="0" w:space="0" w:color="auto"/>
        <w:right w:val="none" w:sz="0" w:space="0" w:color="auto"/>
      </w:divBdr>
    </w:div>
    <w:div w:id="1252009750">
      <w:bodyDiv w:val="1"/>
      <w:marLeft w:val="0"/>
      <w:marRight w:val="0"/>
      <w:marTop w:val="0"/>
      <w:marBottom w:val="0"/>
      <w:divBdr>
        <w:top w:val="none" w:sz="0" w:space="0" w:color="auto"/>
        <w:left w:val="none" w:sz="0" w:space="0" w:color="auto"/>
        <w:bottom w:val="none" w:sz="0" w:space="0" w:color="auto"/>
        <w:right w:val="none" w:sz="0" w:space="0" w:color="auto"/>
      </w:divBdr>
    </w:div>
    <w:div w:id="1253005049">
      <w:bodyDiv w:val="1"/>
      <w:marLeft w:val="0"/>
      <w:marRight w:val="0"/>
      <w:marTop w:val="0"/>
      <w:marBottom w:val="0"/>
      <w:divBdr>
        <w:top w:val="none" w:sz="0" w:space="0" w:color="auto"/>
        <w:left w:val="none" w:sz="0" w:space="0" w:color="auto"/>
        <w:bottom w:val="none" w:sz="0" w:space="0" w:color="auto"/>
        <w:right w:val="none" w:sz="0" w:space="0" w:color="auto"/>
      </w:divBdr>
    </w:div>
    <w:div w:id="1257179676">
      <w:bodyDiv w:val="1"/>
      <w:marLeft w:val="0"/>
      <w:marRight w:val="0"/>
      <w:marTop w:val="0"/>
      <w:marBottom w:val="0"/>
      <w:divBdr>
        <w:top w:val="none" w:sz="0" w:space="0" w:color="auto"/>
        <w:left w:val="none" w:sz="0" w:space="0" w:color="auto"/>
        <w:bottom w:val="none" w:sz="0" w:space="0" w:color="auto"/>
        <w:right w:val="none" w:sz="0" w:space="0" w:color="auto"/>
      </w:divBdr>
    </w:div>
    <w:div w:id="1260021927">
      <w:bodyDiv w:val="1"/>
      <w:marLeft w:val="0"/>
      <w:marRight w:val="0"/>
      <w:marTop w:val="0"/>
      <w:marBottom w:val="0"/>
      <w:divBdr>
        <w:top w:val="none" w:sz="0" w:space="0" w:color="auto"/>
        <w:left w:val="none" w:sz="0" w:space="0" w:color="auto"/>
        <w:bottom w:val="none" w:sz="0" w:space="0" w:color="auto"/>
        <w:right w:val="none" w:sz="0" w:space="0" w:color="auto"/>
      </w:divBdr>
    </w:div>
    <w:div w:id="1261572028">
      <w:bodyDiv w:val="1"/>
      <w:marLeft w:val="0"/>
      <w:marRight w:val="0"/>
      <w:marTop w:val="0"/>
      <w:marBottom w:val="0"/>
      <w:divBdr>
        <w:top w:val="none" w:sz="0" w:space="0" w:color="auto"/>
        <w:left w:val="none" w:sz="0" w:space="0" w:color="auto"/>
        <w:bottom w:val="none" w:sz="0" w:space="0" w:color="auto"/>
        <w:right w:val="none" w:sz="0" w:space="0" w:color="auto"/>
      </w:divBdr>
    </w:div>
    <w:div w:id="1264656333">
      <w:bodyDiv w:val="1"/>
      <w:marLeft w:val="0"/>
      <w:marRight w:val="0"/>
      <w:marTop w:val="0"/>
      <w:marBottom w:val="0"/>
      <w:divBdr>
        <w:top w:val="none" w:sz="0" w:space="0" w:color="auto"/>
        <w:left w:val="none" w:sz="0" w:space="0" w:color="auto"/>
        <w:bottom w:val="none" w:sz="0" w:space="0" w:color="auto"/>
        <w:right w:val="none" w:sz="0" w:space="0" w:color="auto"/>
      </w:divBdr>
    </w:div>
    <w:div w:id="1266227820">
      <w:bodyDiv w:val="1"/>
      <w:marLeft w:val="0"/>
      <w:marRight w:val="0"/>
      <w:marTop w:val="0"/>
      <w:marBottom w:val="0"/>
      <w:divBdr>
        <w:top w:val="none" w:sz="0" w:space="0" w:color="auto"/>
        <w:left w:val="none" w:sz="0" w:space="0" w:color="auto"/>
        <w:bottom w:val="none" w:sz="0" w:space="0" w:color="auto"/>
        <w:right w:val="none" w:sz="0" w:space="0" w:color="auto"/>
      </w:divBdr>
    </w:div>
    <w:div w:id="1269661630">
      <w:bodyDiv w:val="1"/>
      <w:marLeft w:val="0"/>
      <w:marRight w:val="0"/>
      <w:marTop w:val="0"/>
      <w:marBottom w:val="0"/>
      <w:divBdr>
        <w:top w:val="none" w:sz="0" w:space="0" w:color="auto"/>
        <w:left w:val="none" w:sz="0" w:space="0" w:color="auto"/>
        <w:bottom w:val="none" w:sz="0" w:space="0" w:color="auto"/>
        <w:right w:val="none" w:sz="0" w:space="0" w:color="auto"/>
      </w:divBdr>
    </w:div>
    <w:div w:id="1270746044">
      <w:bodyDiv w:val="1"/>
      <w:marLeft w:val="0"/>
      <w:marRight w:val="0"/>
      <w:marTop w:val="0"/>
      <w:marBottom w:val="0"/>
      <w:divBdr>
        <w:top w:val="none" w:sz="0" w:space="0" w:color="auto"/>
        <w:left w:val="none" w:sz="0" w:space="0" w:color="auto"/>
        <w:bottom w:val="none" w:sz="0" w:space="0" w:color="auto"/>
        <w:right w:val="none" w:sz="0" w:space="0" w:color="auto"/>
      </w:divBdr>
    </w:div>
    <w:div w:id="1277253822">
      <w:bodyDiv w:val="1"/>
      <w:marLeft w:val="0"/>
      <w:marRight w:val="0"/>
      <w:marTop w:val="0"/>
      <w:marBottom w:val="0"/>
      <w:divBdr>
        <w:top w:val="none" w:sz="0" w:space="0" w:color="auto"/>
        <w:left w:val="none" w:sz="0" w:space="0" w:color="auto"/>
        <w:bottom w:val="none" w:sz="0" w:space="0" w:color="auto"/>
        <w:right w:val="none" w:sz="0" w:space="0" w:color="auto"/>
      </w:divBdr>
    </w:div>
    <w:div w:id="1280457183">
      <w:bodyDiv w:val="1"/>
      <w:marLeft w:val="0"/>
      <w:marRight w:val="0"/>
      <w:marTop w:val="0"/>
      <w:marBottom w:val="0"/>
      <w:divBdr>
        <w:top w:val="none" w:sz="0" w:space="0" w:color="auto"/>
        <w:left w:val="none" w:sz="0" w:space="0" w:color="auto"/>
        <w:bottom w:val="none" w:sz="0" w:space="0" w:color="auto"/>
        <w:right w:val="none" w:sz="0" w:space="0" w:color="auto"/>
      </w:divBdr>
    </w:div>
    <w:div w:id="1286617439">
      <w:bodyDiv w:val="1"/>
      <w:marLeft w:val="0"/>
      <w:marRight w:val="0"/>
      <w:marTop w:val="0"/>
      <w:marBottom w:val="0"/>
      <w:divBdr>
        <w:top w:val="none" w:sz="0" w:space="0" w:color="auto"/>
        <w:left w:val="none" w:sz="0" w:space="0" w:color="auto"/>
        <w:bottom w:val="none" w:sz="0" w:space="0" w:color="auto"/>
        <w:right w:val="none" w:sz="0" w:space="0" w:color="auto"/>
      </w:divBdr>
    </w:div>
    <w:div w:id="1291715049">
      <w:bodyDiv w:val="1"/>
      <w:marLeft w:val="0"/>
      <w:marRight w:val="0"/>
      <w:marTop w:val="0"/>
      <w:marBottom w:val="0"/>
      <w:divBdr>
        <w:top w:val="none" w:sz="0" w:space="0" w:color="auto"/>
        <w:left w:val="none" w:sz="0" w:space="0" w:color="auto"/>
        <w:bottom w:val="none" w:sz="0" w:space="0" w:color="auto"/>
        <w:right w:val="none" w:sz="0" w:space="0" w:color="auto"/>
      </w:divBdr>
    </w:div>
    <w:div w:id="1291787847">
      <w:bodyDiv w:val="1"/>
      <w:marLeft w:val="0"/>
      <w:marRight w:val="0"/>
      <w:marTop w:val="0"/>
      <w:marBottom w:val="0"/>
      <w:divBdr>
        <w:top w:val="none" w:sz="0" w:space="0" w:color="auto"/>
        <w:left w:val="none" w:sz="0" w:space="0" w:color="auto"/>
        <w:bottom w:val="none" w:sz="0" w:space="0" w:color="auto"/>
        <w:right w:val="none" w:sz="0" w:space="0" w:color="auto"/>
      </w:divBdr>
    </w:div>
    <w:div w:id="1292396308">
      <w:bodyDiv w:val="1"/>
      <w:marLeft w:val="0"/>
      <w:marRight w:val="0"/>
      <w:marTop w:val="0"/>
      <w:marBottom w:val="0"/>
      <w:divBdr>
        <w:top w:val="none" w:sz="0" w:space="0" w:color="auto"/>
        <w:left w:val="none" w:sz="0" w:space="0" w:color="auto"/>
        <w:bottom w:val="none" w:sz="0" w:space="0" w:color="auto"/>
        <w:right w:val="none" w:sz="0" w:space="0" w:color="auto"/>
      </w:divBdr>
    </w:div>
    <w:div w:id="1292595075">
      <w:bodyDiv w:val="1"/>
      <w:marLeft w:val="0"/>
      <w:marRight w:val="0"/>
      <w:marTop w:val="0"/>
      <w:marBottom w:val="0"/>
      <w:divBdr>
        <w:top w:val="none" w:sz="0" w:space="0" w:color="auto"/>
        <w:left w:val="none" w:sz="0" w:space="0" w:color="auto"/>
        <w:bottom w:val="none" w:sz="0" w:space="0" w:color="auto"/>
        <w:right w:val="none" w:sz="0" w:space="0" w:color="auto"/>
      </w:divBdr>
    </w:div>
    <w:div w:id="1296132507">
      <w:bodyDiv w:val="1"/>
      <w:marLeft w:val="0"/>
      <w:marRight w:val="0"/>
      <w:marTop w:val="0"/>
      <w:marBottom w:val="0"/>
      <w:divBdr>
        <w:top w:val="none" w:sz="0" w:space="0" w:color="auto"/>
        <w:left w:val="none" w:sz="0" w:space="0" w:color="auto"/>
        <w:bottom w:val="none" w:sz="0" w:space="0" w:color="auto"/>
        <w:right w:val="none" w:sz="0" w:space="0" w:color="auto"/>
      </w:divBdr>
    </w:div>
    <w:div w:id="1297682865">
      <w:bodyDiv w:val="1"/>
      <w:marLeft w:val="0"/>
      <w:marRight w:val="0"/>
      <w:marTop w:val="0"/>
      <w:marBottom w:val="0"/>
      <w:divBdr>
        <w:top w:val="none" w:sz="0" w:space="0" w:color="auto"/>
        <w:left w:val="none" w:sz="0" w:space="0" w:color="auto"/>
        <w:bottom w:val="none" w:sz="0" w:space="0" w:color="auto"/>
        <w:right w:val="none" w:sz="0" w:space="0" w:color="auto"/>
      </w:divBdr>
    </w:div>
    <w:div w:id="1298023541">
      <w:bodyDiv w:val="1"/>
      <w:marLeft w:val="0"/>
      <w:marRight w:val="0"/>
      <w:marTop w:val="0"/>
      <w:marBottom w:val="0"/>
      <w:divBdr>
        <w:top w:val="none" w:sz="0" w:space="0" w:color="auto"/>
        <w:left w:val="none" w:sz="0" w:space="0" w:color="auto"/>
        <w:bottom w:val="none" w:sz="0" w:space="0" w:color="auto"/>
        <w:right w:val="none" w:sz="0" w:space="0" w:color="auto"/>
      </w:divBdr>
    </w:div>
    <w:div w:id="1306858421">
      <w:bodyDiv w:val="1"/>
      <w:marLeft w:val="0"/>
      <w:marRight w:val="0"/>
      <w:marTop w:val="0"/>
      <w:marBottom w:val="0"/>
      <w:divBdr>
        <w:top w:val="none" w:sz="0" w:space="0" w:color="auto"/>
        <w:left w:val="none" w:sz="0" w:space="0" w:color="auto"/>
        <w:bottom w:val="none" w:sz="0" w:space="0" w:color="auto"/>
        <w:right w:val="none" w:sz="0" w:space="0" w:color="auto"/>
      </w:divBdr>
    </w:div>
    <w:div w:id="1311137256">
      <w:bodyDiv w:val="1"/>
      <w:marLeft w:val="0"/>
      <w:marRight w:val="0"/>
      <w:marTop w:val="0"/>
      <w:marBottom w:val="0"/>
      <w:divBdr>
        <w:top w:val="none" w:sz="0" w:space="0" w:color="auto"/>
        <w:left w:val="none" w:sz="0" w:space="0" w:color="auto"/>
        <w:bottom w:val="none" w:sz="0" w:space="0" w:color="auto"/>
        <w:right w:val="none" w:sz="0" w:space="0" w:color="auto"/>
      </w:divBdr>
    </w:div>
    <w:div w:id="1312174224">
      <w:bodyDiv w:val="1"/>
      <w:marLeft w:val="0"/>
      <w:marRight w:val="0"/>
      <w:marTop w:val="0"/>
      <w:marBottom w:val="0"/>
      <w:divBdr>
        <w:top w:val="none" w:sz="0" w:space="0" w:color="auto"/>
        <w:left w:val="none" w:sz="0" w:space="0" w:color="auto"/>
        <w:bottom w:val="none" w:sz="0" w:space="0" w:color="auto"/>
        <w:right w:val="none" w:sz="0" w:space="0" w:color="auto"/>
      </w:divBdr>
    </w:div>
    <w:div w:id="1313295425">
      <w:bodyDiv w:val="1"/>
      <w:marLeft w:val="0"/>
      <w:marRight w:val="0"/>
      <w:marTop w:val="0"/>
      <w:marBottom w:val="0"/>
      <w:divBdr>
        <w:top w:val="none" w:sz="0" w:space="0" w:color="auto"/>
        <w:left w:val="none" w:sz="0" w:space="0" w:color="auto"/>
        <w:bottom w:val="none" w:sz="0" w:space="0" w:color="auto"/>
        <w:right w:val="none" w:sz="0" w:space="0" w:color="auto"/>
      </w:divBdr>
    </w:div>
    <w:div w:id="1314524577">
      <w:bodyDiv w:val="1"/>
      <w:marLeft w:val="0"/>
      <w:marRight w:val="0"/>
      <w:marTop w:val="0"/>
      <w:marBottom w:val="0"/>
      <w:divBdr>
        <w:top w:val="none" w:sz="0" w:space="0" w:color="auto"/>
        <w:left w:val="none" w:sz="0" w:space="0" w:color="auto"/>
        <w:bottom w:val="none" w:sz="0" w:space="0" w:color="auto"/>
        <w:right w:val="none" w:sz="0" w:space="0" w:color="auto"/>
      </w:divBdr>
    </w:div>
    <w:div w:id="1318151115">
      <w:bodyDiv w:val="1"/>
      <w:marLeft w:val="0"/>
      <w:marRight w:val="0"/>
      <w:marTop w:val="0"/>
      <w:marBottom w:val="0"/>
      <w:divBdr>
        <w:top w:val="none" w:sz="0" w:space="0" w:color="auto"/>
        <w:left w:val="none" w:sz="0" w:space="0" w:color="auto"/>
        <w:bottom w:val="none" w:sz="0" w:space="0" w:color="auto"/>
        <w:right w:val="none" w:sz="0" w:space="0" w:color="auto"/>
      </w:divBdr>
    </w:div>
    <w:div w:id="1318608068">
      <w:bodyDiv w:val="1"/>
      <w:marLeft w:val="0"/>
      <w:marRight w:val="0"/>
      <w:marTop w:val="0"/>
      <w:marBottom w:val="0"/>
      <w:divBdr>
        <w:top w:val="none" w:sz="0" w:space="0" w:color="auto"/>
        <w:left w:val="none" w:sz="0" w:space="0" w:color="auto"/>
        <w:bottom w:val="none" w:sz="0" w:space="0" w:color="auto"/>
        <w:right w:val="none" w:sz="0" w:space="0" w:color="auto"/>
      </w:divBdr>
    </w:div>
    <w:div w:id="1328828331">
      <w:bodyDiv w:val="1"/>
      <w:marLeft w:val="0"/>
      <w:marRight w:val="0"/>
      <w:marTop w:val="0"/>
      <w:marBottom w:val="0"/>
      <w:divBdr>
        <w:top w:val="none" w:sz="0" w:space="0" w:color="auto"/>
        <w:left w:val="none" w:sz="0" w:space="0" w:color="auto"/>
        <w:bottom w:val="none" w:sz="0" w:space="0" w:color="auto"/>
        <w:right w:val="none" w:sz="0" w:space="0" w:color="auto"/>
      </w:divBdr>
    </w:div>
    <w:div w:id="1330871203">
      <w:bodyDiv w:val="1"/>
      <w:marLeft w:val="0"/>
      <w:marRight w:val="0"/>
      <w:marTop w:val="0"/>
      <w:marBottom w:val="0"/>
      <w:divBdr>
        <w:top w:val="none" w:sz="0" w:space="0" w:color="auto"/>
        <w:left w:val="none" w:sz="0" w:space="0" w:color="auto"/>
        <w:bottom w:val="none" w:sz="0" w:space="0" w:color="auto"/>
        <w:right w:val="none" w:sz="0" w:space="0" w:color="auto"/>
      </w:divBdr>
    </w:div>
    <w:div w:id="1335304229">
      <w:bodyDiv w:val="1"/>
      <w:marLeft w:val="0"/>
      <w:marRight w:val="0"/>
      <w:marTop w:val="0"/>
      <w:marBottom w:val="0"/>
      <w:divBdr>
        <w:top w:val="none" w:sz="0" w:space="0" w:color="auto"/>
        <w:left w:val="none" w:sz="0" w:space="0" w:color="auto"/>
        <w:bottom w:val="none" w:sz="0" w:space="0" w:color="auto"/>
        <w:right w:val="none" w:sz="0" w:space="0" w:color="auto"/>
      </w:divBdr>
    </w:div>
    <w:div w:id="1338388210">
      <w:bodyDiv w:val="1"/>
      <w:marLeft w:val="0"/>
      <w:marRight w:val="0"/>
      <w:marTop w:val="0"/>
      <w:marBottom w:val="0"/>
      <w:divBdr>
        <w:top w:val="none" w:sz="0" w:space="0" w:color="auto"/>
        <w:left w:val="none" w:sz="0" w:space="0" w:color="auto"/>
        <w:bottom w:val="none" w:sz="0" w:space="0" w:color="auto"/>
        <w:right w:val="none" w:sz="0" w:space="0" w:color="auto"/>
      </w:divBdr>
    </w:div>
    <w:div w:id="1346982941">
      <w:bodyDiv w:val="1"/>
      <w:marLeft w:val="0"/>
      <w:marRight w:val="0"/>
      <w:marTop w:val="0"/>
      <w:marBottom w:val="0"/>
      <w:divBdr>
        <w:top w:val="none" w:sz="0" w:space="0" w:color="auto"/>
        <w:left w:val="none" w:sz="0" w:space="0" w:color="auto"/>
        <w:bottom w:val="none" w:sz="0" w:space="0" w:color="auto"/>
        <w:right w:val="none" w:sz="0" w:space="0" w:color="auto"/>
      </w:divBdr>
    </w:div>
    <w:div w:id="1348362552">
      <w:bodyDiv w:val="1"/>
      <w:marLeft w:val="0"/>
      <w:marRight w:val="0"/>
      <w:marTop w:val="0"/>
      <w:marBottom w:val="0"/>
      <w:divBdr>
        <w:top w:val="none" w:sz="0" w:space="0" w:color="auto"/>
        <w:left w:val="none" w:sz="0" w:space="0" w:color="auto"/>
        <w:bottom w:val="none" w:sz="0" w:space="0" w:color="auto"/>
        <w:right w:val="none" w:sz="0" w:space="0" w:color="auto"/>
      </w:divBdr>
    </w:div>
    <w:div w:id="1349411047">
      <w:bodyDiv w:val="1"/>
      <w:marLeft w:val="0"/>
      <w:marRight w:val="0"/>
      <w:marTop w:val="0"/>
      <w:marBottom w:val="0"/>
      <w:divBdr>
        <w:top w:val="none" w:sz="0" w:space="0" w:color="auto"/>
        <w:left w:val="none" w:sz="0" w:space="0" w:color="auto"/>
        <w:bottom w:val="none" w:sz="0" w:space="0" w:color="auto"/>
        <w:right w:val="none" w:sz="0" w:space="0" w:color="auto"/>
      </w:divBdr>
    </w:div>
    <w:div w:id="1353070372">
      <w:bodyDiv w:val="1"/>
      <w:marLeft w:val="0"/>
      <w:marRight w:val="0"/>
      <w:marTop w:val="0"/>
      <w:marBottom w:val="0"/>
      <w:divBdr>
        <w:top w:val="none" w:sz="0" w:space="0" w:color="auto"/>
        <w:left w:val="none" w:sz="0" w:space="0" w:color="auto"/>
        <w:bottom w:val="none" w:sz="0" w:space="0" w:color="auto"/>
        <w:right w:val="none" w:sz="0" w:space="0" w:color="auto"/>
      </w:divBdr>
    </w:div>
    <w:div w:id="1355232003">
      <w:bodyDiv w:val="1"/>
      <w:marLeft w:val="0"/>
      <w:marRight w:val="0"/>
      <w:marTop w:val="0"/>
      <w:marBottom w:val="0"/>
      <w:divBdr>
        <w:top w:val="none" w:sz="0" w:space="0" w:color="auto"/>
        <w:left w:val="none" w:sz="0" w:space="0" w:color="auto"/>
        <w:bottom w:val="none" w:sz="0" w:space="0" w:color="auto"/>
        <w:right w:val="none" w:sz="0" w:space="0" w:color="auto"/>
      </w:divBdr>
    </w:div>
    <w:div w:id="1357921742">
      <w:bodyDiv w:val="1"/>
      <w:marLeft w:val="0"/>
      <w:marRight w:val="0"/>
      <w:marTop w:val="0"/>
      <w:marBottom w:val="0"/>
      <w:divBdr>
        <w:top w:val="none" w:sz="0" w:space="0" w:color="auto"/>
        <w:left w:val="none" w:sz="0" w:space="0" w:color="auto"/>
        <w:bottom w:val="none" w:sz="0" w:space="0" w:color="auto"/>
        <w:right w:val="none" w:sz="0" w:space="0" w:color="auto"/>
      </w:divBdr>
    </w:div>
    <w:div w:id="1362364951">
      <w:bodyDiv w:val="1"/>
      <w:marLeft w:val="0"/>
      <w:marRight w:val="0"/>
      <w:marTop w:val="0"/>
      <w:marBottom w:val="0"/>
      <w:divBdr>
        <w:top w:val="none" w:sz="0" w:space="0" w:color="auto"/>
        <w:left w:val="none" w:sz="0" w:space="0" w:color="auto"/>
        <w:bottom w:val="none" w:sz="0" w:space="0" w:color="auto"/>
        <w:right w:val="none" w:sz="0" w:space="0" w:color="auto"/>
      </w:divBdr>
    </w:div>
    <w:div w:id="1365250399">
      <w:bodyDiv w:val="1"/>
      <w:marLeft w:val="0"/>
      <w:marRight w:val="0"/>
      <w:marTop w:val="0"/>
      <w:marBottom w:val="0"/>
      <w:divBdr>
        <w:top w:val="none" w:sz="0" w:space="0" w:color="auto"/>
        <w:left w:val="none" w:sz="0" w:space="0" w:color="auto"/>
        <w:bottom w:val="none" w:sz="0" w:space="0" w:color="auto"/>
        <w:right w:val="none" w:sz="0" w:space="0" w:color="auto"/>
      </w:divBdr>
    </w:div>
    <w:div w:id="1370958398">
      <w:bodyDiv w:val="1"/>
      <w:marLeft w:val="0"/>
      <w:marRight w:val="0"/>
      <w:marTop w:val="0"/>
      <w:marBottom w:val="0"/>
      <w:divBdr>
        <w:top w:val="none" w:sz="0" w:space="0" w:color="auto"/>
        <w:left w:val="none" w:sz="0" w:space="0" w:color="auto"/>
        <w:bottom w:val="none" w:sz="0" w:space="0" w:color="auto"/>
        <w:right w:val="none" w:sz="0" w:space="0" w:color="auto"/>
      </w:divBdr>
    </w:div>
    <w:div w:id="1373650046">
      <w:bodyDiv w:val="1"/>
      <w:marLeft w:val="0"/>
      <w:marRight w:val="0"/>
      <w:marTop w:val="0"/>
      <w:marBottom w:val="0"/>
      <w:divBdr>
        <w:top w:val="none" w:sz="0" w:space="0" w:color="auto"/>
        <w:left w:val="none" w:sz="0" w:space="0" w:color="auto"/>
        <w:bottom w:val="none" w:sz="0" w:space="0" w:color="auto"/>
        <w:right w:val="none" w:sz="0" w:space="0" w:color="auto"/>
      </w:divBdr>
    </w:div>
    <w:div w:id="1374844413">
      <w:bodyDiv w:val="1"/>
      <w:marLeft w:val="0"/>
      <w:marRight w:val="0"/>
      <w:marTop w:val="0"/>
      <w:marBottom w:val="0"/>
      <w:divBdr>
        <w:top w:val="none" w:sz="0" w:space="0" w:color="auto"/>
        <w:left w:val="none" w:sz="0" w:space="0" w:color="auto"/>
        <w:bottom w:val="none" w:sz="0" w:space="0" w:color="auto"/>
        <w:right w:val="none" w:sz="0" w:space="0" w:color="auto"/>
      </w:divBdr>
    </w:div>
    <w:div w:id="1375736473">
      <w:bodyDiv w:val="1"/>
      <w:marLeft w:val="0"/>
      <w:marRight w:val="0"/>
      <w:marTop w:val="0"/>
      <w:marBottom w:val="0"/>
      <w:divBdr>
        <w:top w:val="none" w:sz="0" w:space="0" w:color="auto"/>
        <w:left w:val="none" w:sz="0" w:space="0" w:color="auto"/>
        <w:bottom w:val="none" w:sz="0" w:space="0" w:color="auto"/>
        <w:right w:val="none" w:sz="0" w:space="0" w:color="auto"/>
      </w:divBdr>
    </w:div>
    <w:div w:id="1375932301">
      <w:bodyDiv w:val="1"/>
      <w:marLeft w:val="0"/>
      <w:marRight w:val="0"/>
      <w:marTop w:val="0"/>
      <w:marBottom w:val="0"/>
      <w:divBdr>
        <w:top w:val="none" w:sz="0" w:space="0" w:color="auto"/>
        <w:left w:val="none" w:sz="0" w:space="0" w:color="auto"/>
        <w:bottom w:val="none" w:sz="0" w:space="0" w:color="auto"/>
        <w:right w:val="none" w:sz="0" w:space="0" w:color="auto"/>
      </w:divBdr>
    </w:div>
    <w:div w:id="1377391871">
      <w:bodyDiv w:val="1"/>
      <w:marLeft w:val="0"/>
      <w:marRight w:val="0"/>
      <w:marTop w:val="0"/>
      <w:marBottom w:val="0"/>
      <w:divBdr>
        <w:top w:val="none" w:sz="0" w:space="0" w:color="auto"/>
        <w:left w:val="none" w:sz="0" w:space="0" w:color="auto"/>
        <w:bottom w:val="none" w:sz="0" w:space="0" w:color="auto"/>
        <w:right w:val="none" w:sz="0" w:space="0" w:color="auto"/>
      </w:divBdr>
    </w:div>
    <w:div w:id="1377511607">
      <w:bodyDiv w:val="1"/>
      <w:marLeft w:val="0"/>
      <w:marRight w:val="0"/>
      <w:marTop w:val="0"/>
      <w:marBottom w:val="0"/>
      <w:divBdr>
        <w:top w:val="none" w:sz="0" w:space="0" w:color="auto"/>
        <w:left w:val="none" w:sz="0" w:space="0" w:color="auto"/>
        <w:bottom w:val="none" w:sz="0" w:space="0" w:color="auto"/>
        <w:right w:val="none" w:sz="0" w:space="0" w:color="auto"/>
      </w:divBdr>
    </w:div>
    <w:div w:id="1382943199">
      <w:bodyDiv w:val="1"/>
      <w:marLeft w:val="0"/>
      <w:marRight w:val="0"/>
      <w:marTop w:val="0"/>
      <w:marBottom w:val="0"/>
      <w:divBdr>
        <w:top w:val="none" w:sz="0" w:space="0" w:color="auto"/>
        <w:left w:val="none" w:sz="0" w:space="0" w:color="auto"/>
        <w:bottom w:val="none" w:sz="0" w:space="0" w:color="auto"/>
        <w:right w:val="none" w:sz="0" w:space="0" w:color="auto"/>
      </w:divBdr>
    </w:div>
    <w:div w:id="1386367662">
      <w:bodyDiv w:val="1"/>
      <w:marLeft w:val="0"/>
      <w:marRight w:val="0"/>
      <w:marTop w:val="0"/>
      <w:marBottom w:val="0"/>
      <w:divBdr>
        <w:top w:val="none" w:sz="0" w:space="0" w:color="auto"/>
        <w:left w:val="none" w:sz="0" w:space="0" w:color="auto"/>
        <w:bottom w:val="none" w:sz="0" w:space="0" w:color="auto"/>
        <w:right w:val="none" w:sz="0" w:space="0" w:color="auto"/>
      </w:divBdr>
    </w:div>
    <w:div w:id="138775562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22874721">
      <w:bodyDiv w:val="1"/>
      <w:marLeft w:val="0"/>
      <w:marRight w:val="0"/>
      <w:marTop w:val="0"/>
      <w:marBottom w:val="0"/>
      <w:divBdr>
        <w:top w:val="none" w:sz="0" w:space="0" w:color="auto"/>
        <w:left w:val="none" w:sz="0" w:space="0" w:color="auto"/>
        <w:bottom w:val="none" w:sz="0" w:space="0" w:color="auto"/>
        <w:right w:val="none" w:sz="0" w:space="0" w:color="auto"/>
      </w:divBdr>
    </w:div>
    <w:div w:id="1429738782">
      <w:bodyDiv w:val="1"/>
      <w:marLeft w:val="0"/>
      <w:marRight w:val="0"/>
      <w:marTop w:val="0"/>
      <w:marBottom w:val="0"/>
      <w:divBdr>
        <w:top w:val="none" w:sz="0" w:space="0" w:color="auto"/>
        <w:left w:val="none" w:sz="0" w:space="0" w:color="auto"/>
        <w:bottom w:val="none" w:sz="0" w:space="0" w:color="auto"/>
        <w:right w:val="none" w:sz="0" w:space="0" w:color="auto"/>
      </w:divBdr>
    </w:div>
    <w:div w:id="1430276413">
      <w:bodyDiv w:val="1"/>
      <w:marLeft w:val="0"/>
      <w:marRight w:val="0"/>
      <w:marTop w:val="0"/>
      <w:marBottom w:val="0"/>
      <w:divBdr>
        <w:top w:val="none" w:sz="0" w:space="0" w:color="auto"/>
        <w:left w:val="none" w:sz="0" w:space="0" w:color="auto"/>
        <w:bottom w:val="none" w:sz="0" w:space="0" w:color="auto"/>
        <w:right w:val="none" w:sz="0" w:space="0" w:color="auto"/>
      </w:divBdr>
    </w:div>
    <w:div w:id="1433893301">
      <w:bodyDiv w:val="1"/>
      <w:marLeft w:val="0"/>
      <w:marRight w:val="0"/>
      <w:marTop w:val="0"/>
      <w:marBottom w:val="0"/>
      <w:divBdr>
        <w:top w:val="none" w:sz="0" w:space="0" w:color="auto"/>
        <w:left w:val="none" w:sz="0" w:space="0" w:color="auto"/>
        <w:bottom w:val="none" w:sz="0" w:space="0" w:color="auto"/>
        <w:right w:val="none" w:sz="0" w:space="0" w:color="auto"/>
      </w:divBdr>
    </w:div>
    <w:div w:id="1435053423">
      <w:bodyDiv w:val="1"/>
      <w:marLeft w:val="0"/>
      <w:marRight w:val="0"/>
      <w:marTop w:val="0"/>
      <w:marBottom w:val="0"/>
      <w:divBdr>
        <w:top w:val="none" w:sz="0" w:space="0" w:color="auto"/>
        <w:left w:val="none" w:sz="0" w:space="0" w:color="auto"/>
        <w:bottom w:val="none" w:sz="0" w:space="0" w:color="auto"/>
        <w:right w:val="none" w:sz="0" w:space="0" w:color="auto"/>
      </w:divBdr>
    </w:div>
    <w:div w:id="1436708987">
      <w:bodyDiv w:val="1"/>
      <w:marLeft w:val="0"/>
      <w:marRight w:val="0"/>
      <w:marTop w:val="0"/>
      <w:marBottom w:val="0"/>
      <w:divBdr>
        <w:top w:val="none" w:sz="0" w:space="0" w:color="auto"/>
        <w:left w:val="none" w:sz="0" w:space="0" w:color="auto"/>
        <w:bottom w:val="none" w:sz="0" w:space="0" w:color="auto"/>
        <w:right w:val="none" w:sz="0" w:space="0" w:color="auto"/>
      </w:divBdr>
    </w:div>
    <w:div w:id="1441222097">
      <w:bodyDiv w:val="1"/>
      <w:marLeft w:val="0"/>
      <w:marRight w:val="0"/>
      <w:marTop w:val="0"/>
      <w:marBottom w:val="0"/>
      <w:divBdr>
        <w:top w:val="none" w:sz="0" w:space="0" w:color="auto"/>
        <w:left w:val="none" w:sz="0" w:space="0" w:color="auto"/>
        <w:bottom w:val="none" w:sz="0" w:space="0" w:color="auto"/>
        <w:right w:val="none" w:sz="0" w:space="0" w:color="auto"/>
      </w:divBdr>
    </w:div>
    <w:div w:id="1442263798">
      <w:bodyDiv w:val="1"/>
      <w:marLeft w:val="0"/>
      <w:marRight w:val="0"/>
      <w:marTop w:val="0"/>
      <w:marBottom w:val="0"/>
      <w:divBdr>
        <w:top w:val="none" w:sz="0" w:space="0" w:color="auto"/>
        <w:left w:val="none" w:sz="0" w:space="0" w:color="auto"/>
        <w:bottom w:val="none" w:sz="0" w:space="0" w:color="auto"/>
        <w:right w:val="none" w:sz="0" w:space="0" w:color="auto"/>
      </w:divBdr>
    </w:div>
    <w:div w:id="1443260751">
      <w:bodyDiv w:val="1"/>
      <w:marLeft w:val="0"/>
      <w:marRight w:val="0"/>
      <w:marTop w:val="0"/>
      <w:marBottom w:val="0"/>
      <w:divBdr>
        <w:top w:val="none" w:sz="0" w:space="0" w:color="auto"/>
        <w:left w:val="none" w:sz="0" w:space="0" w:color="auto"/>
        <w:bottom w:val="none" w:sz="0" w:space="0" w:color="auto"/>
        <w:right w:val="none" w:sz="0" w:space="0" w:color="auto"/>
      </w:divBdr>
    </w:div>
    <w:div w:id="1452094456">
      <w:bodyDiv w:val="1"/>
      <w:marLeft w:val="0"/>
      <w:marRight w:val="0"/>
      <w:marTop w:val="0"/>
      <w:marBottom w:val="0"/>
      <w:divBdr>
        <w:top w:val="none" w:sz="0" w:space="0" w:color="auto"/>
        <w:left w:val="none" w:sz="0" w:space="0" w:color="auto"/>
        <w:bottom w:val="none" w:sz="0" w:space="0" w:color="auto"/>
        <w:right w:val="none" w:sz="0" w:space="0" w:color="auto"/>
      </w:divBdr>
    </w:div>
    <w:div w:id="1457213262">
      <w:bodyDiv w:val="1"/>
      <w:marLeft w:val="0"/>
      <w:marRight w:val="0"/>
      <w:marTop w:val="0"/>
      <w:marBottom w:val="0"/>
      <w:divBdr>
        <w:top w:val="none" w:sz="0" w:space="0" w:color="auto"/>
        <w:left w:val="none" w:sz="0" w:space="0" w:color="auto"/>
        <w:bottom w:val="none" w:sz="0" w:space="0" w:color="auto"/>
        <w:right w:val="none" w:sz="0" w:space="0" w:color="auto"/>
      </w:divBdr>
    </w:div>
    <w:div w:id="1457871009">
      <w:bodyDiv w:val="1"/>
      <w:marLeft w:val="0"/>
      <w:marRight w:val="0"/>
      <w:marTop w:val="0"/>
      <w:marBottom w:val="0"/>
      <w:divBdr>
        <w:top w:val="none" w:sz="0" w:space="0" w:color="auto"/>
        <w:left w:val="none" w:sz="0" w:space="0" w:color="auto"/>
        <w:bottom w:val="none" w:sz="0" w:space="0" w:color="auto"/>
        <w:right w:val="none" w:sz="0" w:space="0" w:color="auto"/>
      </w:divBdr>
    </w:div>
    <w:div w:id="1484738228">
      <w:bodyDiv w:val="1"/>
      <w:marLeft w:val="0"/>
      <w:marRight w:val="0"/>
      <w:marTop w:val="0"/>
      <w:marBottom w:val="0"/>
      <w:divBdr>
        <w:top w:val="none" w:sz="0" w:space="0" w:color="auto"/>
        <w:left w:val="none" w:sz="0" w:space="0" w:color="auto"/>
        <w:bottom w:val="none" w:sz="0" w:space="0" w:color="auto"/>
        <w:right w:val="none" w:sz="0" w:space="0" w:color="auto"/>
      </w:divBdr>
    </w:div>
    <w:div w:id="1491940672">
      <w:bodyDiv w:val="1"/>
      <w:marLeft w:val="0"/>
      <w:marRight w:val="0"/>
      <w:marTop w:val="0"/>
      <w:marBottom w:val="0"/>
      <w:divBdr>
        <w:top w:val="none" w:sz="0" w:space="0" w:color="auto"/>
        <w:left w:val="none" w:sz="0" w:space="0" w:color="auto"/>
        <w:bottom w:val="none" w:sz="0" w:space="0" w:color="auto"/>
        <w:right w:val="none" w:sz="0" w:space="0" w:color="auto"/>
      </w:divBdr>
    </w:div>
    <w:div w:id="1492871798">
      <w:bodyDiv w:val="1"/>
      <w:marLeft w:val="0"/>
      <w:marRight w:val="0"/>
      <w:marTop w:val="0"/>
      <w:marBottom w:val="0"/>
      <w:divBdr>
        <w:top w:val="none" w:sz="0" w:space="0" w:color="auto"/>
        <w:left w:val="none" w:sz="0" w:space="0" w:color="auto"/>
        <w:bottom w:val="none" w:sz="0" w:space="0" w:color="auto"/>
        <w:right w:val="none" w:sz="0" w:space="0" w:color="auto"/>
      </w:divBdr>
    </w:div>
    <w:div w:id="1493595269">
      <w:bodyDiv w:val="1"/>
      <w:marLeft w:val="0"/>
      <w:marRight w:val="0"/>
      <w:marTop w:val="0"/>
      <w:marBottom w:val="0"/>
      <w:divBdr>
        <w:top w:val="none" w:sz="0" w:space="0" w:color="auto"/>
        <w:left w:val="none" w:sz="0" w:space="0" w:color="auto"/>
        <w:bottom w:val="none" w:sz="0" w:space="0" w:color="auto"/>
        <w:right w:val="none" w:sz="0" w:space="0" w:color="auto"/>
      </w:divBdr>
    </w:div>
    <w:div w:id="1496611172">
      <w:bodyDiv w:val="1"/>
      <w:marLeft w:val="0"/>
      <w:marRight w:val="0"/>
      <w:marTop w:val="0"/>
      <w:marBottom w:val="0"/>
      <w:divBdr>
        <w:top w:val="none" w:sz="0" w:space="0" w:color="auto"/>
        <w:left w:val="none" w:sz="0" w:space="0" w:color="auto"/>
        <w:bottom w:val="none" w:sz="0" w:space="0" w:color="auto"/>
        <w:right w:val="none" w:sz="0" w:space="0" w:color="auto"/>
      </w:divBdr>
    </w:div>
    <w:div w:id="1500197124">
      <w:bodyDiv w:val="1"/>
      <w:marLeft w:val="0"/>
      <w:marRight w:val="0"/>
      <w:marTop w:val="0"/>
      <w:marBottom w:val="0"/>
      <w:divBdr>
        <w:top w:val="none" w:sz="0" w:space="0" w:color="auto"/>
        <w:left w:val="none" w:sz="0" w:space="0" w:color="auto"/>
        <w:bottom w:val="none" w:sz="0" w:space="0" w:color="auto"/>
        <w:right w:val="none" w:sz="0" w:space="0" w:color="auto"/>
      </w:divBdr>
    </w:div>
    <w:div w:id="1501237560">
      <w:bodyDiv w:val="1"/>
      <w:marLeft w:val="0"/>
      <w:marRight w:val="0"/>
      <w:marTop w:val="0"/>
      <w:marBottom w:val="0"/>
      <w:divBdr>
        <w:top w:val="none" w:sz="0" w:space="0" w:color="auto"/>
        <w:left w:val="none" w:sz="0" w:space="0" w:color="auto"/>
        <w:bottom w:val="none" w:sz="0" w:space="0" w:color="auto"/>
        <w:right w:val="none" w:sz="0" w:space="0" w:color="auto"/>
      </w:divBdr>
    </w:div>
    <w:div w:id="1502038164">
      <w:bodyDiv w:val="1"/>
      <w:marLeft w:val="0"/>
      <w:marRight w:val="0"/>
      <w:marTop w:val="0"/>
      <w:marBottom w:val="0"/>
      <w:divBdr>
        <w:top w:val="none" w:sz="0" w:space="0" w:color="auto"/>
        <w:left w:val="none" w:sz="0" w:space="0" w:color="auto"/>
        <w:bottom w:val="none" w:sz="0" w:space="0" w:color="auto"/>
        <w:right w:val="none" w:sz="0" w:space="0" w:color="auto"/>
      </w:divBdr>
    </w:div>
    <w:div w:id="1502086302">
      <w:bodyDiv w:val="1"/>
      <w:marLeft w:val="0"/>
      <w:marRight w:val="0"/>
      <w:marTop w:val="0"/>
      <w:marBottom w:val="0"/>
      <w:divBdr>
        <w:top w:val="none" w:sz="0" w:space="0" w:color="auto"/>
        <w:left w:val="none" w:sz="0" w:space="0" w:color="auto"/>
        <w:bottom w:val="none" w:sz="0" w:space="0" w:color="auto"/>
        <w:right w:val="none" w:sz="0" w:space="0" w:color="auto"/>
      </w:divBdr>
    </w:div>
    <w:div w:id="1502963356">
      <w:bodyDiv w:val="1"/>
      <w:marLeft w:val="0"/>
      <w:marRight w:val="0"/>
      <w:marTop w:val="0"/>
      <w:marBottom w:val="0"/>
      <w:divBdr>
        <w:top w:val="none" w:sz="0" w:space="0" w:color="auto"/>
        <w:left w:val="none" w:sz="0" w:space="0" w:color="auto"/>
        <w:bottom w:val="none" w:sz="0" w:space="0" w:color="auto"/>
        <w:right w:val="none" w:sz="0" w:space="0" w:color="auto"/>
      </w:divBdr>
    </w:div>
    <w:div w:id="1503932164">
      <w:bodyDiv w:val="1"/>
      <w:marLeft w:val="0"/>
      <w:marRight w:val="0"/>
      <w:marTop w:val="0"/>
      <w:marBottom w:val="0"/>
      <w:divBdr>
        <w:top w:val="none" w:sz="0" w:space="0" w:color="auto"/>
        <w:left w:val="none" w:sz="0" w:space="0" w:color="auto"/>
        <w:bottom w:val="none" w:sz="0" w:space="0" w:color="auto"/>
        <w:right w:val="none" w:sz="0" w:space="0" w:color="auto"/>
      </w:divBdr>
    </w:div>
    <w:div w:id="1506556110">
      <w:bodyDiv w:val="1"/>
      <w:marLeft w:val="0"/>
      <w:marRight w:val="0"/>
      <w:marTop w:val="0"/>
      <w:marBottom w:val="0"/>
      <w:divBdr>
        <w:top w:val="none" w:sz="0" w:space="0" w:color="auto"/>
        <w:left w:val="none" w:sz="0" w:space="0" w:color="auto"/>
        <w:bottom w:val="none" w:sz="0" w:space="0" w:color="auto"/>
        <w:right w:val="none" w:sz="0" w:space="0" w:color="auto"/>
      </w:divBdr>
    </w:div>
    <w:div w:id="1510103563">
      <w:bodyDiv w:val="1"/>
      <w:marLeft w:val="0"/>
      <w:marRight w:val="0"/>
      <w:marTop w:val="0"/>
      <w:marBottom w:val="0"/>
      <w:divBdr>
        <w:top w:val="none" w:sz="0" w:space="0" w:color="auto"/>
        <w:left w:val="none" w:sz="0" w:space="0" w:color="auto"/>
        <w:bottom w:val="none" w:sz="0" w:space="0" w:color="auto"/>
        <w:right w:val="none" w:sz="0" w:space="0" w:color="auto"/>
      </w:divBdr>
    </w:div>
    <w:div w:id="1513102653">
      <w:bodyDiv w:val="1"/>
      <w:marLeft w:val="0"/>
      <w:marRight w:val="0"/>
      <w:marTop w:val="0"/>
      <w:marBottom w:val="0"/>
      <w:divBdr>
        <w:top w:val="none" w:sz="0" w:space="0" w:color="auto"/>
        <w:left w:val="none" w:sz="0" w:space="0" w:color="auto"/>
        <w:bottom w:val="none" w:sz="0" w:space="0" w:color="auto"/>
        <w:right w:val="none" w:sz="0" w:space="0" w:color="auto"/>
      </w:divBdr>
    </w:div>
    <w:div w:id="1514877012">
      <w:bodyDiv w:val="1"/>
      <w:marLeft w:val="0"/>
      <w:marRight w:val="0"/>
      <w:marTop w:val="0"/>
      <w:marBottom w:val="0"/>
      <w:divBdr>
        <w:top w:val="none" w:sz="0" w:space="0" w:color="auto"/>
        <w:left w:val="none" w:sz="0" w:space="0" w:color="auto"/>
        <w:bottom w:val="none" w:sz="0" w:space="0" w:color="auto"/>
        <w:right w:val="none" w:sz="0" w:space="0" w:color="auto"/>
      </w:divBdr>
    </w:div>
    <w:div w:id="1517228802">
      <w:bodyDiv w:val="1"/>
      <w:marLeft w:val="0"/>
      <w:marRight w:val="0"/>
      <w:marTop w:val="0"/>
      <w:marBottom w:val="0"/>
      <w:divBdr>
        <w:top w:val="none" w:sz="0" w:space="0" w:color="auto"/>
        <w:left w:val="none" w:sz="0" w:space="0" w:color="auto"/>
        <w:bottom w:val="none" w:sz="0" w:space="0" w:color="auto"/>
        <w:right w:val="none" w:sz="0" w:space="0" w:color="auto"/>
      </w:divBdr>
    </w:div>
    <w:div w:id="1517966384">
      <w:bodyDiv w:val="1"/>
      <w:marLeft w:val="0"/>
      <w:marRight w:val="0"/>
      <w:marTop w:val="0"/>
      <w:marBottom w:val="0"/>
      <w:divBdr>
        <w:top w:val="none" w:sz="0" w:space="0" w:color="auto"/>
        <w:left w:val="none" w:sz="0" w:space="0" w:color="auto"/>
        <w:bottom w:val="none" w:sz="0" w:space="0" w:color="auto"/>
        <w:right w:val="none" w:sz="0" w:space="0" w:color="auto"/>
      </w:divBdr>
    </w:div>
    <w:div w:id="1518539766">
      <w:bodyDiv w:val="1"/>
      <w:marLeft w:val="0"/>
      <w:marRight w:val="0"/>
      <w:marTop w:val="0"/>
      <w:marBottom w:val="0"/>
      <w:divBdr>
        <w:top w:val="none" w:sz="0" w:space="0" w:color="auto"/>
        <w:left w:val="none" w:sz="0" w:space="0" w:color="auto"/>
        <w:bottom w:val="none" w:sz="0" w:space="0" w:color="auto"/>
        <w:right w:val="none" w:sz="0" w:space="0" w:color="auto"/>
      </w:divBdr>
    </w:div>
    <w:div w:id="1522935293">
      <w:bodyDiv w:val="1"/>
      <w:marLeft w:val="0"/>
      <w:marRight w:val="0"/>
      <w:marTop w:val="0"/>
      <w:marBottom w:val="0"/>
      <w:divBdr>
        <w:top w:val="none" w:sz="0" w:space="0" w:color="auto"/>
        <w:left w:val="none" w:sz="0" w:space="0" w:color="auto"/>
        <w:bottom w:val="none" w:sz="0" w:space="0" w:color="auto"/>
        <w:right w:val="none" w:sz="0" w:space="0" w:color="auto"/>
      </w:divBdr>
    </w:div>
    <w:div w:id="1524124729">
      <w:bodyDiv w:val="1"/>
      <w:marLeft w:val="0"/>
      <w:marRight w:val="0"/>
      <w:marTop w:val="0"/>
      <w:marBottom w:val="0"/>
      <w:divBdr>
        <w:top w:val="none" w:sz="0" w:space="0" w:color="auto"/>
        <w:left w:val="none" w:sz="0" w:space="0" w:color="auto"/>
        <w:bottom w:val="none" w:sz="0" w:space="0" w:color="auto"/>
        <w:right w:val="none" w:sz="0" w:space="0" w:color="auto"/>
      </w:divBdr>
    </w:div>
    <w:div w:id="1525435821">
      <w:bodyDiv w:val="1"/>
      <w:marLeft w:val="0"/>
      <w:marRight w:val="0"/>
      <w:marTop w:val="0"/>
      <w:marBottom w:val="0"/>
      <w:divBdr>
        <w:top w:val="none" w:sz="0" w:space="0" w:color="auto"/>
        <w:left w:val="none" w:sz="0" w:space="0" w:color="auto"/>
        <w:bottom w:val="none" w:sz="0" w:space="0" w:color="auto"/>
        <w:right w:val="none" w:sz="0" w:space="0" w:color="auto"/>
      </w:divBdr>
    </w:div>
    <w:div w:id="1527258202">
      <w:bodyDiv w:val="1"/>
      <w:marLeft w:val="0"/>
      <w:marRight w:val="0"/>
      <w:marTop w:val="0"/>
      <w:marBottom w:val="0"/>
      <w:divBdr>
        <w:top w:val="none" w:sz="0" w:space="0" w:color="auto"/>
        <w:left w:val="none" w:sz="0" w:space="0" w:color="auto"/>
        <w:bottom w:val="none" w:sz="0" w:space="0" w:color="auto"/>
        <w:right w:val="none" w:sz="0" w:space="0" w:color="auto"/>
      </w:divBdr>
    </w:div>
    <w:div w:id="1528524679">
      <w:bodyDiv w:val="1"/>
      <w:marLeft w:val="0"/>
      <w:marRight w:val="0"/>
      <w:marTop w:val="0"/>
      <w:marBottom w:val="0"/>
      <w:divBdr>
        <w:top w:val="none" w:sz="0" w:space="0" w:color="auto"/>
        <w:left w:val="none" w:sz="0" w:space="0" w:color="auto"/>
        <w:bottom w:val="none" w:sz="0" w:space="0" w:color="auto"/>
        <w:right w:val="none" w:sz="0" w:space="0" w:color="auto"/>
      </w:divBdr>
    </w:div>
    <w:div w:id="1533347550">
      <w:bodyDiv w:val="1"/>
      <w:marLeft w:val="0"/>
      <w:marRight w:val="0"/>
      <w:marTop w:val="0"/>
      <w:marBottom w:val="0"/>
      <w:divBdr>
        <w:top w:val="none" w:sz="0" w:space="0" w:color="auto"/>
        <w:left w:val="none" w:sz="0" w:space="0" w:color="auto"/>
        <w:bottom w:val="none" w:sz="0" w:space="0" w:color="auto"/>
        <w:right w:val="none" w:sz="0" w:space="0" w:color="auto"/>
      </w:divBdr>
    </w:div>
    <w:div w:id="1535576992">
      <w:bodyDiv w:val="1"/>
      <w:marLeft w:val="0"/>
      <w:marRight w:val="0"/>
      <w:marTop w:val="0"/>
      <w:marBottom w:val="0"/>
      <w:divBdr>
        <w:top w:val="none" w:sz="0" w:space="0" w:color="auto"/>
        <w:left w:val="none" w:sz="0" w:space="0" w:color="auto"/>
        <w:bottom w:val="none" w:sz="0" w:space="0" w:color="auto"/>
        <w:right w:val="none" w:sz="0" w:space="0" w:color="auto"/>
      </w:divBdr>
    </w:div>
    <w:div w:id="1541480807">
      <w:bodyDiv w:val="1"/>
      <w:marLeft w:val="0"/>
      <w:marRight w:val="0"/>
      <w:marTop w:val="0"/>
      <w:marBottom w:val="0"/>
      <w:divBdr>
        <w:top w:val="none" w:sz="0" w:space="0" w:color="auto"/>
        <w:left w:val="none" w:sz="0" w:space="0" w:color="auto"/>
        <w:bottom w:val="none" w:sz="0" w:space="0" w:color="auto"/>
        <w:right w:val="none" w:sz="0" w:space="0" w:color="auto"/>
      </w:divBdr>
    </w:div>
    <w:div w:id="1546673212">
      <w:bodyDiv w:val="1"/>
      <w:marLeft w:val="0"/>
      <w:marRight w:val="0"/>
      <w:marTop w:val="0"/>
      <w:marBottom w:val="0"/>
      <w:divBdr>
        <w:top w:val="none" w:sz="0" w:space="0" w:color="auto"/>
        <w:left w:val="none" w:sz="0" w:space="0" w:color="auto"/>
        <w:bottom w:val="none" w:sz="0" w:space="0" w:color="auto"/>
        <w:right w:val="none" w:sz="0" w:space="0" w:color="auto"/>
      </w:divBdr>
    </w:div>
    <w:div w:id="1552955609">
      <w:bodyDiv w:val="1"/>
      <w:marLeft w:val="0"/>
      <w:marRight w:val="0"/>
      <w:marTop w:val="0"/>
      <w:marBottom w:val="0"/>
      <w:divBdr>
        <w:top w:val="none" w:sz="0" w:space="0" w:color="auto"/>
        <w:left w:val="none" w:sz="0" w:space="0" w:color="auto"/>
        <w:bottom w:val="none" w:sz="0" w:space="0" w:color="auto"/>
        <w:right w:val="none" w:sz="0" w:space="0" w:color="auto"/>
      </w:divBdr>
    </w:div>
    <w:div w:id="1556820702">
      <w:bodyDiv w:val="1"/>
      <w:marLeft w:val="0"/>
      <w:marRight w:val="0"/>
      <w:marTop w:val="0"/>
      <w:marBottom w:val="0"/>
      <w:divBdr>
        <w:top w:val="none" w:sz="0" w:space="0" w:color="auto"/>
        <w:left w:val="none" w:sz="0" w:space="0" w:color="auto"/>
        <w:bottom w:val="none" w:sz="0" w:space="0" w:color="auto"/>
        <w:right w:val="none" w:sz="0" w:space="0" w:color="auto"/>
      </w:divBdr>
    </w:div>
    <w:div w:id="1561358326">
      <w:bodyDiv w:val="1"/>
      <w:marLeft w:val="0"/>
      <w:marRight w:val="0"/>
      <w:marTop w:val="0"/>
      <w:marBottom w:val="0"/>
      <w:divBdr>
        <w:top w:val="none" w:sz="0" w:space="0" w:color="auto"/>
        <w:left w:val="none" w:sz="0" w:space="0" w:color="auto"/>
        <w:bottom w:val="none" w:sz="0" w:space="0" w:color="auto"/>
        <w:right w:val="none" w:sz="0" w:space="0" w:color="auto"/>
      </w:divBdr>
    </w:div>
    <w:div w:id="1563640372">
      <w:bodyDiv w:val="1"/>
      <w:marLeft w:val="0"/>
      <w:marRight w:val="0"/>
      <w:marTop w:val="0"/>
      <w:marBottom w:val="0"/>
      <w:divBdr>
        <w:top w:val="none" w:sz="0" w:space="0" w:color="auto"/>
        <w:left w:val="none" w:sz="0" w:space="0" w:color="auto"/>
        <w:bottom w:val="none" w:sz="0" w:space="0" w:color="auto"/>
        <w:right w:val="none" w:sz="0" w:space="0" w:color="auto"/>
      </w:divBdr>
    </w:div>
    <w:div w:id="1567572055">
      <w:bodyDiv w:val="1"/>
      <w:marLeft w:val="0"/>
      <w:marRight w:val="0"/>
      <w:marTop w:val="0"/>
      <w:marBottom w:val="0"/>
      <w:divBdr>
        <w:top w:val="none" w:sz="0" w:space="0" w:color="auto"/>
        <w:left w:val="none" w:sz="0" w:space="0" w:color="auto"/>
        <w:bottom w:val="none" w:sz="0" w:space="0" w:color="auto"/>
        <w:right w:val="none" w:sz="0" w:space="0" w:color="auto"/>
      </w:divBdr>
    </w:div>
    <w:div w:id="1570847622">
      <w:bodyDiv w:val="1"/>
      <w:marLeft w:val="0"/>
      <w:marRight w:val="0"/>
      <w:marTop w:val="0"/>
      <w:marBottom w:val="0"/>
      <w:divBdr>
        <w:top w:val="none" w:sz="0" w:space="0" w:color="auto"/>
        <w:left w:val="none" w:sz="0" w:space="0" w:color="auto"/>
        <w:bottom w:val="none" w:sz="0" w:space="0" w:color="auto"/>
        <w:right w:val="none" w:sz="0" w:space="0" w:color="auto"/>
      </w:divBdr>
    </w:div>
    <w:div w:id="1573614191">
      <w:bodyDiv w:val="1"/>
      <w:marLeft w:val="0"/>
      <w:marRight w:val="0"/>
      <w:marTop w:val="0"/>
      <w:marBottom w:val="0"/>
      <w:divBdr>
        <w:top w:val="none" w:sz="0" w:space="0" w:color="auto"/>
        <w:left w:val="none" w:sz="0" w:space="0" w:color="auto"/>
        <w:bottom w:val="none" w:sz="0" w:space="0" w:color="auto"/>
        <w:right w:val="none" w:sz="0" w:space="0" w:color="auto"/>
      </w:divBdr>
    </w:div>
    <w:div w:id="1574047191">
      <w:bodyDiv w:val="1"/>
      <w:marLeft w:val="0"/>
      <w:marRight w:val="0"/>
      <w:marTop w:val="0"/>
      <w:marBottom w:val="0"/>
      <w:divBdr>
        <w:top w:val="none" w:sz="0" w:space="0" w:color="auto"/>
        <w:left w:val="none" w:sz="0" w:space="0" w:color="auto"/>
        <w:bottom w:val="none" w:sz="0" w:space="0" w:color="auto"/>
        <w:right w:val="none" w:sz="0" w:space="0" w:color="auto"/>
      </w:divBdr>
    </w:div>
    <w:div w:id="1575505066">
      <w:bodyDiv w:val="1"/>
      <w:marLeft w:val="0"/>
      <w:marRight w:val="0"/>
      <w:marTop w:val="0"/>
      <w:marBottom w:val="0"/>
      <w:divBdr>
        <w:top w:val="none" w:sz="0" w:space="0" w:color="auto"/>
        <w:left w:val="none" w:sz="0" w:space="0" w:color="auto"/>
        <w:bottom w:val="none" w:sz="0" w:space="0" w:color="auto"/>
        <w:right w:val="none" w:sz="0" w:space="0" w:color="auto"/>
      </w:divBdr>
    </w:div>
    <w:div w:id="1578057632">
      <w:bodyDiv w:val="1"/>
      <w:marLeft w:val="0"/>
      <w:marRight w:val="0"/>
      <w:marTop w:val="0"/>
      <w:marBottom w:val="0"/>
      <w:divBdr>
        <w:top w:val="none" w:sz="0" w:space="0" w:color="auto"/>
        <w:left w:val="none" w:sz="0" w:space="0" w:color="auto"/>
        <w:bottom w:val="none" w:sz="0" w:space="0" w:color="auto"/>
        <w:right w:val="none" w:sz="0" w:space="0" w:color="auto"/>
      </w:divBdr>
    </w:div>
    <w:div w:id="1581717238">
      <w:bodyDiv w:val="1"/>
      <w:marLeft w:val="0"/>
      <w:marRight w:val="0"/>
      <w:marTop w:val="0"/>
      <w:marBottom w:val="0"/>
      <w:divBdr>
        <w:top w:val="none" w:sz="0" w:space="0" w:color="auto"/>
        <w:left w:val="none" w:sz="0" w:space="0" w:color="auto"/>
        <w:bottom w:val="none" w:sz="0" w:space="0" w:color="auto"/>
        <w:right w:val="none" w:sz="0" w:space="0" w:color="auto"/>
      </w:divBdr>
    </w:div>
    <w:div w:id="1583756494">
      <w:bodyDiv w:val="1"/>
      <w:marLeft w:val="0"/>
      <w:marRight w:val="0"/>
      <w:marTop w:val="0"/>
      <w:marBottom w:val="0"/>
      <w:divBdr>
        <w:top w:val="none" w:sz="0" w:space="0" w:color="auto"/>
        <w:left w:val="none" w:sz="0" w:space="0" w:color="auto"/>
        <w:bottom w:val="none" w:sz="0" w:space="0" w:color="auto"/>
        <w:right w:val="none" w:sz="0" w:space="0" w:color="auto"/>
      </w:divBdr>
    </w:div>
    <w:div w:id="1590000381">
      <w:bodyDiv w:val="1"/>
      <w:marLeft w:val="0"/>
      <w:marRight w:val="0"/>
      <w:marTop w:val="0"/>
      <w:marBottom w:val="0"/>
      <w:divBdr>
        <w:top w:val="none" w:sz="0" w:space="0" w:color="auto"/>
        <w:left w:val="none" w:sz="0" w:space="0" w:color="auto"/>
        <w:bottom w:val="none" w:sz="0" w:space="0" w:color="auto"/>
        <w:right w:val="none" w:sz="0" w:space="0" w:color="auto"/>
      </w:divBdr>
    </w:div>
    <w:div w:id="1590458755">
      <w:bodyDiv w:val="1"/>
      <w:marLeft w:val="0"/>
      <w:marRight w:val="0"/>
      <w:marTop w:val="0"/>
      <w:marBottom w:val="0"/>
      <w:divBdr>
        <w:top w:val="none" w:sz="0" w:space="0" w:color="auto"/>
        <w:left w:val="none" w:sz="0" w:space="0" w:color="auto"/>
        <w:bottom w:val="none" w:sz="0" w:space="0" w:color="auto"/>
        <w:right w:val="none" w:sz="0" w:space="0" w:color="auto"/>
      </w:divBdr>
    </w:div>
    <w:div w:id="1609120420">
      <w:bodyDiv w:val="1"/>
      <w:marLeft w:val="0"/>
      <w:marRight w:val="0"/>
      <w:marTop w:val="0"/>
      <w:marBottom w:val="0"/>
      <w:divBdr>
        <w:top w:val="none" w:sz="0" w:space="0" w:color="auto"/>
        <w:left w:val="none" w:sz="0" w:space="0" w:color="auto"/>
        <w:bottom w:val="none" w:sz="0" w:space="0" w:color="auto"/>
        <w:right w:val="none" w:sz="0" w:space="0" w:color="auto"/>
      </w:divBdr>
    </w:div>
    <w:div w:id="1619335664">
      <w:bodyDiv w:val="1"/>
      <w:marLeft w:val="0"/>
      <w:marRight w:val="0"/>
      <w:marTop w:val="0"/>
      <w:marBottom w:val="0"/>
      <w:divBdr>
        <w:top w:val="none" w:sz="0" w:space="0" w:color="auto"/>
        <w:left w:val="none" w:sz="0" w:space="0" w:color="auto"/>
        <w:bottom w:val="none" w:sz="0" w:space="0" w:color="auto"/>
        <w:right w:val="none" w:sz="0" w:space="0" w:color="auto"/>
      </w:divBdr>
    </w:div>
    <w:div w:id="1622104423">
      <w:bodyDiv w:val="1"/>
      <w:marLeft w:val="0"/>
      <w:marRight w:val="0"/>
      <w:marTop w:val="0"/>
      <w:marBottom w:val="0"/>
      <w:divBdr>
        <w:top w:val="none" w:sz="0" w:space="0" w:color="auto"/>
        <w:left w:val="none" w:sz="0" w:space="0" w:color="auto"/>
        <w:bottom w:val="none" w:sz="0" w:space="0" w:color="auto"/>
        <w:right w:val="none" w:sz="0" w:space="0" w:color="auto"/>
      </w:divBdr>
    </w:div>
    <w:div w:id="1627618131">
      <w:bodyDiv w:val="1"/>
      <w:marLeft w:val="0"/>
      <w:marRight w:val="0"/>
      <w:marTop w:val="0"/>
      <w:marBottom w:val="0"/>
      <w:divBdr>
        <w:top w:val="none" w:sz="0" w:space="0" w:color="auto"/>
        <w:left w:val="none" w:sz="0" w:space="0" w:color="auto"/>
        <w:bottom w:val="none" w:sz="0" w:space="0" w:color="auto"/>
        <w:right w:val="none" w:sz="0" w:space="0" w:color="auto"/>
      </w:divBdr>
    </w:div>
    <w:div w:id="1628245032">
      <w:bodyDiv w:val="1"/>
      <w:marLeft w:val="0"/>
      <w:marRight w:val="0"/>
      <w:marTop w:val="0"/>
      <w:marBottom w:val="0"/>
      <w:divBdr>
        <w:top w:val="none" w:sz="0" w:space="0" w:color="auto"/>
        <w:left w:val="none" w:sz="0" w:space="0" w:color="auto"/>
        <w:bottom w:val="none" w:sz="0" w:space="0" w:color="auto"/>
        <w:right w:val="none" w:sz="0" w:space="0" w:color="auto"/>
      </w:divBdr>
    </w:div>
    <w:div w:id="1636908103">
      <w:bodyDiv w:val="1"/>
      <w:marLeft w:val="0"/>
      <w:marRight w:val="0"/>
      <w:marTop w:val="0"/>
      <w:marBottom w:val="0"/>
      <w:divBdr>
        <w:top w:val="none" w:sz="0" w:space="0" w:color="auto"/>
        <w:left w:val="none" w:sz="0" w:space="0" w:color="auto"/>
        <w:bottom w:val="none" w:sz="0" w:space="0" w:color="auto"/>
        <w:right w:val="none" w:sz="0" w:space="0" w:color="auto"/>
      </w:divBdr>
    </w:div>
    <w:div w:id="1640527605">
      <w:bodyDiv w:val="1"/>
      <w:marLeft w:val="0"/>
      <w:marRight w:val="0"/>
      <w:marTop w:val="0"/>
      <w:marBottom w:val="0"/>
      <w:divBdr>
        <w:top w:val="none" w:sz="0" w:space="0" w:color="auto"/>
        <w:left w:val="none" w:sz="0" w:space="0" w:color="auto"/>
        <w:bottom w:val="none" w:sz="0" w:space="0" w:color="auto"/>
        <w:right w:val="none" w:sz="0" w:space="0" w:color="auto"/>
      </w:divBdr>
    </w:div>
    <w:div w:id="1654600480">
      <w:bodyDiv w:val="1"/>
      <w:marLeft w:val="0"/>
      <w:marRight w:val="0"/>
      <w:marTop w:val="0"/>
      <w:marBottom w:val="0"/>
      <w:divBdr>
        <w:top w:val="none" w:sz="0" w:space="0" w:color="auto"/>
        <w:left w:val="none" w:sz="0" w:space="0" w:color="auto"/>
        <w:bottom w:val="none" w:sz="0" w:space="0" w:color="auto"/>
        <w:right w:val="none" w:sz="0" w:space="0" w:color="auto"/>
      </w:divBdr>
    </w:div>
    <w:div w:id="1658026939">
      <w:bodyDiv w:val="1"/>
      <w:marLeft w:val="0"/>
      <w:marRight w:val="0"/>
      <w:marTop w:val="0"/>
      <w:marBottom w:val="0"/>
      <w:divBdr>
        <w:top w:val="none" w:sz="0" w:space="0" w:color="auto"/>
        <w:left w:val="none" w:sz="0" w:space="0" w:color="auto"/>
        <w:bottom w:val="none" w:sz="0" w:space="0" w:color="auto"/>
        <w:right w:val="none" w:sz="0" w:space="0" w:color="auto"/>
      </w:divBdr>
    </w:div>
    <w:div w:id="1660964986">
      <w:bodyDiv w:val="1"/>
      <w:marLeft w:val="0"/>
      <w:marRight w:val="0"/>
      <w:marTop w:val="0"/>
      <w:marBottom w:val="0"/>
      <w:divBdr>
        <w:top w:val="none" w:sz="0" w:space="0" w:color="auto"/>
        <w:left w:val="none" w:sz="0" w:space="0" w:color="auto"/>
        <w:bottom w:val="none" w:sz="0" w:space="0" w:color="auto"/>
        <w:right w:val="none" w:sz="0" w:space="0" w:color="auto"/>
      </w:divBdr>
    </w:div>
    <w:div w:id="1670713737">
      <w:bodyDiv w:val="1"/>
      <w:marLeft w:val="0"/>
      <w:marRight w:val="0"/>
      <w:marTop w:val="0"/>
      <w:marBottom w:val="0"/>
      <w:divBdr>
        <w:top w:val="none" w:sz="0" w:space="0" w:color="auto"/>
        <w:left w:val="none" w:sz="0" w:space="0" w:color="auto"/>
        <w:bottom w:val="none" w:sz="0" w:space="0" w:color="auto"/>
        <w:right w:val="none" w:sz="0" w:space="0" w:color="auto"/>
      </w:divBdr>
    </w:div>
    <w:div w:id="1674182959">
      <w:bodyDiv w:val="1"/>
      <w:marLeft w:val="0"/>
      <w:marRight w:val="0"/>
      <w:marTop w:val="0"/>
      <w:marBottom w:val="0"/>
      <w:divBdr>
        <w:top w:val="none" w:sz="0" w:space="0" w:color="auto"/>
        <w:left w:val="none" w:sz="0" w:space="0" w:color="auto"/>
        <w:bottom w:val="none" w:sz="0" w:space="0" w:color="auto"/>
        <w:right w:val="none" w:sz="0" w:space="0" w:color="auto"/>
      </w:divBdr>
    </w:div>
    <w:div w:id="1674720080">
      <w:bodyDiv w:val="1"/>
      <w:marLeft w:val="0"/>
      <w:marRight w:val="0"/>
      <w:marTop w:val="0"/>
      <w:marBottom w:val="0"/>
      <w:divBdr>
        <w:top w:val="none" w:sz="0" w:space="0" w:color="auto"/>
        <w:left w:val="none" w:sz="0" w:space="0" w:color="auto"/>
        <w:bottom w:val="none" w:sz="0" w:space="0" w:color="auto"/>
        <w:right w:val="none" w:sz="0" w:space="0" w:color="auto"/>
      </w:divBdr>
    </w:div>
    <w:div w:id="1686130341">
      <w:bodyDiv w:val="1"/>
      <w:marLeft w:val="0"/>
      <w:marRight w:val="0"/>
      <w:marTop w:val="0"/>
      <w:marBottom w:val="0"/>
      <w:divBdr>
        <w:top w:val="none" w:sz="0" w:space="0" w:color="auto"/>
        <w:left w:val="none" w:sz="0" w:space="0" w:color="auto"/>
        <w:bottom w:val="none" w:sz="0" w:space="0" w:color="auto"/>
        <w:right w:val="none" w:sz="0" w:space="0" w:color="auto"/>
      </w:divBdr>
    </w:div>
    <w:div w:id="1693727024">
      <w:bodyDiv w:val="1"/>
      <w:marLeft w:val="0"/>
      <w:marRight w:val="0"/>
      <w:marTop w:val="0"/>
      <w:marBottom w:val="0"/>
      <w:divBdr>
        <w:top w:val="none" w:sz="0" w:space="0" w:color="auto"/>
        <w:left w:val="none" w:sz="0" w:space="0" w:color="auto"/>
        <w:bottom w:val="none" w:sz="0" w:space="0" w:color="auto"/>
        <w:right w:val="none" w:sz="0" w:space="0" w:color="auto"/>
      </w:divBdr>
    </w:div>
    <w:div w:id="1695813062">
      <w:bodyDiv w:val="1"/>
      <w:marLeft w:val="0"/>
      <w:marRight w:val="0"/>
      <w:marTop w:val="0"/>
      <w:marBottom w:val="0"/>
      <w:divBdr>
        <w:top w:val="none" w:sz="0" w:space="0" w:color="auto"/>
        <w:left w:val="none" w:sz="0" w:space="0" w:color="auto"/>
        <w:bottom w:val="none" w:sz="0" w:space="0" w:color="auto"/>
        <w:right w:val="none" w:sz="0" w:space="0" w:color="auto"/>
      </w:divBdr>
    </w:div>
    <w:div w:id="1702515035">
      <w:bodyDiv w:val="1"/>
      <w:marLeft w:val="0"/>
      <w:marRight w:val="0"/>
      <w:marTop w:val="0"/>
      <w:marBottom w:val="0"/>
      <w:divBdr>
        <w:top w:val="none" w:sz="0" w:space="0" w:color="auto"/>
        <w:left w:val="none" w:sz="0" w:space="0" w:color="auto"/>
        <w:bottom w:val="none" w:sz="0" w:space="0" w:color="auto"/>
        <w:right w:val="none" w:sz="0" w:space="0" w:color="auto"/>
      </w:divBdr>
    </w:div>
    <w:div w:id="1702707223">
      <w:bodyDiv w:val="1"/>
      <w:marLeft w:val="0"/>
      <w:marRight w:val="0"/>
      <w:marTop w:val="0"/>
      <w:marBottom w:val="0"/>
      <w:divBdr>
        <w:top w:val="none" w:sz="0" w:space="0" w:color="auto"/>
        <w:left w:val="none" w:sz="0" w:space="0" w:color="auto"/>
        <w:bottom w:val="none" w:sz="0" w:space="0" w:color="auto"/>
        <w:right w:val="none" w:sz="0" w:space="0" w:color="auto"/>
      </w:divBdr>
    </w:div>
    <w:div w:id="1702824731">
      <w:bodyDiv w:val="1"/>
      <w:marLeft w:val="0"/>
      <w:marRight w:val="0"/>
      <w:marTop w:val="0"/>
      <w:marBottom w:val="0"/>
      <w:divBdr>
        <w:top w:val="none" w:sz="0" w:space="0" w:color="auto"/>
        <w:left w:val="none" w:sz="0" w:space="0" w:color="auto"/>
        <w:bottom w:val="none" w:sz="0" w:space="0" w:color="auto"/>
        <w:right w:val="none" w:sz="0" w:space="0" w:color="auto"/>
      </w:divBdr>
    </w:div>
    <w:div w:id="1702895234">
      <w:bodyDiv w:val="1"/>
      <w:marLeft w:val="0"/>
      <w:marRight w:val="0"/>
      <w:marTop w:val="0"/>
      <w:marBottom w:val="0"/>
      <w:divBdr>
        <w:top w:val="none" w:sz="0" w:space="0" w:color="auto"/>
        <w:left w:val="none" w:sz="0" w:space="0" w:color="auto"/>
        <w:bottom w:val="none" w:sz="0" w:space="0" w:color="auto"/>
        <w:right w:val="none" w:sz="0" w:space="0" w:color="auto"/>
      </w:divBdr>
    </w:div>
    <w:div w:id="1710716308">
      <w:bodyDiv w:val="1"/>
      <w:marLeft w:val="0"/>
      <w:marRight w:val="0"/>
      <w:marTop w:val="0"/>
      <w:marBottom w:val="0"/>
      <w:divBdr>
        <w:top w:val="none" w:sz="0" w:space="0" w:color="auto"/>
        <w:left w:val="none" w:sz="0" w:space="0" w:color="auto"/>
        <w:bottom w:val="none" w:sz="0" w:space="0" w:color="auto"/>
        <w:right w:val="none" w:sz="0" w:space="0" w:color="auto"/>
      </w:divBdr>
    </w:div>
    <w:div w:id="1714427008">
      <w:bodyDiv w:val="1"/>
      <w:marLeft w:val="0"/>
      <w:marRight w:val="0"/>
      <w:marTop w:val="0"/>
      <w:marBottom w:val="0"/>
      <w:divBdr>
        <w:top w:val="none" w:sz="0" w:space="0" w:color="auto"/>
        <w:left w:val="none" w:sz="0" w:space="0" w:color="auto"/>
        <w:bottom w:val="none" w:sz="0" w:space="0" w:color="auto"/>
        <w:right w:val="none" w:sz="0" w:space="0" w:color="auto"/>
      </w:divBdr>
    </w:div>
    <w:div w:id="1723483871">
      <w:bodyDiv w:val="1"/>
      <w:marLeft w:val="0"/>
      <w:marRight w:val="0"/>
      <w:marTop w:val="0"/>
      <w:marBottom w:val="0"/>
      <w:divBdr>
        <w:top w:val="none" w:sz="0" w:space="0" w:color="auto"/>
        <w:left w:val="none" w:sz="0" w:space="0" w:color="auto"/>
        <w:bottom w:val="none" w:sz="0" w:space="0" w:color="auto"/>
        <w:right w:val="none" w:sz="0" w:space="0" w:color="auto"/>
      </w:divBdr>
    </w:div>
    <w:div w:id="1729185910">
      <w:bodyDiv w:val="1"/>
      <w:marLeft w:val="0"/>
      <w:marRight w:val="0"/>
      <w:marTop w:val="0"/>
      <w:marBottom w:val="0"/>
      <w:divBdr>
        <w:top w:val="none" w:sz="0" w:space="0" w:color="auto"/>
        <w:left w:val="none" w:sz="0" w:space="0" w:color="auto"/>
        <w:bottom w:val="none" w:sz="0" w:space="0" w:color="auto"/>
        <w:right w:val="none" w:sz="0" w:space="0" w:color="auto"/>
      </w:divBdr>
    </w:div>
    <w:div w:id="1739742071">
      <w:bodyDiv w:val="1"/>
      <w:marLeft w:val="0"/>
      <w:marRight w:val="0"/>
      <w:marTop w:val="0"/>
      <w:marBottom w:val="0"/>
      <w:divBdr>
        <w:top w:val="none" w:sz="0" w:space="0" w:color="auto"/>
        <w:left w:val="none" w:sz="0" w:space="0" w:color="auto"/>
        <w:bottom w:val="none" w:sz="0" w:space="0" w:color="auto"/>
        <w:right w:val="none" w:sz="0" w:space="0" w:color="auto"/>
      </w:divBdr>
    </w:div>
    <w:div w:id="1741519650">
      <w:bodyDiv w:val="1"/>
      <w:marLeft w:val="0"/>
      <w:marRight w:val="0"/>
      <w:marTop w:val="0"/>
      <w:marBottom w:val="0"/>
      <w:divBdr>
        <w:top w:val="none" w:sz="0" w:space="0" w:color="auto"/>
        <w:left w:val="none" w:sz="0" w:space="0" w:color="auto"/>
        <w:bottom w:val="none" w:sz="0" w:space="0" w:color="auto"/>
        <w:right w:val="none" w:sz="0" w:space="0" w:color="auto"/>
      </w:divBdr>
    </w:div>
    <w:div w:id="1741558196">
      <w:bodyDiv w:val="1"/>
      <w:marLeft w:val="0"/>
      <w:marRight w:val="0"/>
      <w:marTop w:val="0"/>
      <w:marBottom w:val="0"/>
      <w:divBdr>
        <w:top w:val="none" w:sz="0" w:space="0" w:color="auto"/>
        <w:left w:val="none" w:sz="0" w:space="0" w:color="auto"/>
        <w:bottom w:val="none" w:sz="0" w:space="0" w:color="auto"/>
        <w:right w:val="none" w:sz="0" w:space="0" w:color="auto"/>
      </w:divBdr>
    </w:div>
    <w:div w:id="1744839785">
      <w:bodyDiv w:val="1"/>
      <w:marLeft w:val="0"/>
      <w:marRight w:val="0"/>
      <w:marTop w:val="0"/>
      <w:marBottom w:val="0"/>
      <w:divBdr>
        <w:top w:val="none" w:sz="0" w:space="0" w:color="auto"/>
        <w:left w:val="none" w:sz="0" w:space="0" w:color="auto"/>
        <w:bottom w:val="none" w:sz="0" w:space="0" w:color="auto"/>
        <w:right w:val="none" w:sz="0" w:space="0" w:color="auto"/>
      </w:divBdr>
    </w:div>
    <w:div w:id="1749645840">
      <w:bodyDiv w:val="1"/>
      <w:marLeft w:val="0"/>
      <w:marRight w:val="0"/>
      <w:marTop w:val="0"/>
      <w:marBottom w:val="0"/>
      <w:divBdr>
        <w:top w:val="none" w:sz="0" w:space="0" w:color="auto"/>
        <w:left w:val="none" w:sz="0" w:space="0" w:color="auto"/>
        <w:bottom w:val="none" w:sz="0" w:space="0" w:color="auto"/>
        <w:right w:val="none" w:sz="0" w:space="0" w:color="auto"/>
      </w:divBdr>
    </w:div>
    <w:div w:id="1755083444">
      <w:bodyDiv w:val="1"/>
      <w:marLeft w:val="0"/>
      <w:marRight w:val="0"/>
      <w:marTop w:val="0"/>
      <w:marBottom w:val="0"/>
      <w:divBdr>
        <w:top w:val="none" w:sz="0" w:space="0" w:color="auto"/>
        <w:left w:val="none" w:sz="0" w:space="0" w:color="auto"/>
        <w:bottom w:val="none" w:sz="0" w:space="0" w:color="auto"/>
        <w:right w:val="none" w:sz="0" w:space="0" w:color="auto"/>
      </w:divBdr>
    </w:div>
    <w:div w:id="1759209384">
      <w:bodyDiv w:val="1"/>
      <w:marLeft w:val="0"/>
      <w:marRight w:val="0"/>
      <w:marTop w:val="0"/>
      <w:marBottom w:val="0"/>
      <w:divBdr>
        <w:top w:val="none" w:sz="0" w:space="0" w:color="auto"/>
        <w:left w:val="none" w:sz="0" w:space="0" w:color="auto"/>
        <w:bottom w:val="none" w:sz="0" w:space="0" w:color="auto"/>
        <w:right w:val="none" w:sz="0" w:space="0" w:color="auto"/>
      </w:divBdr>
    </w:div>
    <w:div w:id="1764259425">
      <w:bodyDiv w:val="1"/>
      <w:marLeft w:val="0"/>
      <w:marRight w:val="0"/>
      <w:marTop w:val="0"/>
      <w:marBottom w:val="0"/>
      <w:divBdr>
        <w:top w:val="none" w:sz="0" w:space="0" w:color="auto"/>
        <w:left w:val="none" w:sz="0" w:space="0" w:color="auto"/>
        <w:bottom w:val="none" w:sz="0" w:space="0" w:color="auto"/>
        <w:right w:val="none" w:sz="0" w:space="0" w:color="auto"/>
      </w:divBdr>
    </w:div>
    <w:div w:id="1770615413">
      <w:bodyDiv w:val="1"/>
      <w:marLeft w:val="0"/>
      <w:marRight w:val="0"/>
      <w:marTop w:val="0"/>
      <w:marBottom w:val="0"/>
      <w:divBdr>
        <w:top w:val="none" w:sz="0" w:space="0" w:color="auto"/>
        <w:left w:val="none" w:sz="0" w:space="0" w:color="auto"/>
        <w:bottom w:val="none" w:sz="0" w:space="0" w:color="auto"/>
        <w:right w:val="none" w:sz="0" w:space="0" w:color="auto"/>
      </w:divBdr>
    </w:div>
    <w:div w:id="1777679336">
      <w:bodyDiv w:val="1"/>
      <w:marLeft w:val="0"/>
      <w:marRight w:val="0"/>
      <w:marTop w:val="0"/>
      <w:marBottom w:val="0"/>
      <w:divBdr>
        <w:top w:val="none" w:sz="0" w:space="0" w:color="auto"/>
        <w:left w:val="none" w:sz="0" w:space="0" w:color="auto"/>
        <w:bottom w:val="none" w:sz="0" w:space="0" w:color="auto"/>
        <w:right w:val="none" w:sz="0" w:space="0" w:color="auto"/>
      </w:divBdr>
    </w:div>
    <w:div w:id="1778796498">
      <w:bodyDiv w:val="1"/>
      <w:marLeft w:val="0"/>
      <w:marRight w:val="0"/>
      <w:marTop w:val="0"/>
      <w:marBottom w:val="0"/>
      <w:divBdr>
        <w:top w:val="none" w:sz="0" w:space="0" w:color="auto"/>
        <w:left w:val="none" w:sz="0" w:space="0" w:color="auto"/>
        <w:bottom w:val="none" w:sz="0" w:space="0" w:color="auto"/>
        <w:right w:val="none" w:sz="0" w:space="0" w:color="auto"/>
      </w:divBdr>
    </w:div>
    <w:div w:id="1781686084">
      <w:bodyDiv w:val="1"/>
      <w:marLeft w:val="0"/>
      <w:marRight w:val="0"/>
      <w:marTop w:val="0"/>
      <w:marBottom w:val="0"/>
      <w:divBdr>
        <w:top w:val="none" w:sz="0" w:space="0" w:color="auto"/>
        <w:left w:val="none" w:sz="0" w:space="0" w:color="auto"/>
        <w:bottom w:val="none" w:sz="0" w:space="0" w:color="auto"/>
        <w:right w:val="none" w:sz="0" w:space="0" w:color="auto"/>
      </w:divBdr>
    </w:div>
    <w:div w:id="1781997130">
      <w:bodyDiv w:val="1"/>
      <w:marLeft w:val="0"/>
      <w:marRight w:val="0"/>
      <w:marTop w:val="0"/>
      <w:marBottom w:val="0"/>
      <w:divBdr>
        <w:top w:val="none" w:sz="0" w:space="0" w:color="auto"/>
        <w:left w:val="none" w:sz="0" w:space="0" w:color="auto"/>
        <w:bottom w:val="none" w:sz="0" w:space="0" w:color="auto"/>
        <w:right w:val="none" w:sz="0" w:space="0" w:color="auto"/>
      </w:divBdr>
    </w:div>
    <w:div w:id="1793666217">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799252412">
      <w:bodyDiv w:val="1"/>
      <w:marLeft w:val="0"/>
      <w:marRight w:val="0"/>
      <w:marTop w:val="0"/>
      <w:marBottom w:val="0"/>
      <w:divBdr>
        <w:top w:val="none" w:sz="0" w:space="0" w:color="auto"/>
        <w:left w:val="none" w:sz="0" w:space="0" w:color="auto"/>
        <w:bottom w:val="none" w:sz="0" w:space="0" w:color="auto"/>
        <w:right w:val="none" w:sz="0" w:space="0" w:color="auto"/>
      </w:divBdr>
    </w:div>
    <w:div w:id="1800606403">
      <w:bodyDiv w:val="1"/>
      <w:marLeft w:val="0"/>
      <w:marRight w:val="0"/>
      <w:marTop w:val="0"/>
      <w:marBottom w:val="0"/>
      <w:divBdr>
        <w:top w:val="none" w:sz="0" w:space="0" w:color="auto"/>
        <w:left w:val="none" w:sz="0" w:space="0" w:color="auto"/>
        <w:bottom w:val="none" w:sz="0" w:space="0" w:color="auto"/>
        <w:right w:val="none" w:sz="0" w:space="0" w:color="auto"/>
      </w:divBdr>
    </w:div>
    <w:div w:id="1802193114">
      <w:bodyDiv w:val="1"/>
      <w:marLeft w:val="0"/>
      <w:marRight w:val="0"/>
      <w:marTop w:val="0"/>
      <w:marBottom w:val="0"/>
      <w:divBdr>
        <w:top w:val="none" w:sz="0" w:space="0" w:color="auto"/>
        <w:left w:val="none" w:sz="0" w:space="0" w:color="auto"/>
        <w:bottom w:val="none" w:sz="0" w:space="0" w:color="auto"/>
        <w:right w:val="none" w:sz="0" w:space="0" w:color="auto"/>
      </w:divBdr>
    </w:div>
    <w:div w:id="1809474703">
      <w:bodyDiv w:val="1"/>
      <w:marLeft w:val="0"/>
      <w:marRight w:val="0"/>
      <w:marTop w:val="0"/>
      <w:marBottom w:val="0"/>
      <w:divBdr>
        <w:top w:val="none" w:sz="0" w:space="0" w:color="auto"/>
        <w:left w:val="none" w:sz="0" w:space="0" w:color="auto"/>
        <w:bottom w:val="none" w:sz="0" w:space="0" w:color="auto"/>
        <w:right w:val="none" w:sz="0" w:space="0" w:color="auto"/>
      </w:divBdr>
    </w:div>
    <w:div w:id="1812668821">
      <w:bodyDiv w:val="1"/>
      <w:marLeft w:val="0"/>
      <w:marRight w:val="0"/>
      <w:marTop w:val="0"/>
      <w:marBottom w:val="0"/>
      <w:divBdr>
        <w:top w:val="none" w:sz="0" w:space="0" w:color="auto"/>
        <w:left w:val="none" w:sz="0" w:space="0" w:color="auto"/>
        <w:bottom w:val="none" w:sz="0" w:space="0" w:color="auto"/>
        <w:right w:val="none" w:sz="0" w:space="0" w:color="auto"/>
      </w:divBdr>
    </w:div>
    <w:div w:id="1813601252">
      <w:bodyDiv w:val="1"/>
      <w:marLeft w:val="0"/>
      <w:marRight w:val="0"/>
      <w:marTop w:val="0"/>
      <w:marBottom w:val="0"/>
      <w:divBdr>
        <w:top w:val="none" w:sz="0" w:space="0" w:color="auto"/>
        <w:left w:val="none" w:sz="0" w:space="0" w:color="auto"/>
        <w:bottom w:val="none" w:sz="0" w:space="0" w:color="auto"/>
        <w:right w:val="none" w:sz="0" w:space="0" w:color="auto"/>
      </w:divBdr>
    </w:div>
    <w:div w:id="1819687568">
      <w:bodyDiv w:val="1"/>
      <w:marLeft w:val="0"/>
      <w:marRight w:val="0"/>
      <w:marTop w:val="0"/>
      <w:marBottom w:val="0"/>
      <w:divBdr>
        <w:top w:val="none" w:sz="0" w:space="0" w:color="auto"/>
        <w:left w:val="none" w:sz="0" w:space="0" w:color="auto"/>
        <w:bottom w:val="none" w:sz="0" w:space="0" w:color="auto"/>
        <w:right w:val="none" w:sz="0" w:space="0" w:color="auto"/>
      </w:divBdr>
    </w:div>
    <w:div w:id="1829978969">
      <w:bodyDiv w:val="1"/>
      <w:marLeft w:val="0"/>
      <w:marRight w:val="0"/>
      <w:marTop w:val="0"/>
      <w:marBottom w:val="0"/>
      <w:divBdr>
        <w:top w:val="none" w:sz="0" w:space="0" w:color="auto"/>
        <w:left w:val="none" w:sz="0" w:space="0" w:color="auto"/>
        <w:bottom w:val="none" w:sz="0" w:space="0" w:color="auto"/>
        <w:right w:val="none" w:sz="0" w:space="0" w:color="auto"/>
      </w:divBdr>
    </w:div>
    <w:div w:id="1835535227">
      <w:bodyDiv w:val="1"/>
      <w:marLeft w:val="0"/>
      <w:marRight w:val="0"/>
      <w:marTop w:val="0"/>
      <w:marBottom w:val="0"/>
      <w:divBdr>
        <w:top w:val="none" w:sz="0" w:space="0" w:color="auto"/>
        <w:left w:val="none" w:sz="0" w:space="0" w:color="auto"/>
        <w:bottom w:val="none" w:sz="0" w:space="0" w:color="auto"/>
        <w:right w:val="none" w:sz="0" w:space="0" w:color="auto"/>
      </w:divBdr>
    </w:div>
    <w:div w:id="1835681801">
      <w:bodyDiv w:val="1"/>
      <w:marLeft w:val="0"/>
      <w:marRight w:val="0"/>
      <w:marTop w:val="0"/>
      <w:marBottom w:val="0"/>
      <w:divBdr>
        <w:top w:val="none" w:sz="0" w:space="0" w:color="auto"/>
        <w:left w:val="none" w:sz="0" w:space="0" w:color="auto"/>
        <w:bottom w:val="none" w:sz="0" w:space="0" w:color="auto"/>
        <w:right w:val="none" w:sz="0" w:space="0" w:color="auto"/>
      </w:divBdr>
    </w:div>
    <w:div w:id="1838572551">
      <w:bodyDiv w:val="1"/>
      <w:marLeft w:val="0"/>
      <w:marRight w:val="0"/>
      <w:marTop w:val="0"/>
      <w:marBottom w:val="0"/>
      <w:divBdr>
        <w:top w:val="none" w:sz="0" w:space="0" w:color="auto"/>
        <w:left w:val="none" w:sz="0" w:space="0" w:color="auto"/>
        <w:bottom w:val="none" w:sz="0" w:space="0" w:color="auto"/>
        <w:right w:val="none" w:sz="0" w:space="0" w:color="auto"/>
      </w:divBdr>
    </w:div>
    <w:div w:id="1839615757">
      <w:bodyDiv w:val="1"/>
      <w:marLeft w:val="0"/>
      <w:marRight w:val="0"/>
      <w:marTop w:val="0"/>
      <w:marBottom w:val="0"/>
      <w:divBdr>
        <w:top w:val="none" w:sz="0" w:space="0" w:color="auto"/>
        <w:left w:val="none" w:sz="0" w:space="0" w:color="auto"/>
        <w:bottom w:val="none" w:sz="0" w:space="0" w:color="auto"/>
        <w:right w:val="none" w:sz="0" w:space="0" w:color="auto"/>
      </w:divBdr>
    </w:div>
    <w:div w:id="1842576071">
      <w:bodyDiv w:val="1"/>
      <w:marLeft w:val="0"/>
      <w:marRight w:val="0"/>
      <w:marTop w:val="0"/>
      <w:marBottom w:val="0"/>
      <w:divBdr>
        <w:top w:val="none" w:sz="0" w:space="0" w:color="auto"/>
        <w:left w:val="none" w:sz="0" w:space="0" w:color="auto"/>
        <w:bottom w:val="none" w:sz="0" w:space="0" w:color="auto"/>
        <w:right w:val="none" w:sz="0" w:space="0" w:color="auto"/>
      </w:divBdr>
    </w:div>
    <w:div w:id="1845121693">
      <w:bodyDiv w:val="1"/>
      <w:marLeft w:val="0"/>
      <w:marRight w:val="0"/>
      <w:marTop w:val="0"/>
      <w:marBottom w:val="0"/>
      <w:divBdr>
        <w:top w:val="none" w:sz="0" w:space="0" w:color="auto"/>
        <w:left w:val="none" w:sz="0" w:space="0" w:color="auto"/>
        <w:bottom w:val="none" w:sz="0" w:space="0" w:color="auto"/>
        <w:right w:val="none" w:sz="0" w:space="0" w:color="auto"/>
      </w:divBdr>
    </w:div>
    <w:div w:id="1851678443">
      <w:bodyDiv w:val="1"/>
      <w:marLeft w:val="0"/>
      <w:marRight w:val="0"/>
      <w:marTop w:val="0"/>
      <w:marBottom w:val="0"/>
      <w:divBdr>
        <w:top w:val="none" w:sz="0" w:space="0" w:color="auto"/>
        <w:left w:val="none" w:sz="0" w:space="0" w:color="auto"/>
        <w:bottom w:val="none" w:sz="0" w:space="0" w:color="auto"/>
        <w:right w:val="none" w:sz="0" w:space="0" w:color="auto"/>
      </w:divBdr>
    </w:div>
    <w:div w:id="1853294653">
      <w:bodyDiv w:val="1"/>
      <w:marLeft w:val="0"/>
      <w:marRight w:val="0"/>
      <w:marTop w:val="0"/>
      <w:marBottom w:val="0"/>
      <w:divBdr>
        <w:top w:val="none" w:sz="0" w:space="0" w:color="auto"/>
        <w:left w:val="none" w:sz="0" w:space="0" w:color="auto"/>
        <w:bottom w:val="none" w:sz="0" w:space="0" w:color="auto"/>
        <w:right w:val="none" w:sz="0" w:space="0" w:color="auto"/>
      </w:divBdr>
    </w:div>
    <w:div w:id="1858303753">
      <w:bodyDiv w:val="1"/>
      <w:marLeft w:val="0"/>
      <w:marRight w:val="0"/>
      <w:marTop w:val="0"/>
      <w:marBottom w:val="0"/>
      <w:divBdr>
        <w:top w:val="none" w:sz="0" w:space="0" w:color="auto"/>
        <w:left w:val="none" w:sz="0" w:space="0" w:color="auto"/>
        <w:bottom w:val="none" w:sz="0" w:space="0" w:color="auto"/>
        <w:right w:val="none" w:sz="0" w:space="0" w:color="auto"/>
      </w:divBdr>
    </w:div>
    <w:div w:id="1864897187">
      <w:bodyDiv w:val="1"/>
      <w:marLeft w:val="0"/>
      <w:marRight w:val="0"/>
      <w:marTop w:val="0"/>
      <w:marBottom w:val="0"/>
      <w:divBdr>
        <w:top w:val="none" w:sz="0" w:space="0" w:color="auto"/>
        <w:left w:val="none" w:sz="0" w:space="0" w:color="auto"/>
        <w:bottom w:val="none" w:sz="0" w:space="0" w:color="auto"/>
        <w:right w:val="none" w:sz="0" w:space="0" w:color="auto"/>
      </w:divBdr>
    </w:div>
    <w:div w:id="1865165749">
      <w:bodyDiv w:val="1"/>
      <w:marLeft w:val="0"/>
      <w:marRight w:val="0"/>
      <w:marTop w:val="0"/>
      <w:marBottom w:val="0"/>
      <w:divBdr>
        <w:top w:val="none" w:sz="0" w:space="0" w:color="auto"/>
        <w:left w:val="none" w:sz="0" w:space="0" w:color="auto"/>
        <w:bottom w:val="none" w:sz="0" w:space="0" w:color="auto"/>
        <w:right w:val="none" w:sz="0" w:space="0" w:color="auto"/>
      </w:divBdr>
    </w:div>
    <w:div w:id="1865904018">
      <w:bodyDiv w:val="1"/>
      <w:marLeft w:val="0"/>
      <w:marRight w:val="0"/>
      <w:marTop w:val="0"/>
      <w:marBottom w:val="0"/>
      <w:divBdr>
        <w:top w:val="none" w:sz="0" w:space="0" w:color="auto"/>
        <w:left w:val="none" w:sz="0" w:space="0" w:color="auto"/>
        <w:bottom w:val="none" w:sz="0" w:space="0" w:color="auto"/>
        <w:right w:val="none" w:sz="0" w:space="0" w:color="auto"/>
      </w:divBdr>
    </w:div>
    <w:div w:id="1868760560">
      <w:bodyDiv w:val="1"/>
      <w:marLeft w:val="0"/>
      <w:marRight w:val="0"/>
      <w:marTop w:val="0"/>
      <w:marBottom w:val="0"/>
      <w:divBdr>
        <w:top w:val="none" w:sz="0" w:space="0" w:color="auto"/>
        <w:left w:val="none" w:sz="0" w:space="0" w:color="auto"/>
        <w:bottom w:val="none" w:sz="0" w:space="0" w:color="auto"/>
        <w:right w:val="none" w:sz="0" w:space="0" w:color="auto"/>
      </w:divBdr>
    </w:div>
    <w:div w:id="1869369750">
      <w:bodyDiv w:val="1"/>
      <w:marLeft w:val="0"/>
      <w:marRight w:val="0"/>
      <w:marTop w:val="0"/>
      <w:marBottom w:val="0"/>
      <w:divBdr>
        <w:top w:val="none" w:sz="0" w:space="0" w:color="auto"/>
        <w:left w:val="none" w:sz="0" w:space="0" w:color="auto"/>
        <w:bottom w:val="none" w:sz="0" w:space="0" w:color="auto"/>
        <w:right w:val="none" w:sz="0" w:space="0" w:color="auto"/>
      </w:divBdr>
    </w:div>
    <w:div w:id="1873498888">
      <w:bodyDiv w:val="1"/>
      <w:marLeft w:val="0"/>
      <w:marRight w:val="0"/>
      <w:marTop w:val="0"/>
      <w:marBottom w:val="0"/>
      <w:divBdr>
        <w:top w:val="none" w:sz="0" w:space="0" w:color="auto"/>
        <w:left w:val="none" w:sz="0" w:space="0" w:color="auto"/>
        <w:bottom w:val="none" w:sz="0" w:space="0" w:color="auto"/>
        <w:right w:val="none" w:sz="0" w:space="0" w:color="auto"/>
      </w:divBdr>
    </w:div>
    <w:div w:id="1877348252">
      <w:bodyDiv w:val="1"/>
      <w:marLeft w:val="0"/>
      <w:marRight w:val="0"/>
      <w:marTop w:val="0"/>
      <w:marBottom w:val="0"/>
      <w:divBdr>
        <w:top w:val="none" w:sz="0" w:space="0" w:color="auto"/>
        <w:left w:val="none" w:sz="0" w:space="0" w:color="auto"/>
        <w:bottom w:val="none" w:sz="0" w:space="0" w:color="auto"/>
        <w:right w:val="none" w:sz="0" w:space="0" w:color="auto"/>
      </w:divBdr>
    </w:div>
    <w:div w:id="1877965586">
      <w:bodyDiv w:val="1"/>
      <w:marLeft w:val="0"/>
      <w:marRight w:val="0"/>
      <w:marTop w:val="0"/>
      <w:marBottom w:val="0"/>
      <w:divBdr>
        <w:top w:val="none" w:sz="0" w:space="0" w:color="auto"/>
        <w:left w:val="none" w:sz="0" w:space="0" w:color="auto"/>
        <w:bottom w:val="none" w:sz="0" w:space="0" w:color="auto"/>
        <w:right w:val="none" w:sz="0" w:space="0" w:color="auto"/>
      </w:divBdr>
    </w:div>
    <w:div w:id="1879318491">
      <w:bodyDiv w:val="1"/>
      <w:marLeft w:val="0"/>
      <w:marRight w:val="0"/>
      <w:marTop w:val="0"/>
      <w:marBottom w:val="0"/>
      <w:divBdr>
        <w:top w:val="none" w:sz="0" w:space="0" w:color="auto"/>
        <w:left w:val="none" w:sz="0" w:space="0" w:color="auto"/>
        <w:bottom w:val="none" w:sz="0" w:space="0" w:color="auto"/>
        <w:right w:val="none" w:sz="0" w:space="0" w:color="auto"/>
      </w:divBdr>
    </w:div>
    <w:div w:id="1890457560">
      <w:bodyDiv w:val="1"/>
      <w:marLeft w:val="0"/>
      <w:marRight w:val="0"/>
      <w:marTop w:val="0"/>
      <w:marBottom w:val="0"/>
      <w:divBdr>
        <w:top w:val="none" w:sz="0" w:space="0" w:color="auto"/>
        <w:left w:val="none" w:sz="0" w:space="0" w:color="auto"/>
        <w:bottom w:val="none" w:sz="0" w:space="0" w:color="auto"/>
        <w:right w:val="none" w:sz="0" w:space="0" w:color="auto"/>
      </w:divBdr>
    </w:div>
    <w:div w:id="1893543186">
      <w:bodyDiv w:val="1"/>
      <w:marLeft w:val="0"/>
      <w:marRight w:val="0"/>
      <w:marTop w:val="0"/>
      <w:marBottom w:val="0"/>
      <w:divBdr>
        <w:top w:val="none" w:sz="0" w:space="0" w:color="auto"/>
        <w:left w:val="none" w:sz="0" w:space="0" w:color="auto"/>
        <w:bottom w:val="none" w:sz="0" w:space="0" w:color="auto"/>
        <w:right w:val="none" w:sz="0" w:space="0" w:color="auto"/>
      </w:divBdr>
    </w:div>
    <w:div w:id="1894390185">
      <w:bodyDiv w:val="1"/>
      <w:marLeft w:val="0"/>
      <w:marRight w:val="0"/>
      <w:marTop w:val="0"/>
      <w:marBottom w:val="0"/>
      <w:divBdr>
        <w:top w:val="none" w:sz="0" w:space="0" w:color="auto"/>
        <w:left w:val="none" w:sz="0" w:space="0" w:color="auto"/>
        <w:bottom w:val="none" w:sz="0" w:space="0" w:color="auto"/>
        <w:right w:val="none" w:sz="0" w:space="0" w:color="auto"/>
      </w:divBdr>
    </w:div>
    <w:div w:id="1896694965">
      <w:bodyDiv w:val="1"/>
      <w:marLeft w:val="0"/>
      <w:marRight w:val="0"/>
      <w:marTop w:val="0"/>
      <w:marBottom w:val="0"/>
      <w:divBdr>
        <w:top w:val="none" w:sz="0" w:space="0" w:color="auto"/>
        <w:left w:val="none" w:sz="0" w:space="0" w:color="auto"/>
        <w:bottom w:val="none" w:sz="0" w:space="0" w:color="auto"/>
        <w:right w:val="none" w:sz="0" w:space="0" w:color="auto"/>
      </w:divBdr>
    </w:div>
    <w:div w:id="1901473676">
      <w:bodyDiv w:val="1"/>
      <w:marLeft w:val="0"/>
      <w:marRight w:val="0"/>
      <w:marTop w:val="0"/>
      <w:marBottom w:val="0"/>
      <w:divBdr>
        <w:top w:val="none" w:sz="0" w:space="0" w:color="auto"/>
        <w:left w:val="none" w:sz="0" w:space="0" w:color="auto"/>
        <w:bottom w:val="none" w:sz="0" w:space="0" w:color="auto"/>
        <w:right w:val="none" w:sz="0" w:space="0" w:color="auto"/>
      </w:divBdr>
    </w:div>
    <w:div w:id="1906064948">
      <w:bodyDiv w:val="1"/>
      <w:marLeft w:val="0"/>
      <w:marRight w:val="0"/>
      <w:marTop w:val="0"/>
      <w:marBottom w:val="0"/>
      <w:divBdr>
        <w:top w:val="none" w:sz="0" w:space="0" w:color="auto"/>
        <w:left w:val="none" w:sz="0" w:space="0" w:color="auto"/>
        <w:bottom w:val="none" w:sz="0" w:space="0" w:color="auto"/>
        <w:right w:val="none" w:sz="0" w:space="0" w:color="auto"/>
      </w:divBdr>
    </w:div>
    <w:div w:id="1907910895">
      <w:bodyDiv w:val="1"/>
      <w:marLeft w:val="0"/>
      <w:marRight w:val="0"/>
      <w:marTop w:val="0"/>
      <w:marBottom w:val="0"/>
      <w:divBdr>
        <w:top w:val="none" w:sz="0" w:space="0" w:color="auto"/>
        <w:left w:val="none" w:sz="0" w:space="0" w:color="auto"/>
        <w:bottom w:val="none" w:sz="0" w:space="0" w:color="auto"/>
        <w:right w:val="none" w:sz="0" w:space="0" w:color="auto"/>
      </w:divBdr>
    </w:div>
    <w:div w:id="1911572714">
      <w:bodyDiv w:val="1"/>
      <w:marLeft w:val="0"/>
      <w:marRight w:val="0"/>
      <w:marTop w:val="0"/>
      <w:marBottom w:val="0"/>
      <w:divBdr>
        <w:top w:val="none" w:sz="0" w:space="0" w:color="auto"/>
        <w:left w:val="none" w:sz="0" w:space="0" w:color="auto"/>
        <w:bottom w:val="none" w:sz="0" w:space="0" w:color="auto"/>
        <w:right w:val="none" w:sz="0" w:space="0" w:color="auto"/>
      </w:divBdr>
    </w:div>
    <w:div w:id="1913084286">
      <w:bodyDiv w:val="1"/>
      <w:marLeft w:val="0"/>
      <w:marRight w:val="0"/>
      <w:marTop w:val="0"/>
      <w:marBottom w:val="0"/>
      <w:divBdr>
        <w:top w:val="none" w:sz="0" w:space="0" w:color="auto"/>
        <w:left w:val="none" w:sz="0" w:space="0" w:color="auto"/>
        <w:bottom w:val="none" w:sz="0" w:space="0" w:color="auto"/>
        <w:right w:val="none" w:sz="0" w:space="0" w:color="auto"/>
      </w:divBdr>
    </w:div>
    <w:div w:id="1916239744">
      <w:bodyDiv w:val="1"/>
      <w:marLeft w:val="0"/>
      <w:marRight w:val="0"/>
      <w:marTop w:val="0"/>
      <w:marBottom w:val="0"/>
      <w:divBdr>
        <w:top w:val="none" w:sz="0" w:space="0" w:color="auto"/>
        <w:left w:val="none" w:sz="0" w:space="0" w:color="auto"/>
        <w:bottom w:val="none" w:sz="0" w:space="0" w:color="auto"/>
        <w:right w:val="none" w:sz="0" w:space="0" w:color="auto"/>
      </w:divBdr>
    </w:div>
    <w:div w:id="1923560505">
      <w:bodyDiv w:val="1"/>
      <w:marLeft w:val="0"/>
      <w:marRight w:val="0"/>
      <w:marTop w:val="0"/>
      <w:marBottom w:val="0"/>
      <w:divBdr>
        <w:top w:val="none" w:sz="0" w:space="0" w:color="auto"/>
        <w:left w:val="none" w:sz="0" w:space="0" w:color="auto"/>
        <w:bottom w:val="none" w:sz="0" w:space="0" w:color="auto"/>
        <w:right w:val="none" w:sz="0" w:space="0" w:color="auto"/>
      </w:divBdr>
    </w:div>
    <w:div w:id="1925723229">
      <w:bodyDiv w:val="1"/>
      <w:marLeft w:val="0"/>
      <w:marRight w:val="0"/>
      <w:marTop w:val="0"/>
      <w:marBottom w:val="0"/>
      <w:divBdr>
        <w:top w:val="none" w:sz="0" w:space="0" w:color="auto"/>
        <w:left w:val="none" w:sz="0" w:space="0" w:color="auto"/>
        <w:bottom w:val="none" w:sz="0" w:space="0" w:color="auto"/>
        <w:right w:val="none" w:sz="0" w:space="0" w:color="auto"/>
      </w:divBdr>
    </w:div>
    <w:div w:id="1932003565">
      <w:bodyDiv w:val="1"/>
      <w:marLeft w:val="0"/>
      <w:marRight w:val="0"/>
      <w:marTop w:val="0"/>
      <w:marBottom w:val="0"/>
      <w:divBdr>
        <w:top w:val="none" w:sz="0" w:space="0" w:color="auto"/>
        <w:left w:val="none" w:sz="0" w:space="0" w:color="auto"/>
        <w:bottom w:val="none" w:sz="0" w:space="0" w:color="auto"/>
        <w:right w:val="none" w:sz="0" w:space="0" w:color="auto"/>
      </w:divBdr>
    </w:div>
    <w:div w:id="1936397584">
      <w:bodyDiv w:val="1"/>
      <w:marLeft w:val="0"/>
      <w:marRight w:val="0"/>
      <w:marTop w:val="0"/>
      <w:marBottom w:val="0"/>
      <w:divBdr>
        <w:top w:val="none" w:sz="0" w:space="0" w:color="auto"/>
        <w:left w:val="none" w:sz="0" w:space="0" w:color="auto"/>
        <w:bottom w:val="none" w:sz="0" w:space="0" w:color="auto"/>
        <w:right w:val="none" w:sz="0" w:space="0" w:color="auto"/>
      </w:divBdr>
    </w:div>
    <w:div w:id="1936667042">
      <w:bodyDiv w:val="1"/>
      <w:marLeft w:val="0"/>
      <w:marRight w:val="0"/>
      <w:marTop w:val="0"/>
      <w:marBottom w:val="0"/>
      <w:divBdr>
        <w:top w:val="none" w:sz="0" w:space="0" w:color="auto"/>
        <w:left w:val="none" w:sz="0" w:space="0" w:color="auto"/>
        <w:bottom w:val="none" w:sz="0" w:space="0" w:color="auto"/>
        <w:right w:val="none" w:sz="0" w:space="0" w:color="auto"/>
      </w:divBdr>
    </w:div>
    <w:div w:id="1938050370">
      <w:bodyDiv w:val="1"/>
      <w:marLeft w:val="0"/>
      <w:marRight w:val="0"/>
      <w:marTop w:val="0"/>
      <w:marBottom w:val="0"/>
      <w:divBdr>
        <w:top w:val="none" w:sz="0" w:space="0" w:color="auto"/>
        <w:left w:val="none" w:sz="0" w:space="0" w:color="auto"/>
        <w:bottom w:val="none" w:sz="0" w:space="0" w:color="auto"/>
        <w:right w:val="none" w:sz="0" w:space="0" w:color="auto"/>
      </w:divBdr>
    </w:div>
    <w:div w:id="1939752161">
      <w:bodyDiv w:val="1"/>
      <w:marLeft w:val="0"/>
      <w:marRight w:val="0"/>
      <w:marTop w:val="0"/>
      <w:marBottom w:val="0"/>
      <w:divBdr>
        <w:top w:val="none" w:sz="0" w:space="0" w:color="auto"/>
        <w:left w:val="none" w:sz="0" w:space="0" w:color="auto"/>
        <w:bottom w:val="none" w:sz="0" w:space="0" w:color="auto"/>
        <w:right w:val="none" w:sz="0" w:space="0" w:color="auto"/>
      </w:divBdr>
    </w:div>
    <w:div w:id="1954434998">
      <w:bodyDiv w:val="1"/>
      <w:marLeft w:val="0"/>
      <w:marRight w:val="0"/>
      <w:marTop w:val="0"/>
      <w:marBottom w:val="0"/>
      <w:divBdr>
        <w:top w:val="none" w:sz="0" w:space="0" w:color="auto"/>
        <w:left w:val="none" w:sz="0" w:space="0" w:color="auto"/>
        <w:bottom w:val="none" w:sz="0" w:space="0" w:color="auto"/>
        <w:right w:val="none" w:sz="0" w:space="0" w:color="auto"/>
      </w:divBdr>
    </w:div>
    <w:div w:id="1958833325">
      <w:bodyDiv w:val="1"/>
      <w:marLeft w:val="0"/>
      <w:marRight w:val="0"/>
      <w:marTop w:val="0"/>
      <w:marBottom w:val="0"/>
      <w:divBdr>
        <w:top w:val="none" w:sz="0" w:space="0" w:color="auto"/>
        <w:left w:val="none" w:sz="0" w:space="0" w:color="auto"/>
        <w:bottom w:val="none" w:sz="0" w:space="0" w:color="auto"/>
        <w:right w:val="none" w:sz="0" w:space="0" w:color="auto"/>
      </w:divBdr>
    </w:div>
    <w:div w:id="1962153768">
      <w:bodyDiv w:val="1"/>
      <w:marLeft w:val="0"/>
      <w:marRight w:val="0"/>
      <w:marTop w:val="0"/>
      <w:marBottom w:val="0"/>
      <w:divBdr>
        <w:top w:val="none" w:sz="0" w:space="0" w:color="auto"/>
        <w:left w:val="none" w:sz="0" w:space="0" w:color="auto"/>
        <w:bottom w:val="none" w:sz="0" w:space="0" w:color="auto"/>
        <w:right w:val="none" w:sz="0" w:space="0" w:color="auto"/>
      </w:divBdr>
    </w:div>
    <w:div w:id="1971090705">
      <w:bodyDiv w:val="1"/>
      <w:marLeft w:val="0"/>
      <w:marRight w:val="0"/>
      <w:marTop w:val="0"/>
      <w:marBottom w:val="0"/>
      <w:divBdr>
        <w:top w:val="none" w:sz="0" w:space="0" w:color="auto"/>
        <w:left w:val="none" w:sz="0" w:space="0" w:color="auto"/>
        <w:bottom w:val="none" w:sz="0" w:space="0" w:color="auto"/>
        <w:right w:val="none" w:sz="0" w:space="0" w:color="auto"/>
      </w:divBdr>
    </w:div>
    <w:div w:id="1971671115">
      <w:bodyDiv w:val="1"/>
      <w:marLeft w:val="0"/>
      <w:marRight w:val="0"/>
      <w:marTop w:val="0"/>
      <w:marBottom w:val="0"/>
      <w:divBdr>
        <w:top w:val="none" w:sz="0" w:space="0" w:color="auto"/>
        <w:left w:val="none" w:sz="0" w:space="0" w:color="auto"/>
        <w:bottom w:val="none" w:sz="0" w:space="0" w:color="auto"/>
        <w:right w:val="none" w:sz="0" w:space="0" w:color="auto"/>
      </w:divBdr>
    </w:div>
    <w:div w:id="1971742053">
      <w:bodyDiv w:val="1"/>
      <w:marLeft w:val="0"/>
      <w:marRight w:val="0"/>
      <w:marTop w:val="0"/>
      <w:marBottom w:val="0"/>
      <w:divBdr>
        <w:top w:val="none" w:sz="0" w:space="0" w:color="auto"/>
        <w:left w:val="none" w:sz="0" w:space="0" w:color="auto"/>
        <w:bottom w:val="none" w:sz="0" w:space="0" w:color="auto"/>
        <w:right w:val="none" w:sz="0" w:space="0" w:color="auto"/>
      </w:divBdr>
    </w:div>
    <w:div w:id="1981300882">
      <w:bodyDiv w:val="1"/>
      <w:marLeft w:val="0"/>
      <w:marRight w:val="0"/>
      <w:marTop w:val="0"/>
      <w:marBottom w:val="0"/>
      <w:divBdr>
        <w:top w:val="none" w:sz="0" w:space="0" w:color="auto"/>
        <w:left w:val="none" w:sz="0" w:space="0" w:color="auto"/>
        <w:bottom w:val="none" w:sz="0" w:space="0" w:color="auto"/>
        <w:right w:val="none" w:sz="0" w:space="0" w:color="auto"/>
      </w:divBdr>
    </w:div>
    <w:div w:id="1985348357">
      <w:bodyDiv w:val="1"/>
      <w:marLeft w:val="0"/>
      <w:marRight w:val="0"/>
      <w:marTop w:val="0"/>
      <w:marBottom w:val="0"/>
      <w:divBdr>
        <w:top w:val="none" w:sz="0" w:space="0" w:color="auto"/>
        <w:left w:val="none" w:sz="0" w:space="0" w:color="auto"/>
        <w:bottom w:val="none" w:sz="0" w:space="0" w:color="auto"/>
        <w:right w:val="none" w:sz="0" w:space="0" w:color="auto"/>
      </w:divBdr>
    </w:div>
    <w:div w:id="1987859088">
      <w:bodyDiv w:val="1"/>
      <w:marLeft w:val="0"/>
      <w:marRight w:val="0"/>
      <w:marTop w:val="0"/>
      <w:marBottom w:val="0"/>
      <w:divBdr>
        <w:top w:val="none" w:sz="0" w:space="0" w:color="auto"/>
        <w:left w:val="none" w:sz="0" w:space="0" w:color="auto"/>
        <w:bottom w:val="none" w:sz="0" w:space="0" w:color="auto"/>
        <w:right w:val="none" w:sz="0" w:space="0" w:color="auto"/>
      </w:divBdr>
    </w:div>
    <w:div w:id="1993948018">
      <w:bodyDiv w:val="1"/>
      <w:marLeft w:val="0"/>
      <w:marRight w:val="0"/>
      <w:marTop w:val="0"/>
      <w:marBottom w:val="0"/>
      <w:divBdr>
        <w:top w:val="none" w:sz="0" w:space="0" w:color="auto"/>
        <w:left w:val="none" w:sz="0" w:space="0" w:color="auto"/>
        <w:bottom w:val="none" w:sz="0" w:space="0" w:color="auto"/>
        <w:right w:val="none" w:sz="0" w:space="0" w:color="auto"/>
      </w:divBdr>
    </w:div>
    <w:div w:id="1997029201">
      <w:bodyDiv w:val="1"/>
      <w:marLeft w:val="0"/>
      <w:marRight w:val="0"/>
      <w:marTop w:val="0"/>
      <w:marBottom w:val="0"/>
      <w:divBdr>
        <w:top w:val="none" w:sz="0" w:space="0" w:color="auto"/>
        <w:left w:val="none" w:sz="0" w:space="0" w:color="auto"/>
        <w:bottom w:val="none" w:sz="0" w:space="0" w:color="auto"/>
        <w:right w:val="none" w:sz="0" w:space="0" w:color="auto"/>
      </w:divBdr>
    </w:div>
    <w:div w:id="1998460759">
      <w:bodyDiv w:val="1"/>
      <w:marLeft w:val="0"/>
      <w:marRight w:val="0"/>
      <w:marTop w:val="0"/>
      <w:marBottom w:val="0"/>
      <w:divBdr>
        <w:top w:val="none" w:sz="0" w:space="0" w:color="auto"/>
        <w:left w:val="none" w:sz="0" w:space="0" w:color="auto"/>
        <w:bottom w:val="none" w:sz="0" w:space="0" w:color="auto"/>
        <w:right w:val="none" w:sz="0" w:space="0" w:color="auto"/>
      </w:divBdr>
    </w:div>
    <w:div w:id="2002271560">
      <w:bodyDiv w:val="1"/>
      <w:marLeft w:val="0"/>
      <w:marRight w:val="0"/>
      <w:marTop w:val="0"/>
      <w:marBottom w:val="0"/>
      <w:divBdr>
        <w:top w:val="none" w:sz="0" w:space="0" w:color="auto"/>
        <w:left w:val="none" w:sz="0" w:space="0" w:color="auto"/>
        <w:bottom w:val="none" w:sz="0" w:space="0" w:color="auto"/>
        <w:right w:val="none" w:sz="0" w:space="0" w:color="auto"/>
      </w:divBdr>
    </w:div>
    <w:div w:id="2007128269">
      <w:bodyDiv w:val="1"/>
      <w:marLeft w:val="0"/>
      <w:marRight w:val="0"/>
      <w:marTop w:val="0"/>
      <w:marBottom w:val="0"/>
      <w:divBdr>
        <w:top w:val="none" w:sz="0" w:space="0" w:color="auto"/>
        <w:left w:val="none" w:sz="0" w:space="0" w:color="auto"/>
        <w:bottom w:val="none" w:sz="0" w:space="0" w:color="auto"/>
        <w:right w:val="none" w:sz="0" w:space="0" w:color="auto"/>
      </w:divBdr>
    </w:div>
    <w:div w:id="2008558392">
      <w:bodyDiv w:val="1"/>
      <w:marLeft w:val="0"/>
      <w:marRight w:val="0"/>
      <w:marTop w:val="0"/>
      <w:marBottom w:val="0"/>
      <w:divBdr>
        <w:top w:val="none" w:sz="0" w:space="0" w:color="auto"/>
        <w:left w:val="none" w:sz="0" w:space="0" w:color="auto"/>
        <w:bottom w:val="none" w:sz="0" w:space="0" w:color="auto"/>
        <w:right w:val="none" w:sz="0" w:space="0" w:color="auto"/>
      </w:divBdr>
    </w:div>
    <w:div w:id="2011254160">
      <w:bodyDiv w:val="1"/>
      <w:marLeft w:val="0"/>
      <w:marRight w:val="0"/>
      <w:marTop w:val="0"/>
      <w:marBottom w:val="0"/>
      <w:divBdr>
        <w:top w:val="none" w:sz="0" w:space="0" w:color="auto"/>
        <w:left w:val="none" w:sz="0" w:space="0" w:color="auto"/>
        <w:bottom w:val="none" w:sz="0" w:space="0" w:color="auto"/>
        <w:right w:val="none" w:sz="0" w:space="0" w:color="auto"/>
      </w:divBdr>
    </w:div>
    <w:div w:id="2012444936">
      <w:bodyDiv w:val="1"/>
      <w:marLeft w:val="0"/>
      <w:marRight w:val="0"/>
      <w:marTop w:val="0"/>
      <w:marBottom w:val="0"/>
      <w:divBdr>
        <w:top w:val="none" w:sz="0" w:space="0" w:color="auto"/>
        <w:left w:val="none" w:sz="0" w:space="0" w:color="auto"/>
        <w:bottom w:val="none" w:sz="0" w:space="0" w:color="auto"/>
        <w:right w:val="none" w:sz="0" w:space="0" w:color="auto"/>
      </w:divBdr>
    </w:div>
    <w:div w:id="2015498654">
      <w:bodyDiv w:val="1"/>
      <w:marLeft w:val="0"/>
      <w:marRight w:val="0"/>
      <w:marTop w:val="0"/>
      <w:marBottom w:val="0"/>
      <w:divBdr>
        <w:top w:val="none" w:sz="0" w:space="0" w:color="auto"/>
        <w:left w:val="none" w:sz="0" w:space="0" w:color="auto"/>
        <w:bottom w:val="none" w:sz="0" w:space="0" w:color="auto"/>
        <w:right w:val="none" w:sz="0" w:space="0" w:color="auto"/>
      </w:divBdr>
    </w:div>
    <w:div w:id="2017034230">
      <w:bodyDiv w:val="1"/>
      <w:marLeft w:val="0"/>
      <w:marRight w:val="0"/>
      <w:marTop w:val="0"/>
      <w:marBottom w:val="0"/>
      <w:divBdr>
        <w:top w:val="none" w:sz="0" w:space="0" w:color="auto"/>
        <w:left w:val="none" w:sz="0" w:space="0" w:color="auto"/>
        <w:bottom w:val="none" w:sz="0" w:space="0" w:color="auto"/>
        <w:right w:val="none" w:sz="0" w:space="0" w:color="auto"/>
      </w:divBdr>
    </w:div>
    <w:div w:id="2018774407">
      <w:bodyDiv w:val="1"/>
      <w:marLeft w:val="0"/>
      <w:marRight w:val="0"/>
      <w:marTop w:val="0"/>
      <w:marBottom w:val="0"/>
      <w:divBdr>
        <w:top w:val="none" w:sz="0" w:space="0" w:color="auto"/>
        <w:left w:val="none" w:sz="0" w:space="0" w:color="auto"/>
        <w:bottom w:val="none" w:sz="0" w:space="0" w:color="auto"/>
        <w:right w:val="none" w:sz="0" w:space="0" w:color="auto"/>
      </w:divBdr>
    </w:div>
    <w:div w:id="2038387118">
      <w:bodyDiv w:val="1"/>
      <w:marLeft w:val="0"/>
      <w:marRight w:val="0"/>
      <w:marTop w:val="0"/>
      <w:marBottom w:val="0"/>
      <w:divBdr>
        <w:top w:val="none" w:sz="0" w:space="0" w:color="auto"/>
        <w:left w:val="none" w:sz="0" w:space="0" w:color="auto"/>
        <w:bottom w:val="none" w:sz="0" w:space="0" w:color="auto"/>
        <w:right w:val="none" w:sz="0" w:space="0" w:color="auto"/>
      </w:divBdr>
    </w:div>
    <w:div w:id="2039113980">
      <w:bodyDiv w:val="1"/>
      <w:marLeft w:val="0"/>
      <w:marRight w:val="0"/>
      <w:marTop w:val="0"/>
      <w:marBottom w:val="0"/>
      <w:divBdr>
        <w:top w:val="none" w:sz="0" w:space="0" w:color="auto"/>
        <w:left w:val="none" w:sz="0" w:space="0" w:color="auto"/>
        <w:bottom w:val="none" w:sz="0" w:space="0" w:color="auto"/>
        <w:right w:val="none" w:sz="0" w:space="0" w:color="auto"/>
      </w:divBdr>
    </w:div>
    <w:div w:id="2044478528">
      <w:bodyDiv w:val="1"/>
      <w:marLeft w:val="0"/>
      <w:marRight w:val="0"/>
      <w:marTop w:val="0"/>
      <w:marBottom w:val="0"/>
      <w:divBdr>
        <w:top w:val="none" w:sz="0" w:space="0" w:color="auto"/>
        <w:left w:val="none" w:sz="0" w:space="0" w:color="auto"/>
        <w:bottom w:val="none" w:sz="0" w:space="0" w:color="auto"/>
        <w:right w:val="none" w:sz="0" w:space="0" w:color="auto"/>
      </w:divBdr>
    </w:div>
    <w:div w:id="2045248256">
      <w:bodyDiv w:val="1"/>
      <w:marLeft w:val="0"/>
      <w:marRight w:val="0"/>
      <w:marTop w:val="0"/>
      <w:marBottom w:val="0"/>
      <w:divBdr>
        <w:top w:val="none" w:sz="0" w:space="0" w:color="auto"/>
        <w:left w:val="none" w:sz="0" w:space="0" w:color="auto"/>
        <w:bottom w:val="none" w:sz="0" w:space="0" w:color="auto"/>
        <w:right w:val="none" w:sz="0" w:space="0" w:color="auto"/>
      </w:divBdr>
    </w:div>
    <w:div w:id="2045976642">
      <w:bodyDiv w:val="1"/>
      <w:marLeft w:val="0"/>
      <w:marRight w:val="0"/>
      <w:marTop w:val="0"/>
      <w:marBottom w:val="0"/>
      <w:divBdr>
        <w:top w:val="none" w:sz="0" w:space="0" w:color="auto"/>
        <w:left w:val="none" w:sz="0" w:space="0" w:color="auto"/>
        <w:bottom w:val="none" w:sz="0" w:space="0" w:color="auto"/>
        <w:right w:val="none" w:sz="0" w:space="0" w:color="auto"/>
      </w:divBdr>
    </w:div>
    <w:div w:id="2048872285">
      <w:bodyDiv w:val="1"/>
      <w:marLeft w:val="0"/>
      <w:marRight w:val="0"/>
      <w:marTop w:val="0"/>
      <w:marBottom w:val="0"/>
      <w:divBdr>
        <w:top w:val="none" w:sz="0" w:space="0" w:color="auto"/>
        <w:left w:val="none" w:sz="0" w:space="0" w:color="auto"/>
        <w:bottom w:val="none" w:sz="0" w:space="0" w:color="auto"/>
        <w:right w:val="none" w:sz="0" w:space="0" w:color="auto"/>
      </w:divBdr>
    </w:div>
    <w:div w:id="2054187929">
      <w:bodyDiv w:val="1"/>
      <w:marLeft w:val="0"/>
      <w:marRight w:val="0"/>
      <w:marTop w:val="0"/>
      <w:marBottom w:val="0"/>
      <w:divBdr>
        <w:top w:val="none" w:sz="0" w:space="0" w:color="auto"/>
        <w:left w:val="none" w:sz="0" w:space="0" w:color="auto"/>
        <w:bottom w:val="none" w:sz="0" w:space="0" w:color="auto"/>
        <w:right w:val="none" w:sz="0" w:space="0" w:color="auto"/>
      </w:divBdr>
    </w:div>
    <w:div w:id="2054693607">
      <w:bodyDiv w:val="1"/>
      <w:marLeft w:val="0"/>
      <w:marRight w:val="0"/>
      <w:marTop w:val="0"/>
      <w:marBottom w:val="0"/>
      <w:divBdr>
        <w:top w:val="none" w:sz="0" w:space="0" w:color="auto"/>
        <w:left w:val="none" w:sz="0" w:space="0" w:color="auto"/>
        <w:bottom w:val="none" w:sz="0" w:space="0" w:color="auto"/>
        <w:right w:val="none" w:sz="0" w:space="0" w:color="auto"/>
      </w:divBdr>
    </w:div>
    <w:div w:id="2060132475">
      <w:bodyDiv w:val="1"/>
      <w:marLeft w:val="0"/>
      <w:marRight w:val="0"/>
      <w:marTop w:val="0"/>
      <w:marBottom w:val="0"/>
      <w:divBdr>
        <w:top w:val="none" w:sz="0" w:space="0" w:color="auto"/>
        <w:left w:val="none" w:sz="0" w:space="0" w:color="auto"/>
        <w:bottom w:val="none" w:sz="0" w:space="0" w:color="auto"/>
        <w:right w:val="none" w:sz="0" w:space="0" w:color="auto"/>
      </w:divBdr>
    </w:div>
    <w:div w:id="2063404002">
      <w:bodyDiv w:val="1"/>
      <w:marLeft w:val="0"/>
      <w:marRight w:val="0"/>
      <w:marTop w:val="0"/>
      <w:marBottom w:val="0"/>
      <w:divBdr>
        <w:top w:val="none" w:sz="0" w:space="0" w:color="auto"/>
        <w:left w:val="none" w:sz="0" w:space="0" w:color="auto"/>
        <w:bottom w:val="none" w:sz="0" w:space="0" w:color="auto"/>
        <w:right w:val="none" w:sz="0" w:space="0" w:color="auto"/>
      </w:divBdr>
    </w:div>
    <w:div w:id="2065525775">
      <w:bodyDiv w:val="1"/>
      <w:marLeft w:val="0"/>
      <w:marRight w:val="0"/>
      <w:marTop w:val="0"/>
      <w:marBottom w:val="0"/>
      <w:divBdr>
        <w:top w:val="none" w:sz="0" w:space="0" w:color="auto"/>
        <w:left w:val="none" w:sz="0" w:space="0" w:color="auto"/>
        <w:bottom w:val="none" w:sz="0" w:space="0" w:color="auto"/>
        <w:right w:val="none" w:sz="0" w:space="0" w:color="auto"/>
      </w:divBdr>
    </w:div>
    <w:div w:id="2065568023">
      <w:bodyDiv w:val="1"/>
      <w:marLeft w:val="0"/>
      <w:marRight w:val="0"/>
      <w:marTop w:val="0"/>
      <w:marBottom w:val="0"/>
      <w:divBdr>
        <w:top w:val="none" w:sz="0" w:space="0" w:color="auto"/>
        <w:left w:val="none" w:sz="0" w:space="0" w:color="auto"/>
        <w:bottom w:val="none" w:sz="0" w:space="0" w:color="auto"/>
        <w:right w:val="none" w:sz="0" w:space="0" w:color="auto"/>
      </w:divBdr>
    </w:div>
    <w:div w:id="2067601557">
      <w:bodyDiv w:val="1"/>
      <w:marLeft w:val="0"/>
      <w:marRight w:val="0"/>
      <w:marTop w:val="0"/>
      <w:marBottom w:val="0"/>
      <w:divBdr>
        <w:top w:val="none" w:sz="0" w:space="0" w:color="auto"/>
        <w:left w:val="none" w:sz="0" w:space="0" w:color="auto"/>
        <w:bottom w:val="none" w:sz="0" w:space="0" w:color="auto"/>
        <w:right w:val="none" w:sz="0" w:space="0" w:color="auto"/>
      </w:divBdr>
    </w:div>
    <w:div w:id="2076927558">
      <w:bodyDiv w:val="1"/>
      <w:marLeft w:val="0"/>
      <w:marRight w:val="0"/>
      <w:marTop w:val="0"/>
      <w:marBottom w:val="0"/>
      <w:divBdr>
        <w:top w:val="none" w:sz="0" w:space="0" w:color="auto"/>
        <w:left w:val="none" w:sz="0" w:space="0" w:color="auto"/>
        <w:bottom w:val="none" w:sz="0" w:space="0" w:color="auto"/>
        <w:right w:val="none" w:sz="0" w:space="0" w:color="auto"/>
      </w:divBdr>
    </w:div>
    <w:div w:id="2077891376">
      <w:bodyDiv w:val="1"/>
      <w:marLeft w:val="0"/>
      <w:marRight w:val="0"/>
      <w:marTop w:val="0"/>
      <w:marBottom w:val="0"/>
      <w:divBdr>
        <w:top w:val="none" w:sz="0" w:space="0" w:color="auto"/>
        <w:left w:val="none" w:sz="0" w:space="0" w:color="auto"/>
        <w:bottom w:val="none" w:sz="0" w:space="0" w:color="auto"/>
        <w:right w:val="none" w:sz="0" w:space="0" w:color="auto"/>
      </w:divBdr>
    </w:div>
    <w:div w:id="2078015625">
      <w:bodyDiv w:val="1"/>
      <w:marLeft w:val="0"/>
      <w:marRight w:val="0"/>
      <w:marTop w:val="0"/>
      <w:marBottom w:val="0"/>
      <w:divBdr>
        <w:top w:val="none" w:sz="0" w:space="0" w:color="auto"/>
        <w:left w:val="none" w:sz="0" w:space="0" w:color="auto"/>
        <w:bottom w:val="none" w:sz="0" w:space="0" w:color="auto"/>
        <w:right w:val="none" w:sz="0" w:space="0" w:color="auto"/>
      </w:divBdr>
    </w:div>
    <w:div w:id="2078821912">
      <w:bodyDiv w:val="1"/>
      <w:marLeft w:val="0"/>
      <w:marRight w:val="0"/>
      <w:marTop w:val="0"/>
      <w:marBottom w:val="0"/>
      <w:divBdr>
        <w:top w:val="none" w:sz="0" w:space="0" w:color="auto"/>
        <w:left w:val="none" w:sz="0" w:space="0" w:color="auto"/>
        <w:bottom w:val="none" w:sz="0" w:space="0" w:color="auto"/>
        <w:right w:val="none" w:sz="0" w:space="0" w:color="auto"/>
      </w:divBdr>
    </w:div>
    <w:div w:id="2082634053">
      <w:bodyDiv w:val="1"/>
      <w:marLeft w:val="0"/>
      <w:marRight w:val="0"/>
      <w:marTop w:val="0"/>
      <w:marBottom w:val="0"/>
      <w:divBdr>
        <w:top w:val="none" w:sz="0" w:space="0" w:color="auto"/>
        <w:left w:val="none" w:sz="0" w:space="0" w:color="auto"/>
        <w:bottom w:val="none" w:sz="0" w:space="0" w:color="auto"/>
        <w:right w:val="none" w:sz="0" w:space="0" w:color="auto"/>
      </w:divBdr>
    </w:div>
    <w:div w:id="2090686287">
      <w:bodyDiv w:val="1"/>
      <w:marLeft w:val="0"/>
      <w:marRight w:val="0"/>
      <w:marTop w:val="0"/>
      <w:marBottom w:val="0"/>
      <w:divBdr>
        <w:top w:val="none" w:sz="0" w:space="0" w:color="auto"/>
        <w:left w:val="none" w:sz="0" w:space="0" w:color="auto"/>
        <w:bottom w:val="none" w:sz="0" w:space="0" w:color="auto"/>
        <w:right w:val="none" w:sz="0" w:space="0" w:color="auto"/>
      </w:divBdr>
    </w:div>
    <w:div w:id="2102138504">
      <w:bodyDiv w:val="1"/>
      <w:marLeft w:val="0"/>
      <w:marRight w:val="0"/>
      <w:marTop w:val="0"/>
      <w:marBottom w:val="0"/>
      <w:divBdr>
        <w:top w:val="none" w:sz="0" w:space="0" w:color="auto"/>
        <w:left w:val="none" w:sz="0" w:space="0" w:color="auto"/>
        <w:bottom w:val="none" w:sz="0" w:space="0" w:color="auto"/>
        <w:right w:val="none" w:sz="0" w:space="0" w:color="auto"/>
      </w:divBdr>
    </w:div>
    <w:div w:id="2103603442">
      <w:bodyDiv w:val="1"/>
      <w:marLeft w:val="0"/>
      <w:marRight w:val="0"/>
      <w:marTop w:val="0"/>
      <w:marBottom w:val="0"/>
      <w:divBdr>
        <w:top w:val="none" w:sz="0" w:space="0" w:color="auto"/>
        <w:left w:val="none" w:sz="0" w:space="0" w:color="auto"/>
        <w:bottom w:val="none" w:sz="0" w:space="0" w:color="auto"/>
        <w:right w:val="none" w:sz="0" w:space="0" w:color="auto"/>
      </w:divBdr>
    </w:div>
    <w:div w:id="2104568097">
      <w:bodyDiv w:val="1"/>
      <w:marLeft w:val="0"/>
      <w:marRight w:val="0"/>
      <w:marTop w:val="0"/>
      <w:marBottom w:val="0"/>
      <w:divBdr>
        <w:top w:val="none" w:sz="0" w:space="0" w:color="auto"/>
        <w:left w:val="none" w:sz="0" w:space="0" w:color="auto"/>
        <w:bottom w:val="none" w:sz="0" w:space="0" w:color="auto"/>
        <w:right w:val="none" w:sz="0" w:space="0" w:color="auto"/>
      </w:divBdr>
    </w:div>
    <w:div w:id="2105570633">
      <w:bodyDiv w:val="1"/>
      <w:marLeft w:val="0"/>
      <w:marRight w:val="0"/>
      <w:marTop w:val="0"/>
      <w:marBottom w:val="0"/>
      <w:divBdr>
        <w:top w:val="none" w:sz="0" w:space="0" w:color="auto"/>
        <w:left w:val="none" w:sz="0" w:space="0" w:color="auto"/>
        <w:bottom w:val="none" w:sz="0" w:space="0" w:color="auto"/>
        <w:right w:val="none" w:sz="0" w:space="0" w:color="auto"/>
      </w:divBdr>
    </w:div>
    <w:div w:id="2106226839">
      <w:bodyDiv w:val="1"/>
      <w:marLeft w:val="0"/>
      <w:marRight w:val="0"/>
      <w:marTop w:val="0"/>
      <w:marBottom w:val="0"/>
      <w:divBdr>
        <w:top w:val="none" w:sz="0" w:space="0" w:color="auto"/>
        <w:left w:val="none" w:sz="0" w:space="0" w:color="auto"/>
        <w:bottom w:val="none" w:sz="0" w:space="0" w:color="auto"/>
        <w:right w:val="none" w:sz="0" w:space="0" w:color="auto"/>
      </w:divBdr>
    </w:div>
    <w:div w:id="2108382518">
      <w:bodyDiv w:val="1"/>
      <w:marLeft w:val="0"/>
      <w:marRight w:val="0"/>
      <w:marTop w:val="0"/>
      <w:marBottom w:val="0"/>
      <w:divBdr>
        <w:top w:val="none" w:sz="0" w:space="0" w:color="auto"/>
        <w:left w:val="none" w:sz="0" w:space="0" w:color="auto"/>
        <w:bottom w:val="none" w:sz="0" w:space="0" w:color="auto"/>
        <w:right w:val="none" w:sz="0" w:space="0" w:color="auto"/>
      </w:divBdr>
    </w:div>
    <w:div w:id="2113669907">
      <w:bodyDiv w:val="1"/>
      <w:marLeft w:val="0"/>
      <w:marRight w:val="0"/>
      <w:marTop w:val="0"/>
      <w:marBottom w:val="0"/>
      <w:divBdr>
        <w:top w:val="none" w:sz="0" w:space="0" w:color="auto"/>
        <w:left w:val="none" w:sz="0" w:space="0" w:color="auto"/>
        <w:bottom w:val="none" w:sz="0" w:space="0" w:color="auto"/>
        <w:right w:val="none" w:sz="0" w:space="0" w:color="auto"/>
      </w:divBdr>
    </w:div>
    <w:div w:id="2121339273">
      <w:bodyDiv w:val="1"/>
      <w:marLeft w:val="0"/>
      <w:marRight w:val="0"/>
      <w:marTop w:val="0"/>
      <w:marBottom w:val="0"/>
      <w:divBdr>
        <w:top w:val="none" w:sz="0" w:space="0" w:color="auto"/>
        <w:left w:val="none" w:sz="0" w:space="0" w:color="auto"/>
        <w:bottom w:val="none" w:sz="0" w:space="0" w:color="auto"/>
        <w:right w:val="none" w:sz="0" w:space="0" w:color="auto"/>
      </w:divBdr>
    </w:div>
    <w:div w:id="2124107978">
      <w:bodyDiv w:val="1"/>
      <w:marLeft w:val="0"/>
      <w:marRight w:val="0"/>
      <w:marTop w:val="0"/>
      <w:marBottom w:val="0"/>
      <w:divBdr>
        <w:top w:val="none" w:sz="0" w:space="0" w:color="auto"/>
        <w:left w:val="none" w:sz="0" w:space="0" w:color="auto"/>
        <w:bottom w:val="none" w:sz="0" w:space="0" w:color="auto"/>
        <w:right w:val="none" w:sz="0" w:space="0" w:color="auto"/>
      </w:divBdr>
    </w:div>
    <w:div w:id="2126196230">
      <w:bodyDiv w:val="1"/>
      <w:marLeft w:val="0"/>
      <w:marRight w:val="0"/>
      <w:marTop w:val="0"/>
      <w:marBottom w:val="0"/>
      <w:divBdr>
        <w:top w:val="none" w:sz="0" w:space="0" w:color="auto"/>
        <w:left w:val="none" w:sz="0" w:space="0" w:color="auto"/>
        <w:bottom w:val="none" w:sz="0" w:space="0" w:color="auto"/>
        <w:right w:val="none" w:sz="0" w:space="0" w:color="auto"/>
      </w:divBdr>
    </w:div>
    <w:div w:id="2127696329">
      <w:bodyDiv w:val="1"/>
      <w:marLeft w:val="0"/>
      <w:marRight w:val="0"/>
      <w:marTop w:val="0"/>
      <w:marBottom w:val="0"/>
      <w:divBdr>
        <w:top w:val="none" w:sz="0" w:space="0" w:color="auto"/>
        <w:left w:val="none" w:sz="0" w:space="0" w:color="auto"/>
        <w:bottom w:val="none" w:sz="0" w:space="0" w:color="auto"/>
        <w:right w:val="none" w:sz="0" w:space="0" w:color="auto"/>
      </w:divBdr>
    </w:div>
    <w:div w:id="2132435176">
      <w:bodyDiv w:val="1"/>
      <w:marLeft w:val="0"/>
      <w:marRight w:val="0"/>
      <w:marTop w:val="0"/>
      <w:marBottom w:val="0"/>
      <w:divBdr>
        <w:top w:val="none" w:sz="0" w:space="0" w:color="auto"/>
        <w:left w:val="none" w:sz="0" w:space="0" w:color="auto"/>
        <w:bottom w:val="none" w:sz="0" w:space="0" w:color="auto"/>
        <w:right w:val="none" w:sz="0" w:space="0" w:color="auto"/>
      </w:divBdr>
    </w:div>
    <w:div w:id="2136558811">
      <w:bodyDiv w:val="1"/>
      <w:marLeft w:val="0"/>
      <w:marRight w:val="0"/>
      <w:marTop w:val="0"/>
      <w:marBottom w:val="0"/>
      <w:divBdr>
        <w:top w:val="none" w:sz="0" w:space="0" w:color="auto"/>
        <w:left w:val="none" w:sz="0" w:space="0" w:color="auto"/>
        <w:bottom w:val="none" w:sz="0" w:space="0" w:color="auto"/>
        <w:right w:val="none" w:sz="0" w:space="0" w:color="auto"/>
      </w:divBdr>
    </w:div>
    <w:div w:id="2146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act.gov.au\treasury\dt\financialmgmt\COMMON\Budget13\Budpapers\TM1%20Tables%20-%20DO%20NOT%20DELETE%20OR%20MOVE\BP3\Chapter%203\2012-13%20Revenue%20Tabl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1"/>
  <c:chart>
    <c:autoTitleDeleted val="1"/>
    <c:view3D>
      <c:perspective val="0"/>
    </c:view3D>
    <c:plotArea>
      <c:layout>
        <c:manualLayout>
          <c:layoutTarget val="inner"/>
          <c:xMode val="edge"/>
          <c:yMode val="edge"/>
          <c:x val="0.19190157341890871"/>
          <c:y val="0.21587368512427191"/>
          <c:w val="0.77640911814439373"/>
          <c:h val="0.55555727789334652"/>
        </c:manualLayout>
      </c:layout>
      <c:pie3DChart>
        <c:varyColors val="1"/>
        <c:ser>
          <c:idx val="0"/>
          <c:order val="0"/>
          <c:tx>
            <c:strRef>
              <c:f>'BP3 Graph'!$B$1</c:f>
              <c:strCache>
                <c:ptCount val="1"/>
                <c:pt idx="0">
                  <c:v>2013-2014 Budget</c:v>
                </c:pt>
              </c:strCache>
            </c:strRef>
          </c:tx>
          <c:explosion val="25"/>
          <c:dLbls>
            <c:dLbl>
              <c:idx val="0"/>
              <c:layout>
                <c:manualLayout>
                  <c:x val="-8.0750472972419662E-2"/>
                  <c:y val="-0.14785782024219876"/>
                </c:manualLayout>
              </c:layout>
              <c:tx>
                <c:rich>
                  <a:bodyPr/>
                  <a:lstStyle/>
                  <a:p>
                    <a:pPr>
                      <a:defRPr/>
                    </a:pPr>
                    <a:r>
                      <a:rPr lang="en-AU"/>
                      <a:t>Taxation
31%</a:t>
                    </a:r>
                  </a:p>
                </c:rich>
              </c:tx>
              <c:spPr/>
              <c:dLblPos val="bestFit"/>
            </c:dLbl>
            <c:dLbl>
              <c:idx val="1"/>
              <c:tx>
                <c:rich>
                  <a:bodyPr/>
                  <a:lstStyle/>
                  <a:p>
                    <a:pPr>
                      <a:defRPr/>
                    </a:pPr>
                    <a:r>
                      <a:rPr lang="en-AU"/>
                      <a:t>Commonwealth Government Grants
43%</a:t>
                    </a:r>
                  </a:p>
                </c:rich>
              </c:tx>
              <c:spPr/>
            </c:dLbl>
            <c:dLbl>
              <c:idx val="2"/>
              <c:layout>
                <c:manualLayout>
                  <c:x val="1.6087825235941055E-2"/>
                  <c:y val="7.6988834517558724E-2"/>
                </c:manualLayout>
              </c:layout>
              <c:tx>
                <c:rich>
                  <a:bodyPr/>
                  <a:lstStyle/>
                  <a:p>
                    <a:r>
                      <a:rPr lang="en-AU"/>
                      <a:t>Gains from Contributed Assets
3%</a:t>
                    </a:r>
                  </a:p>
                </c:rich>
              </c:tx>
              <c:dLblPos val="bestFit"/>
            </c:dLbl>
            <c:dLbl>
              <c:idx val="3"/>
              <c:layout>
                <c:manualLayout>
                  <c:x val="3.8141100621214971E-3"/>
                  <c:y val="1.2917399170632693E-2"/>
                </c:manualLayout>
              </c:layout>
              <c:tx>
                <c:rich>
                  <a:bodyPr/>
                  <a:lstStyle/>
                  <a:p>
                    <a:pPr>
                      <a:defRPr/>
                    </a:pPr>
                    <a:r>
                      <a:rPr lang="en-AU"/>
                      <a:t>Sales of Goods and Services
10%</a:t>
                    </a:r>
                  </a:p>
                </c:rich>
              </c:tx>
              <c:spPr/>
              <c:dLblPos val="bestFit"/>
            </c:dLbl>
            <c:dLbl>
              <c:idx val="4"/>
              <c:layout>
                <c:manualLayout>
                  <c:x val="-2.8577259408041011E-2"/>
                  <c:y val="-7.5802983253267647E-2"/>
                </c:manualLayout>
              </c:layout>
              <c:tx>
                <c:rich>
                  <a:bodyPr/>
                  <a:lstStyle/>
                  <a:p>
                    <a:pPr>
                      <a:defRPr/>
                    </a:pPr>
                    <a:r>
                      <a:rPr lang="en-AU"/>
                      <a:t>Interest Income
3%</a:t>
                    </a:r>
                  </a:p>
                </c:rich>
              </c:tx>
              <c:spPr/>
              <c:dLblPos val="bestFit"/>
            </c:dLbl>
            <c:dLbl>
              <c:idx val="5"/>
              <c:layout>
                <c:manualLayout>
                  <c:x val="4.5403339311740717E-2"/>
                  <c:y val="-9.7680074108267526E-2"/>
                </c:manualLayout>
              </c:layout>
              <c:dLblPos val="bestFit"/>
              <c:showCatName val="1"/>
              <c:showPercent val="1"/>
            </c:dLbl>
            <c:dLbl>
              <c:idx val="6"/>
              <c:layout>
                <c:manualLayout>
                  <c:x val="0.11133900493523044"/>
                  <c:y val="-6.9605416106789511E-2"/>
                </c:manualLayout>
              </c:layout>
              <c:dLblPos val="bestFit"/>
              <c:showCatName val="1"/>
              <c:showPercent val="1"/>
            </c:dLbl>
            <c:numFmt formatCode="0%" sourceLinked="0"/>
            <c:showCatName val="1"/>
            <c:showPercent val="1"/>
          </c:dLbls>
          <c:cat>
            <c:strRef>
              <c:f>'BP3 Graph'!$A$2:$A$8</c:f>
              <c:strCache>
                <c:ptCount val="7"/>
                <c:pt idx="0">
                  <c:v>Taxation</c:v>
                </c:pt>
                <c:pt idx="1">
                  <c:v>Commonwealth Grants</c:v>
                </c:pt>
                <c:pt idx="2">
                  <c:v>Gains from Contributed Assets</c:v>
                </c:pt>
                <c:pt idx="3">
                  <c:v>Sales of Goods and Services</c:v>
                </c:pt>
                <c:pt idx="4">
                  <c:v>Interest Income</c:v>
                </c:pt>
                <c:pt idx="5">
                  <c:v>Dividend and Tax Equivalents Income</c:v>
                </c:pt>
                <c:pt idx="6">
                  <c:v>Other Revenue</c:v>
                </c:pt>
              </c:strCache>
            </c:strRef>
          </c:cat>
          <c:val>
            <c:numRef>
              <c:f>'BP3 Graph'!$C$2:$C$8</c:f>
              <c:numCache>
                <c:formatCode>0.00</c:formatCode>
                <c:ptCount val="7"/>
                <c:pt idx="0">
                  <c:v>30.649146278750489</c:v>
                </c:pt>
                <c:pt idx="1">
                  <c:v>42.230439247129269</c:v>
                </c:pt>
                <c:pt idx="2">
                  <c:v>3.1987082257857824</c:v>
                </c:pt>
                <c:pt idx="3">
                  <c:v>10.331928105647147</c:v>
                </c:pt>
                <c:pt idx="4">
                  <c:v>3.2015402359017222</c:v>
                </c:pt>
                <c:pt idx="5">
                  <c:v>7.1894588807471234</c:v>
                </c:pt>
                <c:pt idx="6">
                  <c:v>3.1987790260386797</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C0DF-F182-4C9D-B0C3-4E44A694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7332</Words>
  <Characters>39862</Characters>
  <Application>Microsoft Office Word</Application>
  <DocSecurity>6</DocSecurity>
  <Lines>332</Lines>
  <Paragraphs>94</Paragraphs>
  <ScaleCrop>false</ScaleCrop>
  <HeadingPairs>
    <vt:vector size="2" baseType="variant">
      <vt:variant>
        <vt:lpstr>Title</vt:lpstr>
      </vt:variant>
      <vt:variant>
        <vt:i4>1</vt:i4>
      </vt:variant>
    </vt:vector>
  </HeadingPairs>
  <TitlesOfParts>
    <vt:vector size="1" baseType="lpstr">
      <vt:lpstr>3</vt:lpstr>
    </vt:vector>
  </TitlesOfParts>
  <Company>ACT Government</Company>
  <LinksUpToDate>false</LinksUpToDate>
  <CharactersWithSpaces>47100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3.1 Revenue and Forward Estimates</dc:title>
  <dc:subject>3.1 Revenue and Forward Estimates</dc:subject>
  <dc:creator>Chief Minister and Treasury Directorate</dc:creator>
  <cp:lastModifiedBy>Keaton Paterson</cp:lastModifiedBy>
  <cp:revision>10</cp:revision>
  <cp:lastPrinted>2013-05-29T03:55:00Z</cp:lastPrinted>
  <dcterms:created xsi:type="dcterms:W3CDTF">2013-05-28T23:28:00Z</dcterms:created>
  <dcterms:modified xsi:type="dcterms:W3CDTF">2013-06-02T07:28:00Z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