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5DE" w:rsidRPr="00232397" w:rsidRDefault="007F6BE1" w:rsidP="00232397">
      <w:pPr>
        <w:pStyle w:val="Heading1"/>
      </w:pPr>
      <w:r>
        <w:t xml:space="preserve">appendix f:  discontinued agencies - </w:t>
      </w:r>
      <w:r w:rsidR="004525DE" w:rsidRPr="00232397">
        <w:t>Treasury</w:t>
      </w:r>
      <w:r w:rsidR="00CC0B3A" w:rsidRPr="00232397">
        <w:t xml:space="preserve"> DIRECTORATE</w:t>
      </w:r>
    </w:p>
    <w:p w:rsidR="004525DE" w:rsidRPr="00232397" w:rsidRDefault="00CC0B3A" w:rsidP="00232397">
      <w:pPr>
        <w:pStyle w:val="Heading3"/>
      </w:pPr>
      <w:r w:rsidRPr="00232397">
        <w:t>Purpose</w:t>
      </w:r>
    </w:p>
    <w:p w:rsidR="004525DE" w:rsidRPr="00232397" w:rsidRDefault="004525DE" w:rsidP="00232397">
      <w:pPr>
        <w:pStyle w:val="BodyText"/>
      </w:pPr>
      <w:r w:rsidRPr="00232397">
        <w:t xml:space="preserve">The </w:t>
      </w:r>
      <w:r w:rsidR="00950C5A">
        <w:t xml:space="preserve">former </w:t>
      </w:r>
      <w:r w:rsidRPr="00232397">
        <w:t xml:space="preserve">Treasury </w:t>
      </w:r>
      <w:r w:rsidR="00666A71" w:rsidRPr="00232397">
        <w:t xml:space="preserve">Directorate </w:t>
      </w:r>
      <w:r w:rsidRPr="00232397">
        <w:t>(Treasury) provide</w:t>
      </w:r>
      <w:r w:rsidR="005F07F2">
        <w:t>d</w:t>
      </w:r>
      <w:r w:rsidRPr="00232397">
        <w:t xml:space="preserve"> strategic financial and economic policy advice to the Government with the aim of promoting the Territory’s financial position and economic management.</w:t>
      </w:r>
    </w:p>
    <w:p w:rsidR="004525DE" w:rsidRDefault="004525DE" w:rsidP="00232397">
      <w:pPr>
        <w:pStyle w:val="BodyText"/>
      </w:pPr>
      <w:r w:rsidRPr="00232397">
        <w:t>Treasury play</w:t>
      </w:r>
      <w:r w:rsidR="005F07F2">
        <w:t>ed</w:t>
      </w:r>
      <w:r w:rsidRPr="00232397">
        <w:t xml:space="preserve"> a leading role in promoting accountability and transparency in the delivery of services to the community.  This </w:t>
      </w:r>
      <w:r w:rsidR="005F07F2">
        <w:t>was</w:t>
      </w:r>
      <w:r w:rsidRPr="00232397">
        <w:t xml:space="preserve"> achieved through sound financial policies, management practices and analysis.</w:t>
      </w:r>
    </w:p>
    <w:p w:rsidR="00876A1C" w:rsidRPr="00876A1C" w:rsidRDefault="00876A1C" w:rsidP="00876A1C">
      <w:pPr>
        <w:pStyle w:val="BodyText"/>
      </w:pPr>
      <w:r w:rsidRPr="00876A1C">
        <w:t>Treasury ceased operati</w:t>
      </w:r>
      <w:r w:rsidR="006C543B">
        <w:t>ng as a separate directorate</w:t>
      </w:r>
      <w:r w:rsidRPr="00876A1C">
        <w:t xml:space="preserve"> following the </w:t>
      </w:r>
      <w:r w:rsidR="009E6C65" w:rsidRPr="009E6C65">
        <w:rPr>
          <w:i/>
        </w:rPr>
        <w:t>Administrative Arrangements 2012 (No 2)</w:t>
      </w:r>
      <w:r w:rsidR="008902AA">
        <w:rPr>
          <w:i/>
        </w:rPr>
        <w:t xml:space="preserve"> </w:t>
      </w:r>
      <w:r w:rsidR="00950C5A">
        <w:t>(AAs)</w:t>
      </w:r>
      <w:r w:rsidRPr="00876A1C">
        <w:t xml:space="preserve">, and its functions were transferred to the Chief Minister and Treasury Directorate (CMTD) and </w:t>
      </w:r>
      <w:r w:rsidR="009D3A67">
        <w:t xml:space="preserve">the </w:t>
      </w:r>
      <w:r w:rsidRPr="00876A1C">
        <w:t>Commerce and Works Directorate</w:t>
      </w:r>
      <w:proofErr w:type="gramStart"/>
      <w:r w:rsidR="00950C5A">
        <w:t> </w:t>
      </w:r>
      <w:r w:rsidRPr="00876A1C">
        <w:t xml:space="preserve"> (</w:t>
      </w:r>
      <w:proofErr w:type="gramEnd"/>
      <w:r w:rsidRPr="00876A1C">
        <w:t xml:space="preserve">CWD), effective from 10 November 2012.  </w:t>
      </w:r>
      <w:r w:rsidR="008902AA">
        <w:t>Specifically</w:t>
      </w:r>
      <w:r w:rsidRPr="00876A1C">
        <w:t xml:space="preserve">, </w:t>
      </w:r>
      <w:r w:rsidR="006C543B">
        <w:t xml:space="preserve">the </w:t>
      </w:r>
      <w:r w:rsidR="008902AA">
        <w:t>e</w:t>
      </w:r>
      <w:r w:rsidRPr="00876A1C">
        <w:t>conomic</w:t>
      </w:r>
      <w:r w:rsidR="00D01C2D">
        <w:t>,</w:t>
      </w:r>
      <w:r w:rsidRPr="00876A1C">
        <w:t xml:space="preserve"> </w:t>
      </w:r>
      <w:r w:rsidR="00D01C2D">
        <w:t xml:space="preserve">budget management </w:t>
      </w:r>
      <w:r w:rsidR="006C543B">
        <w:t xml:space="preserve">and </w:t>
      </w:r>
      <w:r w:rsidR="008902AA">
        <w:t>f</w:t>
      </w:r>
      <w:r w:rsidR="006C543B">
        <w:t xml:space="preserve">inancial </w:t>
      </w:r>
      <w:r w:rsidR="008902AA">
        <w:t>m</w:t>
      </w:r>
      <w:r w:rsidR="006C543B">
        <w:t>anagement</w:t>
      </w:r>
      <w:r w:rsidR="006C543B" w:rsidRPr="00876A1C">
        <w:t xml:space="preserve"> </w:t>
      </w:r>
      <w:r w:rsidRPr="00876A1C">
        <w:t xml:space="preserve">functions were transferred to CMTD and </w:t>
      </w:r>
      <w:r w:rsidR="006C543B">
        <w:t xml:space="preserve">the </w:t>
      </w:r>
      <w:r w:rsidR="008902AA">
        <w:t>r</w:t>
      </w:r>
      <w:r w:rsidRPr="00876A1C">
        <w:t xml:space="preserve">evenue </w:t>
      </w:r>
      <w:r w:rsidR="008902AA">
        <w:t>m</w:t>
      </w:r>
      <w:r w:rsidR="006C543B">
        <w:t>anagement function</w:t>
      </w:r>
      <w:r w:rsidR="00117E23">
        <w:t xml:space="preserve"> involving administration</w:t>
      </w:r>
      <w:r w:rsidR="00D01C2D">
        <w:t xml:space="preserve"> and compliance</w:t>
      </w:r>
      <w:r w:rsidR="006C543B" w:rsidRPr="00876A1C">
        <w:t xml:space="preserve"> </w:t>
      </w:r>
      <w:r w:rsidRPr="00876A1C">
        <w:t>was transferred to CWD.</w:t>
      </w:r>
    </w:p>
    <w:p w:rsidR="004525DE" w:rsidRPr="00232397" w:rsidRDefault="004525DE" w:rsidP="004453E1">
      <w:pPr>
        <w:pStyle w:val="BodyTextIndent"/>
        <w:numPr>
          <w:ilvl w:val="0"/>
          <w:numId w:val="0"/>
        </w:numPr>
        <w:ind w:left="360"/>
      </w:pPr>
    </w:p>
    <w:p w:rsidR="004525DE" w:rsidRPr="00232397" w:rsidRDefault="004525DE" w:rsidP="00232397">
      <w:pPr>
        <w:pStyle w:val="Heading3"/>
      </w:pPr>
      <w:r w:rsidRPr="00232397">
        <w:t>Estimated Employment Level</w:t>
      </w:r>
    </w:p>
    <w:tbl>
      <w:tblPr>
        <w:tblW w:w="9100" w:type="dxa"/>
        <w:tblLayout w:type="fixed"/>
        <w:tblCellMar>
          <w:left w:w="0" w:type="dxa"/>
          <w:right w:w="0" w:type="dxa"/>
        </w:tblCellMar>
        <w:tblLook w:val="0000"/>
      </w:tblPr>
      <w:tblGrid>
        <w:gridCol w:w="1638"/>
        <w:gridCol w:w="2545"/>
        <w:gridCol w:w="1639"/>
        <w:gridCol w:w="1639"/>
        <w:gridCol w:w="1639"/>
      </w:tblGrid>
      <w:tr w:rsidR="008E08CE" w:rsidTr="006E3069">
        <w:trPr>
          <w:trHeight w:hRule="exact" w:val="510"/>
        </w:trPr>
        <w:tc>
          <w:tcPr>
            <w:tcW w:w="1644" w:type="dxa"/>
            <w:tcBorders>
              <w:top w:val="single" w:sz="4" w:space="0" w:color="auto"/>
              <w:left w:val="nil"/>
              <w:bottom w:val="single" w:sz="4" w:space="0" w:color="auto"/>
              <w:right w:val="nil"/>
            </w:tcBorders>
            <w:vAlign w:val="center"/>
          </w:tcPr>
          <w:p w:rsidR="008E08CE" w:rsidRDefault="008E08CE" w:rsidP="00EB32D6">
            <w:pPr>
              <w:pStyle w:val="TableHeadingRight"/>
            </w:pPr>
            <w:r>
              <w:t>2011</w:t>
            </w:r>
            <w:r>
              <w:noBreakHyphen/>
              <w:t>12</w:t>
            </w:r>
          </w:p>
          <w:p w:rsidR="008E08CE" w:rsidRDefault="008E08CE" w:rsidP="00EB32D6">
            <w:pPr>
              <w:pStyle w:val="TableHeadingRight"/>
            </w:pPr>
            <w:r>
              <w:t>Actual Outcome</w:t>
            </w:r>
          </w:p>
        </w:tc>
        <w:tc>
          <w:tcPr>
            <w:tcW w:w="2552" w:type="dxa"/>
            <w:tcBorders>
              <w:top w:val="single" w:sz="4" w:space="0" w:color="auto"/>
              <w:left w:val="nil"/>
              <w:bottom w:val="single" w:sz="4" w:space="0" w:color="auto"/>
              <w:right w:val="nil"/>
            </w:tcBorders>
            <w:noWrap/>
            <w:tcMar>
              <w:top w:w="18" w:type="dxa"/>
              <w:left w:w="18" w:type="dxa"/>
              <w:bottom w:w="0" w:type="dxa"/>
              <w:right w:w="18" w:type="dxa"/>
            </w:tcMar>
          </w:tcPr>
          <w:p w:rsidR="008E08CE" w:rsidRDefault="008E08CE" w:rsidP="00EB32D6">
            <w:pPr>
              <w:pStyle w:val="TableTextRightBold-BP410pt"/>
              <w:rPr>
                <w:rFonts w:ascii="Arial" w:hAnsi="Arial" w:cs="Arial"/>
                <w:bCs/>
              </w:rPr>
            </w:pPr>
          </w:p>
        </w:tc>
        <w:tc>
          <w:tcPr>
            <w:tcW w:w="1644" w:type="dxa"/>
            <w:tcBorders>
              <w:top w:val="single" w:sz="4" w:space="0" w:color="auto"/>
              <w:left w:val="nil"/>
              <w:bottom w:val="single" w:sz="4" w:space="0" w:color="auto"/>
              <w:right w:val="nil"/>
            </w:tcBorders>
            <w:vAlign w:val="center"/>
          </w:tcPr>
          <w:p w:rsidR="008E08CE" w:rsidRDefault="008E08CE" w:rsidP="00EB32D6">
            <w:pPr>
              <w:pStyle w:val="TableHeadingRight"/>
            </w:pPr>
            <w:r>
              <w:t>2012-13</w:t>
            </w:r>
          </w:p>
          <w:p w:rsidR="008E08CE" w:rsidRDefault="008E08CE" w:rsidP="00EB32D6">
            <w:pPr>
              <w:pStyle w:val="TableHeadingRight"/>
            </w:pPr>
            <w:r>
              <w:t>Budget</w:t>
            </w:r>
          </w:p>
          <w:p w:rsidR="008E08CE" w:rsidRDefault="008E08CE" w:rsidP="00EB32D6">
            <w:pPr>
              <w:pStyle w:val="TableHeadingRight"/>
            </w:pPr>
          </w:p>
        </w:tc>
        <w:tc>
          <w:tcPr>
            <w:tcW w:w="1644" w:type="dxa"/>
            <w:tcBorders>
              <w:top w:val="single" w:sz="4" w:space="0" w:color="auto"/>
              <w:left w:val="nil"/>
              <w:bottom w:val="single" w:sz="4" w:space="0" w:color="auto"/>
              <w:right w:val="nil"/>
            </w:tcBorders>
            <w:vAlign w:val="center"/>
          </w:tcPr>
          <w:p w:rsidR="008E08CE" w:rsidRDefault="008E08CE" w:rsidP="00EB32D6">
            <w:pPr>
              <w:pStyle w:val="TableHeadingRight"/>
            </w:pPr>
            <w:r>
              <w:t>2012-13</w:t>
            </w:r>
          </w:p>
          <w:p w:rsidR="008E08CE" w:rsidRDefault="008E08CE" w:rsidP="00EB32D6">
            <w:pPr>
              <w:pStyle w:val="TableHeadingRight"/>
            </w:pPr>
            <w:r>
              <w:t>Est.  Outcome</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8E08CE" w:rsidRDefault="008E08CE" w:rsidP="00EB32D6">
            <w:pPr>
              <w:pStyle w:val="TableHeadingRight"/>
            </w:pPr>
            <w:r>
              <w:t>2013-14</w:t>
            </w:r>
          </w:p>
          <w:p w:rsidR="008E08CE" w:rsidRDefault="008E08CE" w:rsidP="00EB32D6">
            <w:pPr>
              <w:pStyle w:val="TableHeadingRight"/>
            </w:pPr>
            <w:r>
              <w:t>Budget</w:t>
            </w:r>
          </w:p>
          <w:p w:rsidR="008E08CE" w:rsidRDefault="008E08CE" w:rsidP="00EB32D6">
            <w:pPr>
              <w:pStyle w:val="TableHeadingRight"/>
            </w:pPr>
          </w:p>
        </w:tc>
      </w:tr>
      <w:tr w:rsidR="008E08CE" w:rsidTr="006E3069">
        <w:trPr>
          <w:trHeight w:val="392"/>
        </w:trPr>
        <w:tc>
          <w:tcPr>
            <w:tcW w:w="1644" w:type="dxa"/>
            <w:tcBorders>
              <w:top w:val="single" w:sz="4" w:space="0" w:color="auto"/>
              <w:left w:val="nil"/>
              <w:bottom w:val="single" w:sz="4" w:space="0" w:color="auto"/>
              <w:right w:val="nil"/>
            </w:tcBorders>
            <w:vAlign w:val="center"/>
          </w:tcPr>
          <w:p w:rsidR="008E08CE" w:rsidRDefault="008E08CE" w:rsidP="00EB32D6">
            <w:pPr>
              <w:pStyle w:val="TableNumbersRight"/>
            </w:pPr>
            <w:r>
              <w:t>175</w:t>
            </w:r>
          </w:p>
        </w:tc>
        <w:tc>
          <w:tcPr>
            <w:tcW w:w="2552" w:type="dxa"/>
            <w:tcBorders>
              <w:top w:val="single" w:sz="4" w:space="0" w:color="auto"/>
              <w:left w:val="nil"/>
              <w:bottom w:val="single" w:sz="4" w:space="0" w:color="auto"/>
              <w:right w:val="nil"/>
            </w:tcBorders>
            <w:tcMar>
              <w:top w:w="18" w:type="dxa"/>
              <w:left w:w="421" w:type="dxa"/>
              <w:bottom w:w="0" w:type="dxa"/>
              <w:right w:w="18" w:type="dxa"/>
            </w:tcMar>
            <w:vAlign w:val="center"/>
          </w:tcPr>
          <w:p w:rsidR="008E08CE" w:rsidRPr="00000FA7" w:rsidRDefault="008E08CE" w:rsidP="00EB32D6">
            <w:pPr>
              <w:pStyle w:val="TableTextLeft"/>
              <w:rPr>
                <w:b/>
                <w:vertAlign w:val="superscript"/>
              </w:rPr>
            </w:pPr>
            <w:r w:rsidRPr="00000FA7">
              <w:rPr>
                <w:b/>
              </w:rPr>
              <w:t>Staffing (FTE)</w:t>
            </w:r>
            <w:r w:rsidRPr="00440016">
              <w:rPr>
                <w:vertAlign w:val="superscript"/>
              </w:rPr>
              <w:t>1</w:t>
            </w:r>
          </w:p>
        </w:tc>
        <w:tc>
          <w:tcPr>
            <w:tcW w:w="1644" w:type="dxa"/>
            <w:tcBorders>
              <w:top w:val="single" w:sz="4" w:space="0" w:color="auto"/>
              <w:left w:val="nil"/>
              <w:bottom w:val="single" w:sz="4" w:space="0" w:color="auto"/>
              <w:right w:val="nil"/>
            </w:tcBorders>
            <w:vAlign w:val="center"/>
          </w:tcPr>
          <w:p w:rsidR="008E08CE" w:rsidRDefault="008E08CE" w:rsidP="00EB32D6">
            <w:pPr>
              <w:pStyle w:val="TableNumbersRight"/>
            </w:pPr>
            <w:r>
              <w:t>168</w:t>
            </w:r>
          </w:p>
        </w:tc>
        <w:tc>
          <w:tcPr>
            <w:tcW w:w="1644" w:type="dxa"/>
            <w:tcBorders>
              <w:top w:val="single" w:sz="4" w:space="0" w:color="auto"/>
              <w:left w:val="nil"/>
              <w:bottom w:val="single" w:sz="4" w:space="0" w:color="auto"/>
              <w:right w:val="nil"/>
            </w:tcBorders>
            <w:vAlign w:val="center"/>
          </w:tcPr>
          <w:p w:rsidR="008E08CE" w:rsidRDefault="008E08CE" w:rsidP="00EB32D6">
            <w:pPr>
              <w:pStyle w:val="TableNumbersRight"/>
            </w:pPr>
            <w:r>
              <w:t>n/a</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8E08CE" w:rsidRDefault="008E08CE" w:rsidP="00EB32D6">
            <w:pPr>
              <w:pStyle w:val="TableNumbersRight"/>
            </w:pPr>
            <w:r>
              <w:t>n/a</w:t>
            </w:r>
          </w:p>
        </w:tc>
      </w:tr>
    </w:tbl>
    <w:p w:rsidR="004525DE" w:rsidRDefault="004525DE" w:rsidP="00232397">
      <w:pPr>
        <w:pStyle w:val="NoteHeading"/>
      </w:pPr>
      <w:r>
        <w:t>Note:</w:t>
      </w:r>
    </w:p>
    <w:p w:rsidR="004525DE" w:rsidRPr="00232397" w:rsidRDefault="004453E1" w:rsidP="00232397">
      <w:pPr>
        <w:pStyle w:val="AINotes"/>
      </w:pPr>
      <w:r>
        <w:t xml:space="preserve">As a result of </w:t>
      </w:r>
      <w:r w:rsidR="00221481">
        <w:t>t</w:t>
      </w:r>
      <w:r w:rsidR="00840BC4">
        <w:t>he AAs</w:t>
      </w:r>
      <w:r w:rsidR="005640CB">
        <w:t>, Treasury</w:t>
      </w:r>
      <w:r w:rsidR="00840BC4">
        <w:t xml:space="preserve"> ceased </w:t>
      </w:r>
      <w:r w:rsidR="005640CB">
        <w:t>operati</w:t>
      </w:r>
      <w:r w:rsidR="00840BC4">
        <w:t>ng</w:t>
      </w:r>
      <w:r w:rsidR="005640CB">
        <w:t xml:space="preserve"> </w:t>
      </w:r>
      <w:r w:rsidR="00840BC4">
        <w:t xml:space="preserve">as a separate </w:t>
      </w:r>
      <w:r w:rsidR="00950C5A">
        <w:t>Directorate</w:t>
      </w:r>
      <w:r w:rsidR="00840BC4">
        <w:t xml:space="preserve">, and </w:t>
      </w:r>
      <w:r w:rsidR="005640CB">
        <w:t>its functions were transferred to CMTD and CWD effective from 10 November 2012</w:t>
      </w:r>
      <w:r w:rsidR="00DC1ACC">
        <w:t xml:space="preserve">, </w:t>
      </w:r>
      <w:r w:rsidR="00FA172D">
        <w:t xml:space="preserve">along with </w:t>
      </w:r>
      <w:r w:rsidR="00840BC4">
        <w:t xml:space="preserve">161 FTE.  </w:t>
      </w:r>
      <w:r w:rsidR="004525DE" w:rsidRPr="00232397">
        <w:t xml:space="preserve">The </w:t>
      </w:r>
      <w:r w:rsidR="00FA172D">
        <w:t>number of staff transferred compared to</w:t>
      </w:r>
      <w:r w:rsidR="004525DE" w:rsidRPr="00232397">
        <w:t xml:space="preserve"> the original budge</w:t>
      </w:r>
      <w:r w:rsidR="00864F86">
        <w:t xml:space="preserve">t </w:t>
      </w:r>
      <w:r w:rsidR="00840BC4">
        <w:t xml:space="preserve">was </w:t>
      </w:r>
      <w:r w:rsidR="00864F86">
        <w:t>due to temporary vacancies.</w:t>
      </w:r>
    </w:p>
    <w:p w:rsidR="00AA5944" w:rsidRDefault="00AA5944">
      <w:pPr>
        <w:rPr>
          <w:rFonts w:ascii="Arial" w:hAnsi="Arial"/>
          <w:b/>
          <w:bCs/>
          <w:szCs w:val="26"/>
          <w:lang w:eastAsia="en-AU"/>
        </w:rPr>
      </w:pPr>
      <w:r>
        <w:br w:type="page"/>
      </w:r>
    </w:p>
    <w:p w:rsidR="00021F8A" w:rsidRDefault="006B3E45" w:rsidP="003A7172">
      <w:pPr>
        <w:pStyle w:val="Heading3TopofPage"/>
        <w:ind w:left="-142"/>
      </w:pPr>
      <w:r w:rsidRPr="000E40A6" w:rsidDel="006B3E45">
        <w:lastRenderedPageBreak/>
        <w:t xml:space="preserve"> </w:t>
      </w:r>
      <w:r w:rsidR="004525DE" w:rsidRPr="000E40A6">
        <w:t>Output Classes</w:t>
      </w:r>
    </w:p>
    <w:tbl>
      <w:tblPr>
        <w:tblW w:w="9100" w:type="dxa"/>
        <w:tblLook w:val="0000"/>
      </w:tblPr>
      <w:tblGrid>
        <w:gridCol w:w="3588"/>
        <w:gridCol w:w="1378"/>
        <w:gridCol w:w="1378"/>
        <w:gridCol w:w="1378"/>
        <w:gridCol w:w="1378"/>
      </w:tblGrid>
      <w:tr w:rsidR="004525DE" w:rsidTr="00575341">
        <w:tc>
          <w:tcPr>
            <w:tcW w:w="3544" w:type="dxa"/>
            <w:tcBorders>
              <w:top w:val="single" w:sz="4" w:space="0" w:color="auto"/>
            </w:tcBorders>
          </w:tcPr>
          <w:p w:rsidR="004525DE" w:rsidRDefault="004525DE">
            <w:pPr>
              <w:pStyle w:val="Heading2"/>
              <w:spacing w:before="40" w:after="0"/>
              <w:ind w:left="357"/>
              <w:jc w:val="right"/>
              <w:rPr>
                <w:b w:val="0"/>
                <w:bCs/>
                <w:i/>
                <w:iCs/>
              </w:rPr>
            </w:pPr>
          </w:p>
        </w:tc>
        <w:tc>
          <w:tcPr>
            <w:tcW w:w="1361" w:type="dxa"/>
            <w:gridSpan w:val="2"/>
            <w:tcBorders>
              <w:top w:val="single" w:sz="4" w:space="0" w:color="auto"/>
              <w:bottom w:val="single" w:sz="4" w:space="0" w:color="auto"/>
            </w:tcBorders>
          </w:tcPr>
          <w:p w:rsidR="004525DE" w:rsidRDefault="004525DE" w:rsidP="00980701">
            <w:pPr>
              <w:pStyle w:val="Heading2"/>
              <w:spacing w:before="0" w:after="0"/>
            </w:pPr>
            <w:r>
              <w:t>Total Cost</w:t>
            </w:r>
            <w:r w:rsidRPr="00B16C32">
              <w:rPr>
                <w:rFonts w:asciiTheme="minorHAnsi" w:hAnsiTheme="minorHAnsi" w:cstheme="minorHAnsi"/>
                <w:vertAlign w:val="superscript"/>
              </w:rPr>
              <w:t>1</w:t>
            </w:r>
          </w:p>
        </w:tc>
        <w:tc>
          <w:tcPr>
            <w:tcW w:w="1361" w:type="dxa"/>
            <w:gridSpan w:val="2"/>
            <w:tcBorders>
              <w:top w:val="single" w:sz="4" w:space="0" w:color="auto"/>
              <w:bottom w:val="single" w:sz="4" w:space="0" w:color="auto"/>
            </w:tcBorders>
          </w:tcPr>
          <w:p w:rsidR="004525DE" w:rsidRDefault="004525DE" w:rsidP="00980701">
            <w:pPr>
              <w:pStyle w:val="Heading2"/>
              <w:spacing w:before="0" w:after="0"/>
            </w:pPr>
            <w:r>
              <w:t>Government Payment for Outputs</w:t>
            </w:r>
          </w:p>
        </w:tc>
      </w:tr>
      <w:tr w:rsidR="004525DE" w:rsidTr="00575341">
        <w:tc>
          <w:tcPr>
            <w:tcW w:w="3544" w:type="dxa"/>
            <w:tcBorders>
              <w:bottom w:val="single" w:sz="4" w:space="0" w:color="auto"/>
            </w:tcBorders>
          </w:tcPr>
          <w:p w:rsidR="004525DE" w:rsidRDefault="004525DE">
            <w:pPr>
              <w:pStyle w:val="SinglePara"/>
              <w:rPr>
                <w:b/>
                <w:bCs/>
                <w:sz w:val="22"/>
              </w:rPr>
            </w:pPr>
          </w:p>
        </w:tc>
        <w:tc>
          <w:tcPr>
            <w:tcW w:w="1361" w:type="dxa"/>
            <w:tcBorders>
              <w:top w:val="single" w:sz="4" w:space="0" w:color="auto"/>
              <w:bottom w:val="single" w:sz="4" w:space="0" w:color="auto"/>
            </w:tcBorders>
          </w:tcPr>
          <w:p w:rsidR="004525DE" w:rsidRDefault="004525DE" w:rsidP="00806FA3">
            <w:pPr>
              <w:pStyle w:val="Heading6"/>
            </w:pPr>
            <w:r>
              <w:t>20</w:t>
            </w:r>
            <w:r w:rsidR="00CC47E7">
              <w:t>12</w:t>
            </w:r>
            <w:r w:rsidR="00806FA3">
              <w:t>-13</w:t>
            </w:r>
            <w:r>
              <w:br/>
              <w:t>Est. Outcome</w:t>
            </w:r>
            <w:r>
              <w:br/>
              <w:t>$’000</w:t>
            </w:r>
          </w:p>
        </w:tc>
        <w:tc>
          <w:tcPr>
            <w:tcW w:w="1361" w:type="dxa"/>
            <w:tcBorders>
              <w:top w:val="single" w:sz="4" w:space="0" w:color="auto"/>
              <w:bottom w:val="single" w:sz="4" w:space="0" w:color="auto"/>
            </w:tcBorders>
          </w:tcPr>
          <w:p w:rsidR="004525DE" w:rsidRDefault="004525DE" w:rsidP="00806FA3">
            <w:pPr>
              <w:pStyle w:val="Heading6"/>
            </w:pPr>
            <w:r>
              <w:t>20</w:t>
            </w:r>
            <w:r w:rsidR="00CC47E7">
              <w:t>13</w:t>
            </w:r>
            <w:r w:rsidR="00C25CDC">
              <w:t>-14</w:t>
            </w:r>
            <w:r>
              <w:br/>
              <w:t>Budget</w:t>
            </w:r>
            <w:r>
              <w:br/>
              <w:t>$’000</w:t>
            </w:r>
          </w:p>
        </w:tc>
        <w:tc>
          <w:tcPr>
            <w:tcW w:w="1361" w:type="dxa"/>
            <w:tcBorders>
              <w:top w:val="single" w:sz="4" w:space="0" w:color="auto"/>
              <w:bottom w:val="single" w:sz="4" w:space="0" w:color="auto"/>
            </w:tcBorders>
          </w:tcPr>
          <w:p w:rsidR="004525DE" w:rsidRDefault="004525DE" w:rsidP="00C25CDC">
            <w:pPr>
              <w:pStyle w:val="Heading6"/>
            </w:pPr>
            <w:r>
              <w:t>20</w:t>
            </w:r>
            <w:r w:rsidR="00CC47E7">
              <w:t>12</w:t>
            </w:r>
            <w:r w:rsidR="00C25CDC">
              <w:t>-13</w:t>
            </w:r>
            <w:r>
              <w:br/>
              <w:t>Est. Outcome</w:t>
            </w:r>
            <w:r>
              <w:br/>
              <w:t>$’000</w:t>
            </w:r>
          </w:p>
        </w:tc>
        <w:tc>
          <w:tcPr>
            <w:tcW w:w="1361" w:type="dxa"/>
            <w:tcBorders>
              <w:top w:val="single" w:sz="4" w:space="0" w:color="auto"/>
              <w:bottom w:val="single" w:sz="4" w:space="0" w:color="auto"/>
            </w:tcBorders>
          </w:tcPr>
          <w:p w:rsidR="004525DE" w:rsidRDefault="004525DE" w:rsidP="00C25CDC">
            <w:pPr>
              <w:pStyle w:val="Heading6"/>
            </w:pPr>
            <w:r>
              <w:t>20</w:t>
            </w:r>
            <w:r w:rsidR="00CC47E7">
              <w:t>13</w:t>
            </w:r>
            <w:r w:rsidR="00C25CDC">
              <w:t>-14</w:t>
            </w:r>
            <w:r>
              <w:br/>
              <w:t>Budget</w:t>
            </w:r>
            <w:r>
              <w:br/>
              <w:t>$’000</w:t>
            </w:r>
          </w:p>
        </w:tc>
      </w:tr>
      <w:tr w:rsidR="004525DE" w:rsidTr="00575341">
        <w:tc>
          <w:tcPr>
            <w:tcW w:w="3544" w:type="dxa"/>
            <w:tcBorders>
              <w:top w:val="single" w:sz="4" w:space="0" w:color="auto"/>
              <w:bottom w:val="single" w:sz="4" w:space="0" w:color="auto"/>
            </w:tcBorders>
          </w:tcPr>
          <w:p w:rsidR="003A7172" w:rsidRDefault="004525DE" w:rsidP="003A7172">
            <w:pPr>
              <w:pStyle w:val="Heading7"/>
              <w:ind w:left="142" w:hanging="142"/>
            </w:pPr>
            <w:r>
              <w:t>Output Class 1</w:t>
            </w:r>
          </w:p>
          <w:p w:rsidR="004525DE" w:rsidRDefault="004525DE" w:rsidP="003A7172">
            <w:pPr>
              <w:pStyle w:val="Heading7"/>
              <w:ind w:left="142" w:hanging="142"/>
            </w:pPr>
            <w:r>
              <w:t>Financial and Economic Management</w:t>
            </w:r>
          </w:p>
        </w:tc>
        <w:tc>
          <w:tcPr>
            <w:tcW w:w="1361" w:type="dxa"/>
            <w:tcBorders>
              <w:top w:val="single" w:sz="4" w:space="0" w:color="auto"/>
              <w:bottom w:val="single" w:sz="4" w:space="0" w:color="auto"/>
            </w:tcBorders>
            <w:vAlign w:val="bottom"/>
          </w:tcPr>
          <w:p w:rsidR="004525DE" w:rsidRPr="004453E1" w:rsidRDefault="001A48F6" w:rsidP="000C1306">
            <w:pPr>
              <w:pStyle w:val="AITableText"/>
            </w:pPr>
            <w:r w:rsidRPr="004453E1">
              <w:t>12,461</w:t>
            </w:r>
          </w:p>
        </w:tc>
        <w:tc>
          <w:tcPr>
            <w:tcW w:w="1361" w:type="dxa"/>
            <w:tcBorders>
              <w:top w:val="single" w:sz="4" w:space="0" w:color="auto"/>
              <w:bottom w:val="single" w:sz="4" w:space="0" w:color="auto"/>
            </w:tcBorders>
            <w:vAlign w:val="bottom"/>
          </w:tcPr>
          <w:p w:rsidR="004525DE" w:rsidRPr="004453E1" w:rsidRDefault="000C1306" w:rsidP="000C1306">
            <w:pPr>
              <w:pStyle w:val="AITableText"/>
            </w:pPr>
            <w:r w:rsidRPr="004453E1">
              <w:t>n/a</w:t>
            </w:r>
          </w:p>
        </w:tc>
        <w:tc>
          <w:tcPr>
            <w:tcW w:w="1361" w:type="dxa"/>
            <w:tcBorders>
              <w:top w:val="single" w:sz="4" w:space="0" w:color="auto"/>
              <w:bottom w:val="single" w:sz="4" w:space="0" w:color="auto"/>
            </w:tcBorders>
            <w:vAlign w:val="bottom"/>
          </w:tcPr>
          <w:p w:rsidR="004525DE" w:rsidRPr="004453E1" w:rsidRDefault="001A48F6" w:rsidP="000C1306">
            <w:pPr>
              <w:pStyle w:val="AITableText"/>
            </w:pPr>
            <w:r w:rsidRPr="004453E1">
              <w:t>9</w:t>
            </w:r>
            <w:r w:rsidR="00564FCD">
              <w:t>,</w:t>
            </w:r>
            <w:r w:rsidRPr="004453E1">
              <w:t>781</w:t>
            </w:r>
          </w:p>
        </w:tc>
        <w:tc>
          <w:tcPr>
            <w:tcW w:w="1361" w:type="dxa"/>
            <w:tcBorders>
              <w:top w:val="single" w:sz="4" w:space="0" w:color="auto"/>
              <w:bottom w:val="single" w:sz="4" w:space="0" w:color="auto"/>
            </w:tcBorders>
            <w:vAlign w:val="bottom"/>
          </w:tcPr>
          <w:p w:rsidR="004525DE" w:rsidRPr="004453E1" w:rsidRDefault="000C1306" w:rsidP="000C1306">
            <w:pPr>
              <w:pStyle w:val="AITableText"/>
            </w:pPr>
            <w:r w:rsidRPr="004453E1">
              <w:t>n/a</w:t>
            </w:r>
          </w:p>
        </w:tc>
      </w:tr>
      <w:tr w:rsidR="004525DE" w:rsidTr="00575341">
        <w:tc>
          <w:tcPr>
            <w:tcW w:w="3544" w:type="dxa"/>
            <w:tcBorders>
              <w:top w:val="single" w:sz="4" w:space="0" w:color="auto"/>
              <w:bottom w:val="single" w:sz="4" w:space="0" w:color="auto"/>
            </w:tcBorders>
          </w:tcPr>
          <w:p w:rsidR="004525DE" w:rsidRDefault="004525DE">
            <w:pPr>
              <w:pStyle w:val="Heading7"/>
            </w:pPr>
            <w:r>
              <w:t>Output 1.1:  Economic Management</w:t>
            </w:r>
            <w:r w:rsidR="00440016" w:rsidRPr="00440016">
              <w:rPr>
                <w:b w:val="0"/>
                <w:vertAlign w:val="superscript"/>
              </w:rPr>
              <w:t>2</w:t>
            </w:r>
          </w:p>
        </w:tc>
        <w:tc>
          <w:tcPr>
            <w:tcW w:w="1361" w:type="dxa"/>
            <w:tcBorders>
              <w:top w:val="single" w:sz="4" w:space="0" w:color="auto"/>
              <w:bottom w:val="single" w:sz="4" w:space="0" w:color="auto"/>
            </w:tcBorders>
            <w:vAlign w:val="center"/>
          </w:tcPr>
          <w:p w:rsidR="004525DE" w:rsidRPr="004453E1" w:rsidRDefault="001A48F6" w:rsidP="000C1306">
            <w:pPr>
              <w:pStyle w:val="AITableText"/>
            </w:pPr>
            <w:r w:rsidRPr="004453E1">
              <w:t>1,599</w:t>
            </w:r>
          </w:p>
        </w:tc>
        <w:tc>
          <w:tcPr>
            <w:tcW w:w="1361" w:type="dxa"/>
            <w:tcBorders>
              <w:top w:val="single" w:sz="4" w:space="0" w:color="auto"/>
              <w:bottom w:val="single" w:sz="4" w:space="0" w:color="auto"/>
            </w:tcBorders>
            <w:vAlign w:val="center"/>
          </w:tcPr>
          <w:p w:rsidR="004525DE" w:rsidRPr="004453E1" w:rsidRDefault="000C1306" w:rsidP="000C1306">
            <w:pPr>
              <w:pStyle w:val="AITableText"/>
            </w:pPr>
            <w:r w:rsidRPr="004453E1">
              <w:t>n/a</w:t>
            </w:r>
          </w:p>
        </w:tc>
        <w:tc>
          <w:tcPr>
            <w:tcW w:w="1361" w:type="dxa"/>
            <w:tcBorders>
              <w:top w:val="single" w:sz="4" w:space="0" w:color="auto"/>
              <w:bottom w:val="single" w:sz="4" w:space="0" w:color="auto"/>
            </w:tcBorders>
            <w:vAlign w:val="center"/>
          </w:tcPr>
          <w:p w:rsidR="004525DE" w:rsidRPr="004453E1" w:rsidRDefault="001A48F6" w:rsidP="000C1306">
            <w:pPr>
              <w:pStyle w:val="AITableText"/>
            </w:pPr>
            <w:r w:rsidRPr="004453E1">
              <w:t>1,468</w:t>
            </w:r>
          </w:p>
        </w:tc>
        <w:tc>
          <w:tcPr>
            <w:tcW w:w="1361" w:type="dxa"/>
            <w:tcBorders>
              <w:top w:val="single" w:sz="4" w:space="0" w:color="auto"/>
              <w:bottom w:val="single" w:sz="4" w:space="0" w:color="auto"/>
            </w:tcBorders>
            <w:vAlign w:val="center"/>
          </w:tcPr>
          <w:p w:rsidR="004525DE" w:rsidRPr="004453E1" w:rsidRDefault="000C1306" w:rsidP="000C1306">
            <w:pPr>
              <w:pStyle w:val="AITableText"/>
            </w:pPr>
            <w:r w:rsidRPr="004453E1">
              <w:t>n/a</w:t>
            </w:r>
          </w:p>
        </w:tc>
      </w:tr>
    </w:tbl>
    <w:p w:rsidR="004525DE" w:rsidRPr="00212281" w:rsidRDefault="004525DE" w:rsidP="002616E5">
      <w:pPr>
        <w:pStyle w:val="NoteHeading1"/>
      </w:pPr>
      <w:r w:rsidRPr="00212281">
        <w:t>Note</w:t>
      </w:r>
      <w:r w:rsidR="00C476ED">
        <w:t>s</w:t>
      </w:r>
      <w:r w:rsidRPr="00212281">
        <w:t>:</w:t>
      </w:r>
    </w:p>
    <w:p w:rsidR="004525DE" w:rsidRDefault="004525DE" w:rsidP="00864F86">
      <w:pPr>
        <w:pStyle w:val="NoteText"/>
        <w:numPr>
          <w:ilvl w:val="0"/>
          <w:numId w:val="31"/>
        </w:numPr>
      </w:pPr>
      <w:r>
        <w:t>Total cost includes depreciation and amortisation of $</w:t>
      </w:r>
      <w:r w:rsidR="000C1306">
        <w:t>0.150</w:t>
      </w:r>
      <w:r w:rsidR="008268CB">
        <w:t xml:space="preserve"> </w:t>
      </w:r>
      <w:r>
        <w:t>million in 20</w:t>
      </w:r>
      <w:r w:rsidR="004D3632">
        <w:t>12</w:t>
      </w:r>
      <w:r w:rsidR="000C1306">
        <w:t>-13</w:t>
      </w:r>
      <w:r>
        <w:t>.</w:t>
      </w:r>
    </w:p>
    <w:p w:rsidR="007F1098" w:rsidRDefault="007F1098" w:rsidP="00864F86">
      <w:pPr>
        <w:pStyle w:val="NoteText"/>
        <w:numPr>
          <w:ilvl w:val="0"/>
          <w:numId w:val="31"/>
        </w:numPr>
      </w:pPr>
      <w:r>
        <w:t>This output is now reported as CMTD Output 2.1, ‘Economic Management’.</w:t>
      </w:r>
    </w:p>
    <w:p w:rsidR="00EB32D6" w:rsidRPr="00EB32D6" w:rsidRDefault="00EB32D6">
      <w:pPr>
        <w:rPr>
          <w:szCs w:val="24"/>
        </w:rPr>
      </w:pPr>
    </w:p>
    <w:tbl>
      <w:tblPr>
        <w:tblW w:w="9100" w:type="dxa"/>
        <w:tblLayout w:type="fixed"/>
        <w:tblLook w:val="0000"/>
      </w:tblPr>
      <w:tblGrid>
        <w:gridCol w:w="3588"/>
        <w:gridCol w:w="1378"/>
        <w:gridCol w:w="1378"/>
        <w:gridCol w:w="1378"/>
        <w:gridCol w:w="1378"/>
      </w:tblGrid>
      <w:tr w:rsidR="004525DE" w:rsidTr="00575341">
        <w:tc>
          <w:tcPr>
            <w:tcW w:w="3544" w:type="dxa"/>
            <w:tcBorders>
              <w:top w:val="single" w:sz="4" w:space="0" w:color="auto"/>
              <w:left w:val="nil"/>
              <w:bottom w:val="nil"/>
              <w:right w:val="nil"/>
            </w:tcBorders>
          </w:tcPr>
          <w:p w:rsidR="004525DE" w:rsidRDefault="004525DE">
            <w:pPr>
              <w:rPr>
                <w:rFonts w:ascii="Arial" w:hAnsi="Arial" w:cs="Arial"/>
                <w:b/>
                <w:bCs/>
                <w:sz w:val="20"/>
                <w:lang w:val="en-GB"/>
              </w:rPr>
            </w:pPr>
          </w:p>
        </w:tc>
        <w:tc>
          <w:tcPr>
            <w:tcW w:w="1361" w:type="dxa"/>
            <w:gridSpan w:val="2"/>
            <w:tcBorders>
              <w:top w:val="single" w:sz="4" w:space="0" w:color="auto"/>
              <w:left w:val="nil"/>
              <w:bottom w:val="single" w:sz="4" w:space="0" w:color="auto"/>
              <w:right w:val="nil"/>
            </w:tcBorders>
          </w:tcPr>
          <w:p w:rsidR="004525DE" w:rsidRDefault="004525DE" w:rsidP="00980701">
            <w:pPr>
              <w:pStyle w:val="Heading2"/>
              <w:spacing w:before="0" w:after="0"/>
            </w:pPr>
            <w:r>
              <w:t>Total Cost</w:t>
            </w:r>
          </w:p>
        </w:tc>
        <w:tc>
          <w:tcPr>
            <w:tcW w:w="1361" w:type="dxa"/>
            <w:gridSpan w:val="2"/>
            <w:tcBorders>
              <w:top w:val="single" w:sz="4" w:space="0" w:color="auto"/>
              <w:left w:val="nil"/>
              <w:bottom w:val="single" w:sz="4" w:space="0" w:color="auto"/>
              <w:right w:val="nil"/>
            </w:tcBorders>
          </w:tcPr>
          <w:p w:rsidR="004525DE" w:rsidRDefault="004525DE" w:rsidP="00980701">
            <w:pPr>
              <w:pStyle w:val="Heading2"/>
              <w:spacing w:before="0" w:after="0"/>
            </w:pPr>
            <w:r>
              <w:t>Government Payment for Outputs</w:t>
            </w:r>
          </w:p>
        </w:tc>
      </w:tr>
      <w:tr w:rsidR="004525DE" w:rsidTr="00575341">
        <w:tc>
          <w:tcPr>
            <w:tcW w:w="3544" w:type="dxa"/>
            <w:tcBorders>
              <w:top w:val="nil"/>
              <w:left w:val="nil"/>
              <w:bottom w:val="single" w:sz="4" w:space="0" w:color="auto"/>
              <w:right w:val="nil"/>
            </w:tcBorders>
          </w:tcPr>
          <w:p w:rsidR="004525DE" w:rsidRDefault="004525DE">
            <w:pPr>
              <w:rPr>
                <w:rFonts w:ascii="Arial" w:hAnsi="Arial" w:cs="Arial"/>
                <w:sz w:val="20"/>
                <w:lang w:val="en-GB"/>
              </w:rPr>
            </w:pPr>
          </w:p>
        </w:tc>
        <w:tc>
          <w:tcPr>
            <w:tcW w:w="1361" w:type="dxa"/>
            <w:tcBorders>
              <w:top w:val="single" w:sz="4" w:space="0" w:color="auto"/>
              <w:left w:val="nil"/>
              <w:bottom w:val="single" w:sz="4" w:space="0" w:color="auto"/>
              <w:right w:val="nil"/>
            </w:tcBorders>
          </w:tcPr>
          <w:p w:rsidR="004525DE" w:rsidRDefault="004525DE" w:rsidP="00C25CDC">
            <w:pPr>
              <w:pStyle w:val="Heading6"/>
            </w:pPr>
            <w:r>
              <w:t>20</w:t>
            </w:r>
            <w:r w:rsidR="00CC47E7">
              <w:t>12</w:t>
            </w:r>
            <w:r w:rsidR="00C25CDC">
              <w:t>-13</w:t>
            </w:r>
            <w:r>
              <w:br/>
              <w:t>Est. Outcome</w:t>
            </w:r>
            <w:r>
              <w:br/>
              <w:t>$’000</w:t>
            </w:r>
          </w:p>
        </w:tc>
        <w:tc>
          <w:tcPr>
            <w:tcW w:w="1361" w:type="dxa"/>
            <w:tcBorders>
              <w:top w:val="single" w:sz="4" w:space="0" w:color="auto"/>
              <w:left w:val="nil"/>
              <w:bottom w:val="single" w:sz="4" w:space="0" w:color="auto"/>
              <w:right w:val="nil"/>
            </w:tcBorders>
          </w:tcPr>
          <w:p w:rsidR="004525DE" w:rsidRDefault="004525DE" w:rsidP="00C25CDC">
            <w:pPr>
              <w:pStyle w:val="Heading6"/>
            </w:pPr>
            <w:r>
              <w:t>20</w:t>
            </w:r>
            <w:r w:rsidR="00CC47E7">
              <w:t>13</w:t>
            </w:r>
            <w:r w:rsidR="00C25CDC">
              <w:t>-14</w:t>
            </w:r>
            <w:r>
              <w:br/>
              <w:t>Budget</w:t>
            </w:r>
            <w:r>
              <w:br/>
              <w:t>$’000</w:t>
            </w:r>
          </w:p>
        </w:tc>
        <w:tc>
          <w:tcPr>
            <w:tcW w:w="1361" w:type="dxa"/>
            <w:tcBorders>
              <w:top w:val="single" w:sz="4" w:space="0" w:color="auto"/>
              <w:left w:val="nil"/>
              <w:bottom w:val="single" w:sz="4" w:space="0" w:color="auto"/>
              <w:right w:val="nil"/>
            </w:tcBorders>
          </w:tcPr>
          <w:p w:rsidR="004525DE" w:rsidRDefault="004525DE" w:rsidP="00C25CDC">
            <w:pPr>
              <w:pStyle w:val="Heading6"/>
            </w:pPr>
            <w:r>
              <w:t>20</w:t>
            </w:r>
            <w:r w:rsidR="00CC47E7">
              <w:t>12</w:t>
            </w:r>
            <w:r w:rsidR="00C25CDC">
              <w:t>-13</w:t>
            </w:r>
            <w:r>
              <w:br/>
              <w:t>Est. Outcome</w:t>
            </w:r>
            <w:r>
              <w:br/>
              <w:t>$’000</w:t>
            </w:r>
          </w:p>
        </w:tc>
        <w:tc>
          <w:tcPr>
            <w:tcW w:w="1361" w:type="dxa"/>
            <w:tcBorders>
              <w:top w:val="single" w:sz="4" w:space="0" w:color="auto"/>
              <w:left w:val="nil"/>
              <w:bottom w:val="single" w:sz="4" w:space="0" w:color="auto"/>
              <w:right w:val="nil"/>
            </w:tcBorders>
          </w:tcPr>
          <w:p w:rsidR="004525DE" w:rsidRDefault="004525DE" w:rsidP="00C25CDC">
            <w:pPr>
              <w:pStyle w:val="Heading6"/>
            </w:pPr>
            <w:r>
              <w:t>20</w:t>
            </w:r>
            <w:r w:rsidR="00CC47E7">
              <w:t>13</w:t>
            </w:r>
            <w:r w:rsidR="00C25CDC">
              <w:t>-14</w:t>
            </w:r>
            <w:r>
              <w:br/>
              <w:t>Budget</w:t>
            </w:r>
            <w:r>
              <w:br/>
              <w:t>$’000</w:t>
            </w:r>
          </w:p>
        </w:tc>
      </w:tr>
      <w:tr w:rsidR="004525DE" w:rsidTr="00575341">
        <w:tblPrEx>
          <w:tblBorders>
            <w:top w:val="single" w:sz="12" w:space="0" w:color="auto"/>
            <w:bottom w:val="single" w:sz="12" w:space="0" w:color="auto"/>
          </w:tblBorders>
        </w:tblPrEx>
        <w:tc>
          <w:tcPr>
            <w:tcW w:w="3544" w:type="dxa"/>
            <w:tcBorders>
              <w:top w:val="single" w:sz="4" w:space="0" w:color="auto"/>
              <w:left w:val="nil"/>
              <w:bottom w:val="single" w:sz="4" w:space="0" w:color="auto"/>
              <w:right w:val="nil"/>
            </w:tcBorders>
          </w:tcPr>
          <w:p w:rsidR="004525DE" w:rsidRDefault="004525DE" w:rsidP="00980701">
            <w:pPr>
              <w:pStyle w:val="Heading7"/>
              <w:keepNext w:val="0"/>
              <w:rPr>
                <w:rFonts w:ascii="Arial" w:hAnsi="Arial" w:cs="Arial"/>
              </w:rPr>
            </w:pPr>
            <w:r>
              <w:t>Output 1.2:  Financial Management</w:t>
            </w:r>
            <w:r w:rsidR="00440016" w:rsidRPr="00440016">
              <w:rPr>
                <w:b w:val="0"/>
                <w:vertAlign w:val="superscript"/>
              </w:rPr>
              <w:t>1</w:t>
            </w:r>
          </w:p>
        </w:tc>
        <w:tc>
          <w:tcPr>
            <w:tcW w:w="1361" w:type="dxa"/>
            <w:tcBorders>
              <w:top w:val="single" w:sz="4" w:space="0" w:color="auto"/>
              <w:left w:val="nil"/>
              <w:bottom w:val="single" w:sz="4" w:space="0" w:color="auto"/>
              <w:right w:val="nil"/>
            </w:tcBorders>
            <w:vAlign w:val="center"/>
          </w:tcPr>
          <w:p w:rsidR="004525DE" w:rsidRDefault="001A48F6" w:rsidP="000C1306">
            <w:pPr>
              <w:pStyle w:val="AITableText"/>
              <w:rPr>
                <w:szCs w:val="20"/>
              </w:rPr>
            </w:pPr>
            <w:r>
              <w:rPr>
                <w:szCs w:val="20"/>
              </w:rPr>
              <w:t>5,331</w:t>
            </w:r>
          </w:p>
        </w:tc>
        <w:tc>
          <w:tcPr>
            <w:tcW w:w="1361" w:type="dxa"/>
            <w:tcBorders>
              <w:top w:val="single" w:sz="4" w:space="0" w:color="auto"/>
              <w:left w:val="nil"/>
              <w:bottom w:val="single" w:sz="4" w:space="0" w:color="auto"/>
              <w:right w:val="nil"/>
            </w:tcBorders>
            <w:vAlign w:val="center"/>
          </w:tcPr>
          <w:p w:rsidR="004525DE" w:rsidRDefault="000C1306" w:rsidP="000C1306">
            <w:pPr>
              <w:pStyle w:val="AITableText"/>
              <w:rPr>
                <w:szCs w:val="20"/>
              </w:rPr>
            </w:pPr>
            <w:r>
              <w:rPr>
                <w:szCs w:val="20"/>
              </w:rPr>
              <w:t>n/a</w:t>
            </w:r>
          </w:p>
        </w:tc>
        <w:tc>
          <w:tcPr>
            <w:tcW w:w="1361" w:type="dxa"/>
            <w:tcBorders>
              <w:top w:val="single" w:sz="4" w:space="0" w:color="auto"/>
              <w:left w:val="nil"/>
              <w:bottom w:val="single" w:sz="4" w:space="0" w:color="auto"/>
              <w:right w:val="nil"/>
            </w:tcBorders>
            <w:vAlign w:val="center"/>
          </w:tcPr>
          <w:p w:rsidR="004525DE" w:rsidRDefault="001A48F6" w:rsidP="000C1306">
            <w:pPr>
              <w:pStyle w:val="AITableText"/>
              <w:rPr>
                <w:szCs w:val="20"/>
              </w:rPr>
            </w:pPr>
            <w:r>
              <w:rPr>
                <w:szCs w:val="20"/>
              </w:rPr>
              <w:t>3,625</w:t>
            </w:r>
          </w:p>
        </w:tc>
        <w:tc>
          <w:tcPr>
            <w:tcW w:w="1361" w:type="dxa"/>
            <w:tcBorders>
              <w:top w:val="single" w:sz="4" w:space="0" w:color="auto"/>
              <w:left w:val="nil"/>
              <w:bottom w:val="single" w:sz="4" w:space="0" w:color="auto"/>
              <w:right w:val="nil"/>
            </w:tcBorders>
            <w:vAlign w:val="center"/>
          </w:tcPr>
          <w:p w:rsidR="004525DE" w:rsidRDefault="000C1306" w:rsidP="000C1306">
            <w:pPr>
              <w:pStyle w:val="AITableText"/>
              <w:rPr>
                <w:szCs w:val="20"/>
              </w:rPr>
            </w:pPr>
            <w:r>
              <w:rPr>
                <w:szCs w:val="20"/>
              </w:rPr>
              <w:t>n/a</w:t>
            </w:r>
          </w:p>
        </w:tc>
      </w:tr>
    </w:tbl>
    <w:p w:rsidR="009073A7" w:rsidRPr="00212281" w:rsidRDefault="009073A7" w:rsidP="002616E5">
      <w:pPr>
        <w:pStyle w:val="NoteHeading1"/>
      </w:pPr>
      <w:r w:rsidRPr="00212281">
        <w:t>Note:</w:t>
      </w:r>
    </w:p>
    <w:p w:rsidR="00440016" w:rsidRDefault="009073A7" w:rsidP="00440016">
      <w:pPr>
        <w:pStyle w:val="NoteText"/>
        <w:numPr>
          <w:ilvl w:val="0"/>
          <w:numId w:val="34"/>
        </w:numPr>
      </w:pPr>
      <w:r>
        <w:t>This output is now reported as CMTD Output 2.</w:t>
      </w:r>
      <w:r w:rsidR="00291481">
        <w:t>2</w:t>
      </w:r>
      <w:r>
        <w:t>, ‘Financial Management’.</w:t>
      </w:r>
    </w:p>
    <w:p w:rsidR="004D3632" w:rsidRPr="00EB32D6" w:rsidRDefault="004D3632">
      <w:pPr>
        <w:pStyle w:val="Heading3TopofPage"/>
        <w:rPr>
          <w:b w:val="0"/>
        </w:rPr>
      </w:pPr>
    </w:p>
    <w:tbl>
      <w:tblPr>
        <w:tblW w:w="9100" w:type="dxa"/>
        <w:tblLayout w:type="fixed"/>
        <w:tblLook w:val="0000"/>
      </w:tblPr>
      <w:tblGrid>
        <w:gridCol w:w="3588"/>
        <w:gridCol w:w="1378"/>
        <w:gridCol w:w="1378"/>
        <w:gridCol w:w="1378"/>
        <w:gridCol w:w="1378"/>
      </w:tblGrid>
      <w:tr w:rsidR="004525DE" w:rsidTr="00575341">
        <w:tc>
          <w:tcPr>
            <w:tcW w:w="3544" w:type="dxa"/>
            <w:tcBorders>
              <w:top w:val="single" w:sz="4" w:space="0" w:color="auto"/>
              <w:left w:val="nil"/>
              <w:bottom w:val="nil"/>
              <w:right w:val="nil"/>
            </w:tcBorders>
          </w:tcPr>
          <w:p w:rsidR="004525DE" w:rsidRDefault="004525DE">
            <w:pPr>
              <w:rPr>
                <w:rFonts w:ascii="Arial" w:hAnsi="Arial" w:cs="Arial"/>
                <w:b/>
                <w:bCs/>
                <w:sz w:val="20"/>
                <w:lang w:val="en-GB"/>
              </w:rPr>
            </w:pPr>
            <w:bookmarkStart w:id="0" w:name="_Hlk193709487"/>
            <w:r>
              <w:br w:type="page"/>
            </w:r>
          </w:p>
        </w:tc>
        <w:tc>
          <w:tcPr>
            <w:tcW w:w="1361" w:type="dxa"/>
            <w:gridSpan w:val="2"/>
            <w:tcBorders>
              <w:top w:val="single" w:sz="4" w:space="0" w:color="auto"/>
              <w:left w:val="nil"/>
              <w:bottom w:val="single" w:sz="4" w:space="0" w:color="auto"/>
              <w:right w:val="nil"/>
            </w:tcBorders>
          </w:tcPr>
          <w:p w:rsidR="004525DE" w:rsidRDefault="004525DE">
            <w:pPr>
              <w:pStyle w:val="Heading2"/>
            </w:pPr>
            <w:r>
              <w:t>Total Cost</w:t>
            </w:r>
          </w:p>
        </w:tc>
        <w:tc>
          <w:tcPr>
            <w:tcW w:w="1361" w:type="dxa"/>
            <w:gridSpan w:val="2"/>
            <w:tcBorders>
              <w:top w:val="single" w:sz="4" w:space="0" w:color="auto"/>
              <w:left w:val="nil"/>
              <w:bottom w:val="single" w:sz="4" w:space="0" w:color="auto"/>
              <w:right w:val="nil"/>
            </w:tcBorders>
          </w:tcPr>
          <w:p w:rsidR="004525DE" w:rsidRDefault="004525DE">
            <w:pPr>
              <w:pStyle w:val="Heading2"/>
            </w:pPr>
            <w:r>
              <w:t>Government Payment for Outputs</w:t>
            </w:r>
          </w:p>
        </w:tc>
      </w:tr>
      <w:tr w:rsidR="004525DE" w:rsidTr="00575341">
        <w:tc>
          <w:tcPr>
            <w:tcW w:w="3544" w:type="dxa"/>
            <w:tcBorders>
              <w:top w:val="nil"/>
              <w:left w:val="nil"/>
              <w:bottom w:val="single" w:sz="4" w:space="0" w:color="auto"/>
              <w:right w:val="nil"/>
            </w:tcBorders>
          </w:tcPr>
          <w:p w:rsidR="004525DE" w:rsidRDefault="004525DE">
            <w:pPr>
              <w:rPr>
                <w:rFonts w:ascii="Arial" w:hAnsi="Arial" w:cs="Arial"/>
                <w:sz w:val="20"/>
                <w:lang w:val="en-GB"/>
              </w:rPr>
            </w:pPr>
          </w:p>
        </w:tc>
        <w:tc>
          <w:tcPr>
            <w:tcW w:w="1361" w:type="dxa"/>
            <w:tcBorders>
              <w:top w:val="single" w:sz="4" w:space="0" w:color="auto"/>
              <w:left w:val="nil"/>
              <w:bottom w:val="single" w:sz="4" w:space="0" w:color="auto"/>
              <w:right w:val="nil"/>
            </w:tcBorders>
          </w:tcPr>
          <w:p w:rsidR="004525DE" w:rsidRDefault="004525DE" w:rsidP="00C25CDC">
            <w:pPr>
              <w:pStyle w:val="Heading6"/>
            </w:pPr>
            <w:r>
              <w:t>20</w:t>
            </w:r>
            <w:r w:rsidR="00CC47E7">
              <w:t>12</w:t>
            </w:r>
            <w:r w:rsidR="00C25CDC">
              <w:t>-13</w:t>
            </w:r>
            <w:r>
              <w:br/>
              <w:t>Est. Outcome</w:t>
            </w:r>
            <w:r>
              <w:br/>
              <w:t>$’000</w:t>
            </w:r>
          </w:p>
        </w:tc>
        <w:tc>
          <w:tcPr>
            <w:tcW w:w="1361" w:type="dxa"/>
            <w:tcBorders>
              <w:top w:val="single" w:sz="4" w:space="0" w:color="auto"/>
              <w:left w:val="nil"/>
              <w:bottom w:val="single" w:sz="4" w:space="0" w:color="auto"/>
              <w:right w:val="nil"/>
            </w:tcBorders>
          </w:tcPr>
          <w:p w:rsidR="004525DE" w:rsidRDefault="004525DE" w:rsidP="00C25CDC">
            <w:pPr>
              <w:pStyle w:val="Heading6"/>
            </w:pPr>
            <w:r>
              <w:t>20</w:t>
            </w:r>
            <w:r w:rsidR="00CC47E7">
              <w:t>13</w:t>
            </w:r>
            <w:r w:rsidR="00C25CDC">
              <w:t>-14</w:t>
            </w:r>
            <w:r>
              <w:br/>
              <w:t>Budget</w:t>
            </w:r>
            <w:r>
              <w:br/>
              <w:t>$’000</w:t>
            </w:r>
          </w:p>
        </w:tc>
        <w:tc>
          <w:tcPr>
            <w:tcW w:w="1361" w:type="dxa"/>
            <w:tcBorders>
              <w:top w:val="single" w:sz="4" w:space="0" w:color="auto"/>
              <w:left w:val="nil"/>
              <w:bottom w:val="single" w:sz="4" w:space="0" w:color="auto"/>
              <w:right w:val="nil"/>
            </w:tcBorders>
          </w:tcPr>
          <w:p w:rsidR="004525DE" w:rsidRDefault="004525DE" w:rsidP="00C25CDC">
            <w:pPr>
              <w:pStyle w:val="Heading6"/>
            </w:pPr>
            <w:r>
              <w:t>20</w:t>
            </w:r>
            <w:r w:rsidR="00CC47E7">
              <w:t>12</w:t>
            </w:r>
            <w:r w:rsidR="00C25CDC">
              <w:t>-13</w:t>
            </w:r>
            <w:r>
              <w:br/>
              <w:t>Est. Outcome</w:t>
            </w:r>
            <w:r>
              <w:br/>
              <w:t>$’000</w:t>
            </w:r>
          </w:p>
        </w:tc>
        <w:tc>
          <w:tcPr>
            <w:tcW w:w="1361" w:type="dxa"/>
            <w:tcBorders>
              <w:top w:val="single" w:sz="4" w:space="0" w:color="auto"/>
              <w:left w:val="nil"/>
              <w:bottom w:val="single" w:sz="4" w:space="0" w:color="auto"/>
              <w:right w:val="nil"/>
            </w:tcBorders>
          </w:tcPr>
          <w:p w:rsidR="004525DE" w:rsidRDefault="004525DE" w:rsidP="00C25CDC">
            <w:pPr>
              <w:pStyle w:val="Heading6"/>
            </w:pPr>
            <w:r>
              <w:t>20</w:t>
            </w:r>
            <w:r w:rsidR="00CC47E7">
              <w:t>13</w:t>
            </w:r>
            <w:r w:rsidR="00C25CDC">
              <w:t>-14</w:t>
            </w:r>
            <w:r>
              <w:br/>
              <w:t>Budget</w:t>
            </w:r>
            <w:r>
              <w:br/>
              <w:t>$’000</w:t>
            </w:r>
          </w:p>
        </w:tc>
      </w:tr>
      <w:tr w:rsidR="004525DE" w:rsidTr="00575341">
        <w:tc>
          <w:tcPr>
            <w:tcW w:w="3544" w:type="dxa"/>
            <w:tcBorders>
              <w:top w:val="single" w:sz="4" w:space="0" w:color="auto"/>
              <w:left w:val="nil"/>
              <w:bottom w:val="single" w:sz="4" w:space="0" w:color="auto"/>
              <w:right w:val="nil"/>
            </w:tcBorders>
          </w:tcPr>
          <w:p w:rsidR="004525DE" w:rsidRDefault="004525DE">
            <w:pPr>
              <w:pStyle w:val="Heading7"/>
              <w:keepNext w:val="0"/>
            </w:pPr>
            <w:r>
              <w:t>Output 1.3:  Revenue Management</w:t>
            </w:r>
            <w:r w:rsidR="00440016" w:rsidRPr="00440016">
              <w:rPr>
                <w:b w:val="0"/>
                <w:vertAlign w:val="superscript"/>
              </w:rPr>
              <w:t>1</w:t>
            </w:r>
          </w:p>
        </w:tc>
        <w:tc>
          <w:tcPr>
            <w:tcW w:w="1361" w:type="dxa"/>
            <w:tcBorders>
              <w:top w:val="single" w:sz="4" w:space="0" w:color="auto"/>
              <w:left w:val="nil"/>
              <w:bottom w:val="single" w:sz="4" w:space="0" w:color="auto"/>
              <w:right w:val="nil"/>
            </w:tcBorders>
            <w:vAlign w:val="center"/>
          </w:tcPr>
          <w:p w:rsidR="004525DE" w:rsidRDefault="001A48F6" w:rsidP="000C1306">
            <w:pPr>
              <w:pStyle w:val="AITableText"/>
              <w:rPr>
                <w:szCs w:val="20"/>
              </w:rPr>
            </w:pPr>
            <w:r>
              <w:rPr>
                <w:szCs w:val="20"/>
              </w:rPr>
              <w:t>5,531</w:t>
            </w:r>
          </w:p>
        </w:tc>
        <w:tc>
          <w:tcPr>
            <w:tcW w:w="1361" w:type="dxa"/>
            <w:tcBorders>
              <w:top w:val="single" w:sz="4" w:space="0" w:color="auto"/>
              <w:left w:val="nil"/>
              <w:bottom w:val="single" w:sz="4" w:space="0" w:color="auto"/>
              <w:right w:val="nil"/>
            </w:tcBorders>
            <w:vAlign w:val="center"/>
          </w:tcPr>
          <w:p w:rsidR="004525DE" w:rsidRDefault="000C1306" w:rsidP="000C1306">
            <w:pPr>
              <w:pStyle w:val="AITableText"/>
              <w:rPr>
                <w:szCs w:val="20"/>
              </w:rPr>
            </w:pPr>
            <w:r>
              <w:rPr>
                <w:szCs w:val="20"/>
              </w:rPr>
              <w:t>n/a</w:t>
            </w:r>
          </w:p>
        </w:tc>
        <w:tc>
          <w:tcPr>
            <w:tcW w:w="1361" w:type="dxa"/>
            <w:tcBorders>
              <w:top w:val="single" w:sz="4" w:space="0" w:color="auto"/>
              <w:left w:val="nil"/>
              <w:bottom w:val="single" w:sz="4" w:space="0" w:color="auto"/>
              <w:right w:val="nil"/>
            </w:tcBorders>
            <w:vAlign w:val="center"/>
          </w:tcPr>
          <w:p w:rsidR="004525DE" w:rsidRDefault="001A48F6" w:rsidP="000C1306">
            <w:pPr>
              <w:pStyle w:val="AITableText"/>
              <w:rPr>
                <w:szCs w:val="20"/>
              </w:rPr>
            </w:pPr>
            <w:r>
              <w:rPr>
                <w:szCs w:val="20"/>
              </w:rPr>
              <w:t>4,688</w:t>
            </w:r>
          </w:p>
        </w:tc>
        <w:tc>
          <w:tcPr>
            <w:tcW w:w="1361" w:type="dxa"/>
            <w:tcBorders>
              <w:top w:val="single" w:sz="4" w:space="0" w:color="auto"/>
              <w:left w:val="nil"/>
              <w:bottom w:val="single" w:sz="4" w:space="0" w:color="auto"/>
              <w:right w:val="nil"/>
            </w:tcBorders>
            <w:vAlign w:val="center"/>
          </w:tcPr>
          <w:p w:rsidR="004525DE" w:rsidRDefault="000C1306" w:rsidP="000C1306">
            <w:pPr>
              <w:pStyle w:val="AITableText"/>
              <w:rPr>
                <w:szCs w:val="20"/>
              </w:rPr>
            </w:pPr>
            <w:r>
              <w:rPr>
                <w:szCs w:val="20"/>
              </w:rPr>
              <w:t>n/a</w:t>
            </w:r>
          </w:p>
        </w:tc>
      </w:tr>
    </w:tbl>
    <w:p w:rsidR="00291481" w:rsidRPr="00212281" w:rsidRDefault="00291481" w:rsidP="002616E5">
      <w:pPr>
        <w:pStyle w:val="NoteHeading1"/>
      </w:pPr>
      <w:bookmarkStart w:id="1" w:name="OLE_LINK1"/>
      <w:bookmarkEnd w:id="0"/>
      <w:r w:rsidRPr="00212281">
        <w:t>Note:</w:t>
      </w:r>
    </w:p>
    <w:p w:rsidR="00440016" w:rsidRDefault="00291481" w:rsidP="00440016">
      <w:pPr>
        <w:pStyle w:val="NoteText"/>
        <w:numPr>
          <w:ilvl w:val="0"/>
          <w:numId w:val="35"/>
        </w:numPr>
      </w:pPr>
      <w:r>
        <w:t>This output is now reported as CWD Output 5.1, ‘Revenue Management’.</w:t>
      </w:r>
    </w:p>
    <w:bookmarkEnd w:id="1"/>
    <w:p w:rsidR="00EB32D6" w:rsidRDefault="00EB32D6">
      <w:pPr>
        <w:pStyle w:val="Heading3TopofPage"/>
      </w:pPr>
    </w:p>
    <w:p w:rsidR="00EB32D6" w:rsidRDefault="00EB32D6">
      <w:pPr>
        <w:rPr>
          <w:rFonts w:ascii="Arial" w:hAnsi="Arial"/>
          <w:b/>
          <w:bCs/>
          <w:szCs w:val="26"/>
          <w:lang w:eastAsia="en-AU"/>
        </w:rPr>
      </w:pPr>
      <w:r>
        <w:br w:type="page"/>
      </w:r>
    </w:p>
    <w:p w:rsidR="004525DE" w:rsidRDefault="004525DE">
      <w:pPr>
        <w:pStyle w:val="Heading3TopofPage"/>
      </w:pPr>
      <w:r>
        <w:lastRenderedPageBreak/>
        <w:t>Accountability Indicators</w:t>
      </w:r>
    </w:p>
    <w:tbl>
      <w:tblPr>
        <w:tblW w:w="9356" w:type="dxa"/>
        <w:tblLook w:val="0000"/>
      </w:tblPr>
      <w:tblGrid>
        <w:gridCol w:w="4931"/>
        <w:gridCol w:w="1473"/>
        <w:gridCol w:w="1479"/>
        <w:gridCol w:w="1473"/>
      </w:tblGrid>
      <w:tr w:rsidR="004525DE">
        <w:trPr>
          <w:cantSplit/>
        </w:trPr>
        <w:tc>
          <w:tcPr>
            <w:tcW w:w="4931" w:type="dxa"/>
            <w:tcBorders>
              <w:top w:val="single" w:sz="4" w:space="0" w:color="auto"/>
              <w:bottom w:val="single" w:sz="4" w:space="0" w:color="auto"/>
            </w:tcBorders>
          </w:tcPr>
          <w:p w:rsidR="004525DE" w:rsidRDefault="004525DE">
            <w:pPr>
              <w:pStyle w:val="Heading7"/>
            </w:pPr>
          </w:p>
        </w:tc>
        <w:tc>
          <w:tcPr>
            <w:tcW w:w="1473" w:type="dxa"/>
            <w:tcBorders>
              <w:top w:val="single" w:sz="4" w:space="0" w:color="auto"/>
              <w:bottom w:val="single" w:sz="4" w:space="0" w:color="auto"/>
            </w:tcBorders>
          </w:tcPr>
          <w:p w:rsidR="00673E97" w:rsidRDefault="00673E97" w:rsidP="00673E97">
            <w:pPr>
              <w:pStyle w:val="Heading6"/>
            </w:pPr>
            <w:r>
              <w:t>20</w:t>
            </w:r>
            <w:r w:rsidR="000C6B92">
              <w:t>12</w:t>
            </w:r>
            <w:r w:rsidR="00C25CDC">
              <w:t>-13</w:t>
            </w:r>
          </w:p>
          <w:p w:rsidR="004525DE" w:rsidRDefault="00673E97" w:rsidP="00673E97">
            <w:pPr>
              <w:pStyle w:val="Heading6"/>
            </w:pPr>
            <w:r>
              <w:t>Targets</w:t>
            </w:r>
          </w:p>
        </w:tc>
        <w:tc>
          <w:tcPr>
            <w:tcW w:w="1479" w:type="dxa"/>
            <w:tcBorders>
              <w:top w:val="single" w:sz="4" w:space="0" w:color="auto"/>
              <w:bottom w:val="single" w:sz="4" w:space="0" w:color="auto"/>
            </w:tcBorders>
          </w:tcPr>
          <w:p w:rsidR="004525DE" w:rsidRDefault="004525DE">
            <w:pPr>
              <w:pStyle w:val="Heading6"/>
            </w:pPr>
            <w:r>
              <w:t>20</w:t>
            </w:r>
            <w:r w:rsidR="000C6B92">
              <w:t>12</w:t>
            </w:r>
            <w:r w:rsidR="00C25CDC">
              <w:t>-13</w:t>
            </w:r>
          </w:p>
          <w:p w:rsidR="004525DE" w:rsidRDefault="004525DE">
            <w:pPr>
              <w:pStyle w:val="Heading6"/>
            </w:pPr>
            <w:r>
              <w:t>Est. Outcome</w:t>
            </w:r>
            <w:r w:rsidR="00C25CDC" w:rsidRPr="00C25CDC">
              <w:rPr>
                <w:vertAlign w:val="superscript"/>
              </w:rPr>
              <w:t>1</w:t>
            </w:r>
          </w:p>
        </w:tc>
        <w:tc>
          <w:tcPr>
            <w:tcW w:w="1473" w:type="dxa"/>
            <w:tcBorders>
              <w:top w:val="single" w:sz="4" w:space="0" w:color="auto"/>
              <w:bottom w:val="single" w:sz="4" w:space="0" w:color="auto"/>
            </w:tcBorders>
          </w:tcPr>
          <w:p w:rsidR="004525DE" w:rsidRDefault="004525DE">
            <w:pPr>
              <w:pStyle w:val="Heading6"/>
            </w:pPr>
            <w:r>
              <w:t>20</w:t>
            </w:r>
            <w:r w:rsidR="000C6B92">
              <w:t>13</w:t>
            </w:r>
            <w:r w:rsidR="00C25CDC">
              <w:t>-14</w:t>
            </w:r>
          </w:p>
          <w:p w:rsidR="004525DE" w:rsidRDefault="004525DE">
            <w:pPr>
              <w:pStyle w:val="Heading6"/>
            </w:pPr>
            <w:r>
              <w:t>Targets</w:t>
            </w:r>
          </w:p>
        </w:tc>
      </w:tr>
      <w:tr w:rsidR="004525DE">
        <w:trPr>
          <w:cantSplit/>
        </w:trPr>
        <w:tc>
          <w:tcPr>
            <w:tcW w:w="9356" w:type="dxa"/>
            <w:gridSpan w:val="4"/>
            <w:tcBorders>
              <w:top w:val="single" w:sz="4" w:space="0" w:color="auto"/>
              <w:bottom w:val="single" w:sz="4" w:space="0" w:color="auto"/>
            </w:tcBorders>
            <w:vAlign w:val="bottom"/>
          </w:tcPr>
          <w:p w:rsidR="004525DE" w:rsidRDefault="004525DE">
            <w:pPr>
              <w:pStyle w:val="Heading7"/>
              <w:rPr>
                <w:rFonts w:ascii="Times New Roman Bold" w:hAnsi="Times New Roman Bold"/>
                <w:vertAlign w:val="superscript"/>
              </w:rPr>
            </w:pPr>
            <w:r>
              <w:t>Output Class 1:  Financial and Economic Management</w:t>
            </w:r>
          </w:p>
        </w:tc>
      </w:tr>
      <w:tr w:rsidR="004525DE">
        <w:trPr>
          <w:cantSplit/>
        </w:trPr>
        <w:tc>
          <w:tcPr>
            <w:tcW w:w="9356" w:type="dxa"/>
            <w:gridSpan w:val="4"/>
            <w:tcBorders>
              <w:top w:val="single" w:sz="4" w:space="0" w:color="auto"/>
              <w:bottom w:val="single" w:sz="4" w:space="0" w:color="auto"/>
            </w:tcBorders>
            <w:vAlign w:val="bottom"/>
          </w:tcPr>
          <w:p w:rsidR="004525DE" w:rsidRDefault="004525DE">
            <w:pPr>
              <w:pStyle w:val="Heading7"/>
            </w:pPr>
            <w:r>
              <w:t>Output 1.1:  Economic Management</w:t>
            </w:r>
            <w:r w:rsidR="00440016" w:rsidRPr="00440016">
              <w:rPr>
                <w:b w:val="0"/>
                <w:vertAlign w:val="superscript"/>
              </w:rPr>
              <w:t>2</w:t>
            </w:r>
          </w:p>
        </w:tc>
      </w:tr>
      <w:tr w:rsidR="00232397" w:rsidRPr="00232397">
        <w:trPr>
          <w:cantSplit/>
        </w:trPr>
        <w:tc>
          <w:tcPr>
            <w:tcW w:w="4931" w:type="dxa"/>
          </w:tcPr>
          <w:p w:rsidR="00232397" w:rsidRPr="00232397" w:rsidRDefault="00232397" w:rsidP="00232397">
            <w:pPr>
              <w:pStyle w:val="Tabletextindenta"/>
              <w:numPr>
                <w:ilvl w:val="0"/>
                <w:numId w:val="0"/>
              </w:numPr>
              <w:ind w:left="357"/>
              <w:rPr>
                <w:sz w:val="8"/>
                <w:szCs w:val="8"/>
              </w:rPr>
            </w:pPr>
          </w:p>
        </w:tc>
        <w:tc>
          <w:tcPr>
            <w:tcW w:w="1473" w:type="dxa"/>
          </w:tcPr>
          <w:p w:rsidR="00232397" w:rsidRPr="00232397" w:rsidRDefault="00232397" w:rsidP="004525DE">
            <w:pPr>
              <w:pStyle w:val="TableTextRight"/>
              <w:spacing w:before="40" w:after="40"/>
              <w:rPr>
                <w:sz w:val="8"/>
                <w:szCs w:val="8"/>
              </w:rPr>
            </w:pPr>
          </w:p>
        </w:tc>
        <w:tc>
          <w:tcPr>
            <w:tcW w:w="1479" w:type="dxa"/>
          </w:tcPr>
          <w:p w:rsidR="00232397" w:rsidRPr="00232397" w:rsidRDefault="00232397">
            <w:pPr>
              <w:pStyle w:val="TableTextRight"/>
              <w:spacing w:before="40" w:after="40"/>
              <w:rPr>
                <w:sz w:val="8"/>
                <w:szCs w:val="8"/>
              </w:rPr>
            </w:pPr>
          </w:p>
        </w:tc>
        <w:tc>
          <w:tcPr>
            <w:tcW w:w="1473" w:type="dxa"/>
          </w:tcPr>
          <w:p w:rsidR="00232397" w:rsidRPr="00232397" w:rsidRDefault="00232397" w:rsidP="000C6B92">
            <w:pPr>
              <w:pStyle w:val="TableTextRight"/>
              <w:spacing w:before="40" w:after="40"/>
              <w:rPr>
                <w:sz w:val="8"/>
                <w:szCs w:val="8"/>
              </w:rPr>
            </w:pPr>
          </w:p>
        </w:tc>
      </w:tr>
      <w:tr w:rsidR="00673E97">
        <w:trPr>
          <w:cantSplit/>
        </w:trPr>
        <w:tc>
          <w:tcPr>
            <w:tcW w:w="4931" w:type="dxa"/>
          </w:tcPr>
          <w:p w:rsidR="00673E97" w:rsidRDefault="00673E97">
            <w:pPr>
              <w:pStyle w:val="Tabletextindenta"/>
            </w:pPr>
            <w:r>
              <w:t>Briefings on the ACT Economy</w:t>
            </w:r>
          </w:p>
        </w:tc>
        <w:tc>
          <w:tcPr>
            <w:tcW w:w="1473" w:type="dxa"/>
          </w:tcPr>
          <w:p w:rsidR="00673E97" w:rsidRDefault="00C25CDC" w:rsidP="00C25CDC">
            <w:pPr>
              <w:pStyle w:val="TableTextRight"/>
              <w:spacing w:before="40" w:after="40"/>
            </w:pPr>
            <w:r>
              <w:t>115</w:t>
            </w:r>
          </w:p>
        </w:tc>
        <w:tc>
          <w:tcPr>
            <w:tcW w:w="1479" w:type="dxa"/>
          </w:tcPr>
          <w:p w:rsidR="00673E97" w:rsidRDefault="00C25CDC" w:rsidP="00C25CDC">
            <w:pPr>
              <w:pStyle w:val="TableTextRight"/>
              <w:spacing w:before="40" w:after="40"/>
            </w:pPr>
            <w:r>
              <w:t>44</w:t>
            </w:r>
          </w:p>
        </w:tc>
        <w:tc>
          <w:tcPr>
            <w:tcW w:w="1473" w:type="dxa"/>
          </w:tcPr>
          <w:p w:rsidR="00673E97" w:rsidRDefault="00C25CDC" w:rsidP="00C25CDC">
            <w:pPr>
              <w:pStyle w:val="TableTextRight"/>
              <w:spacing w:before="40" w:after="40"/>
            </w:pPr>
            <w:r>
              <w:t>n/a</w:t>
            </w:r>
          </w:p>
        </w:tc>
      </w:tr>
      <w:tr w:rsidR="00673E97">
        <w:trPr>
          <w:cantSplit/>
        </w:trPr>
        <w:tc>
          <w:tcPr>
            <w:tcW w:w="4931" w:type="dxa"/>
          </w:tcPr>
          <w:p w:rsidR="00673E97" w:rsidRDefault="00673E97">
            <w:pPr>
              <w:pStyle w:val="Tabletextindenta"/>
            </w:pPr>
            <w:r>
              <w:t>Submission to CGC Annual Update</w:t>
            </w:r>
          </w:p>
        </w:tc>
        <w:tc>
          <w:tcPr>
            <w:tcW w:w="1473" w:type="dxa"/>
          </w:tcPr>
          <w:p w:rsidR="00673E97" w:rsidRDefault="00673E97" w:rsidP="004525DE">
            <w:pPr>
              <w:pStyle w:val="TableTextRight"/>
              <w:spacing w:before="40" w:after="40"/>
            </w:pPr>
            <w:r>
              <w:t>1</w:t>
            </w:r>
          </w:p>
        </w:tc>
        <w:tc>
          <w:tcPr>
            <w:tcW w:w="1479" w:type="dxa"/>
          </w:tcPr>
          <w:p w:rsidR="00673E97" w:rsidRDefault="0062694C">
            <w:pPr>
              <w:pStyle w:val="TableTextRight"/>
              <w:spacing w:before="40" w:after="40"/>
            </w:pPr>
            <w:r>
              <w:t>1</w:t>
            </w:r>
          </w:p>
        </w:tc>
        <w:tc>
          <w:tcPr>
            <w:tcW w:w="1473" w:type="dxa"/>
          </w:tcPr>
          <w:p w:rsidR="00673E97" w:rsidRDefault="00C25CDC">
            <w:pPr>
              <w:pStyle w:val="TableTextRight"/>
              <w:spacing w:before="40" w:after="40"/>
            </w:pPr>
            <w:r>
              <w:t>n/a</w:t>
            </w:r>
          </w:p>
        </w:tc>
      </w:tr>
      <w:tr w:rsidR="00673E97" w:rsidTr="00232397">
        <w:trPr>
          <w:cantSplit/>
        </w:trPr>
        <w:tc>
          <w:tcPr>
            <w:tcW w:w="4931" w:type="dxa"/>
          </w:tcPr>
          <w:p w:rsidR="00673E97" w:rsidRDefault="00673E97" w:rsidP="000C1306">
            <w:pPr>
              <w:pStyle w:val="Tabletextindenta"/>
            </w:pPr>
            <w:r>
              <w:t xml:space="preserve">Submission to credit rating </w:t>
            </w:r>
            <w:r w:rsidR="003F1FC2">
              <w:t>agency</w:t>
            </w:r>
            <w:r w:rsidR="00440016" w:rsidRPr="00440016">
              <w:rPr>
                <w:vertAlign w:val="superscript"/>
              </w:rPr>
              <w:t>3</w:t>
            </w:r>
          </w:p>
        </w:tc>
        <w:tc>
          <w:tcPr>
            <w:tcW w:w="1473" w:type="dxa"/>
          </w:tcPr>
          <w:p w:rsidR="00673E97" w:rsidRDefault="00673E97" w:rsidP="004525DE">
            <w:pPr>
              <w:pStyle w:val="TableTextRight"/>
              <w:spacing w:before="40" w:after="40"/>
            </w:pPr>
            <w:r>
              <w:t>1</w:t>
            </w:r>
          </w:p>
        </w:tc>
        <w:tc>
          <w:tcPr>
            <w:tcW w:w="1479" w:type="dxa"/>
          </w:tcPr>
          <w:p w:rsidR="00673E97" w:rsidRDefault="0062694C">
            <w:pPr>
              <w:pStyle w:val="TableTextRight"/>
              <w:spacing w:before="40" w:after="40"/>
            </w:pPr>
            <w:r>
              <w:t>1</w:t>
            </w:r>
          </w:p>
        </w:tc>
        <w:tc>
          <w:tcPr>
            <w:tcW w:w="1473" w:type="dxa"/>
          </w:tcPr>
          <w:p w:rsidR="00673E97" w:rsidRDefault="00C25CDC">
            <w:pPr>
              <w:pStyle w:val="TableTextRight"/>
              <w:spacing w:before="40" w:after="40"/>
            </w:pPr>
            <w:r>
              <w:t>n/a</w:t>
            </w:r>
          </w:p>
        </w:tc>
      </w:tr>
      <w:tr w:rsidR="00232397" w:rsidRPr="00232397">
        <w:trPr>
          <w:cantSplit/>
        </w:trPr>
        <w:tc>
          <w:tcPr>
            <w:tcW w:w="4931" w:type="dxa"/>
            <w:tcBorders>
              <w:bottom w:val="single" w:sz="4" w:space="0" w:color="auto"/>
            </w:tcBorders>
          </w:tcPr>
          <w:p w:rsidR="00232397" w:rsidRPr="00232397" w:rsidRDefault="00232397" w:rsidP="00232397">
            <w:pPr>
              <w:pStyle w:val="Tabletextindenta"/>
              <w:numPr>
                <w:ilvl w:val="0"/>
                <w:numId w:val="0"/>
              </w:numPr>
              <w:ind w:left="357"/>
              <w:rPr>
                <w:sz w:val="8"/>
                <w:szCs w:val="8"/>
              </w:rPr>
            </w:pPr>
          </w:p>
        </w:tc>
        <w:tc>
          <w:tcPr>
            <w:tcW w:w="1473" w:type="dxa"/>
            <w:tcBorders>
              <w:bottom w:val="single" w:sz="4" w:space="0" w:color="auto"/>
            </w:tcBorders>
          </w:tcPr>
          <w:p w:rsidR="00232397" w:rsidRPr="00232397" w:rsidRDefault="00232397" w:rsidP="004525DE">
            <w:pPr>
              <w:pStyle w:val="TableTextRight"/>
              <w:spacing w:before="40" w:after="40"/>
              <w:rPr>
                <w:sz w:val="8"/>
                <w:szCs w:val="8"/>
              </w:rPr>
            </w:pPr>
          </w:p>
        </w:tc>
        <w:tc>
          <w:tcPr>
            <w:tcW w:w="1479" w:type="dxa"/>
            <w:tcBorders>
              <w:bottom w:val="single" w:sz="4" w:space="0" w:color="auto"/>
            </w:tcBorders>
          </w:tcPr>
          <w:p w:rsidR="00232397" w:rsidRPr="00232397" w:rsidRDefault="00232397">
            <w:pPr>
              <w:pStyle w:val="TableTextRight"/>
              <w:spacing w:before="40" w:after="40"/>
              <w:rPr>
                <w:sz w:val="8"/>
                <w:szCs w:val="8"/>
              </w:rPr>
            </w:pPr>
          </w:p>
        </w:tc>
        <w:tc>
          <w:tcPr>
            <w:tcW w:w="1473" w:type="dxa"/>
            <w:tcBorders>
              <w:bottom w:val="single" w:sz="4" w:space="0" w:color="auto"/>
            </w:tcBorders>
          </w:tcPr>
          <w:p w:rsidR="00232397" w:rsidRPr="00232397" w:rsidRDefault="00232397">
            <w:pPr>
              <w:pStyle w:val="TableTextRight"/>
              <w:spacing w:before="40" w:after="40"/>
              <w:rPr>
                <w:sz w:val="8"/>
                <w:szCs w:val="8"/>
              </w:rPr>
            </w:pPr>
          </w:p>
        </w:tc>
      </w:tr>
    </w:tbl>
    <w:p w:rsidR="004525DE" w:rsidRPr="00212281" w:rsidRDefault="004525DE" w:rsidP="002616E5">
      <w:pPr>
        <w:pStyle w:val="NoteHeading1"/>
      </w:pPr>
      <w:r w:rsidRPr="00212281">
        <w:t>Note</w:t>
      </w:r>
      <w:r w:rsidR="00C476ED">
        <w:t>s</w:t>
      </w:r>
      <w:r w:rsidRPr="00212281">
        <w:t>:</w:t>
      </w:r>
    </w:p>
    <w:p w:rsidR="00587EAC" w:rsidRPr="00F96515" w:rsidRDefault="00587EAC" w:rsidP="00587EAC">
      <w:pPr>
        <w:pStyle w:val="AINotes"/>
        <w:numPr>
          <w:ilvl w:val="0"/>
          <w:numId w:val="27"/>
        </w:numPr>
      </w:pPr>
      <w:r w:rsidRPr="00232397">
        <w:t>The</w:t>
      </w:r>
      <w:r>
        <w:t xml:space="preserve"> </w:t>
      </w:r>
      <w:r w:rsidR="0015484A">
        <w:t>2012</w:t>
      </w:r>
      <w:r w:rsidR="0015484A">
        <w:noBreakHyphen/>
        <w:t>13 </w:t>
      </w:r>
      <w:r>
        <w:t>estimated outcome reflects an</w:t>
      </w:r>
      <w:r w:rsidRPr="00232397">
        <w:t xml:space="preserve"> </w:t>
      </w:r>
      <w:r>
        <w:t>amended target, covering the period from 1</w:t>
      </w:r>
      <w:r w:rsidR="0015484A">
        <w:t> July 2012 to 9 November </w:t>
      </w:r>
      <w:r>
        <w:t>2012.</w:t>
      </w:r>
    </w:p>
    <w:p w:rsidR="00587EAC" w:rsidRPr="00B47161" w:rsidRDefault="00587EAC" w:rsidP="00587EAC">
      <w:pPr>
        <w:pStyle w:val="AINotes"/>
        <w:numPr>
          <w:ilvl w:val="0"/>
          <w:numId w:val="27"/>
        </w:numPr>
      </w:pPr>
      <w:r w:rsidRPr="00587EAC">
        <w:rPr>
          <w:iCs/>
          <w:szCs w:val="16"/>
        </w:rPr>
        <w:t xml:space="preserve">This output </w:t>
      </w:r>
      <w:r w:rsidR="0015484A">
        <w:rPr>
          <w:iCs/>
          <w:szCs w:val="16"/>
        </w:rPr>
        <w:t>was</w:t>
      </w:r>
      <w:r w:rsidRPr="00587EAC">
        <w:rPr>
          <w:iCs/>
          <w:szCs w:val="16"/>
        </w:rPr>
        <w:t xml:space="preserve"> transferred </w:t>
      </w:r>
      <w:r w:rsidR="0015484A">
        <w:rPr>
          <w:iCs/>
          <w:szCs w:val="16"/>
        </w:rPr>
        <w:t>out of the Directorate following the AAs and is reported as CMTD Output </w:t>
      </w:r>
      <w:r w:rsidRPr="00587EAC">
        <w:rPr>
          <w:iCs/>
          <w:szCs w:val="16"/>
        </w:rPr>
        <w:t>2.1</w:t>
      </w:r>
      <w:r w:rsidR="0015484A">
        <w:rPr>
          <w:iCs/>
          <w:szCs w:val="16"/>
        </w:rPr>
        <w:t>,</w:t>
      </w:r>
      <w:r w:rsidRPr="00587EAC">
        <w:rPr>
          <w:iCs/>
          <w:szCs w:val="16"/>
        </w:rPr>
        <w:t xml:space="preserve"> </w:t>
      </w:r>
      <w:r w:rsidR="0015484A">
        <w:rPr>
          <w:iCs/>
          <w:szCs w:val="16"/>
        </w:rPr>
        <w:t>‘</w:t>
      </w:r>
      <w:r w:rsidRPr="00587EAC">
        <w:rPr>
          <w:iCs/>
          <w:szCs w:val="16"/>
        </w:rPr>
        <w:t>Economic Management</w:t>
      </w:r>
      <w:r w:rsidR="0015484A">
        <w:rPr>
          <w:iCs/>
          <w:szCs w:val="16"/>
        </w:rPr>
        <w:t>’</w:t>
      </w:r>
      <w:r w:rsidRPr="00587EAC">
        <w:rPr>
          <w:iCs/>
          <w:szCs w:val="16"/>
        </w:rPr>
        <w:t>.</w:t>
      </w:r>
    </w:p>
    <w:p w:rsidR="00587EAC" w:rsidRPr="00F96515" w:rsidRDefault="00587EAC" w:rsidP="00587EAC">
      <w:pPr>
        <w:pStyle w:val="AINotes"/>
        <w:numPr>
          <w:ilvl w:val="0"/>
          <w:numId w:val="27"/>
        </w:numPr>
      </w:pPr>
      <w:r w:rsidRPr="00232397">
        <w:t>The credit rating agency submission is a day</w:t>
      </w:r>
      <w:r w:rsidR="00A95499">
        <w:noBreakHyphen/>
      </w:r>
      <w:r w:rsidRPr="00232397">
        <w:t>long meeting with the agency, which includes a presentation.</w:t>
      </w:r>
    </w:p>
    <w:p w:rsidR="00EB32D6" w:rsidRPr="00EB32D6" w:rsidRDefault="00EB32D6">
      <w:pPr>
        <w:rPr>
          <w:bCs/>
          <w:szCs w:val="24"/>
        </w:rPr>
      </w:pPr>
    </w:p>
    <w:tbl>
      <w:tblPr>
        <w:tblW w:w="9356" w:type="dxa"/>
        <w:tblLook w:val="0000"/>
      </w:tblPr>
      <w:tblGrid>
        <w:gridCol w:w="4931"/>
        <w:gridCol w:w="1473"/>
        <w:gridCol w:w="1479"/>
        <w:gridCol w:w="1473"/>
      </w:tblGrid>
      <w:tr w:rsidR="00673E97">
        <w:trPr>
          <w:cantSplit/>
        </w:trPr>
        <w:tc>
          <w:tcPr>
            <w:tcW w:w="4931" w:type="dxa"/>
            <w:tcBorders>
              <w:top w:val="single" w:sz="4" w:space="0" w:color="auto"/>
              <w:bottom w:val="single" w:sz="4" w:space="0" w:color="auto"/>
            </w:tcBorders>
          </w:tcPr>
          <w:p w:rsidR="00673E97" w:rsidRDefault="00673E97">
            <w:pPr>
              <w:pStyle w:val="Heading7"/>
            </w:pPr>
          </w:p>
        </w:tc>
        <w:tc>
          <w:tcPr>
            <w:tcW w:w="1473" w:type="dxa"/>
            <w:tcBorders>
              <w:top w:val="single" w:sz="4" w:space="0" w:color="auto"/>
              <w:bottom w:val="single" w:sz="4" w:space="0" w:color="auto"/>
            </w:tcBorders>
          </w:tcPr>
          <w:p w:rsidR="00673E97" w:rsidRDefault="00673E97" w:rsidP="004525DE">
            <w:pPr>
              <w:pStyle w:val="Heading6"/>
            </w:pPr>
            <w:r>
              <w:t>20</w:t>
            </w:r>
            <w:r w:rsidR="000C6B92">
              <w:t>12</w:t>
            </w:r>
            <w:r w:rsidR="00C25CDC">
              <w:t>-13</w:t>
            </w:r>
          </w:p>
          <w:p w:rsidR="00673E97" w:rsidRDefault="00673E97" w:rsidP="004525DE">
            <w:pPr>
              <w:pStyle w:val="Heading6"/>
            </w:pPr>
            <w:r>
              <w:t>Targets</w:t>
            </w:r>
          </w:p>
        </w:tc>
        <w:tc>
          <w:tcPr>
            <w:tcW w:w="1479" w:type="dxa"/>
            <w:tcBorders>
              <w:top w:val="single" w:sz="4" w:space="0" w:color="auto"/>
              <w:bottom w:val="single" w:sz="4" w:space="0" w:color="auto"/>
            </w:tcBorders>
          </w:tcPr>
          <w:p w:rsidR="00673E97" w:rsidRDefault="00673E97" w:rsidP="004525DE">
            <w:pPr>
              <w:pStyle w:val="Heading6"/>
            </w:pPr>
            <w:r>
              <w:t>20</w:t>
            </w:r>
            <w:r w:rsidR="000C6B92">
              <w:t>12</w:t>
            </w:r>
            <w:r w:rsidR="00C25CDC">
              <w:t>-13</w:t>
            </w:r>
          </w:p>
          <w:p w:rsidR="00673E97" w:rsidRDefault="00673E97" w:rsidP="004525DE">
            <w:pPr>
              <w:pStyle w:val="Heading6"/>
            </w:pPr>
            <w:r>
              <w:t>Est. Outcome</w:t>
            </w:r>
            <w:r w:rsidR="000C1306" w:rsidRPr="00C25CDC">
              <w:rPr>
                <w:vertAlign w:val="superscript"/>
              </w:rPr>
              <w:t>1</w:t>
            </w:r>
          </w:p>
        </w:tc>
        <w:tc>
          <w:tcPr>
            <w:tcW w:w="1473" w:type="dxa"/>
            <w:tcBorders>
              <w:top w:val="single" w:sz="4" w:space="0" w:color="auto"/>
              <w:bottom w:val="single" w:sz="4" w:space="0" w:color="auto"/>
            </w:tcBorders>
          </w:tcPr>
          <w:p w:rsidR="00673E97" w:rsidRDefault="00673E97" w:rsidP="004525DE">
            <w:pPr>
              <w:pStyle w:val="Heading6"/>
            </w:pPr>
            <w:r>
              <w:t>20</w:t>
            </w:r>
            <w:r w:rsidR="000C6B92">
              <w:t>13</w:t>
            </w:r>
            <w:r w:rsidR="00C25CDC">
              <w:t>-14</w:t>
            </w:r>
          </w:p>
          <w:p w:rsidR="00673E97" w:rsidRDefault="00673E97" w:rsidP="004525DE">
            <w:pPr>
              <w:pStyle w:val="Heading6"/>
            </w:pPr>
            <w:r>
              <w:t>Targets</w:t>
            </w:r>
          </w:p>
        </w:tc>
      </w:tr>
      <w:tr w:rsidR="004525DE">
        <w:trPr>
          <w:cantSplit/>
        </w:trPr>
        <w:tc>
          <w:tcPr>
            <w:tcW w:w="9356" w:type="dxa"/>
            <w:gridSpan w:val="4"/>
            <w:tcBorders>
              <w:top w:val="single" w:sz="4" w:space="0" w:color="auto"/>
              <w:bottom w:val="single" w:sz="4" w:space="0" w:color="auto"/>
            </w:tcBorders>
          </w:tcPr>
          <w:p w:rsidR="004525DE" w:rsidRDefault="004525DE">
            <w:pPr>
              <w:pStyle w:val="Heading7"/>
              <w:spacing w:before="40" w:after="40"/>
            </w:pPr>
            <w:r>
              <w:t>Output 1.2:  Financial Management</w:t>
            </w:r>
            <w:r w:rsidR="00440016" w:rsidRPr="00440016">
              <w:rPr>
                <w:b w:val="0"/>
                <w:vertAlign w:val="superscript"/>
              </w:rPr>
              <w:t>2</w:t>
            </w:r>
          </w:p>
        </w:tc>
      </w:tr>
      <w:tr w:rsidR="00232397" w:rsidRPr="00232397">
        <w:trPr>
          <w:cantSplit/>
        </w:trPr>
        <w:tc>
          <w:tcPr>
            <w:tcW w:w="4931" w:type="dxa"/>
          </w:tcPr>
          <w:p w:rsidR="00232397" w:rsidRPr="00232397" w:rsidRDefault="00232397" w:rsidP="00232397">
            <w:pPr>
              <w:pStyle w:val="Tabletextindenta"/>
              <w:numPr>
                <w:ilvl w:val="0"/>
                <w:numId w:val="0"/>
              </w:numPr>
              <w:ind w:left="357"/>
              <w:rPr>
                <w:sz w:val="8"/>
                <w:szCs w:val="8"/>
              </w:rPr>
            </w:pPr>
          </w:p>
        </w:tc>
        <w:tc>
          <w:tcPr>
            <w:tcW w:w="1473" w:type="dxa"/>
          </w:tcPr>
          <w:p w:rsidR="00232397" w:rsidRPr="00232397" w:rsidRDefault="00232397" w:rsidP="004525DE">
            <w:pPr>
              <w:pStyle w:val="TableTextRight"/>
              <w:spacing w:before="40" w:after="40"/>
              <w:rPr>
                <w:sz w:val="8"/>
                <w:szCs w:val="8"/>
              </w:rPr>
            </w:pPr>
          </w:p>
        </w:tc>
        <w:tc>
          <w:tcPr>
            <w:tcW w:w="1479" w:type="dxa"/>
          </w:tcPr>
          <w:p w:rsidR="00232397" w:rsidRPr="00232397" w:rsidRDefault="00232397">
            <w:pPr>
              <w:pStyle w:val="TableTextRight"/>
              <w:spacing w:before="40" w:after="40"/>
              <w:rPr>
                <w:sz w:val="8"/>
                <w:szCs w:val="8"/>
              </w:rPr>
            </w:pPr>
          </w:p>
        </w:tc>
        <w:tc>
          <w:tcPr>
            <w:tcW w:w="1473" w:type="dxa"/>
          </w:tcPr>
          <w:p w:rsidR="00232397" w:rsidRPr="00232397" w:rsidRDefault="00232397">
            <w:pPr>
              <w:pStyle w:val="TableTextRight"/>
              <w:spacing w:before="40" w:after="40"/>
              <w:rPr>
                <w:sz w:val="8"/>
                <w:szCs w:val="8"/>
              </w:rPr>
            </w:pPr>
          </w:p>
        </w:tc>
      </w:tr>
      <w:tr w:rsidR="00673E97">
        <w:trPr>
          <w:cantSplit/>
        </w:trPr>
        <w:tc>
          <w:tcPr>
            <w:tcW w:w="4931" w:type="dxa"/>
          </w:tcPr>
          <w:p w:rsidR="00673E97" w:rsidRDefault="00673E97" w:rsidP="001632D9">
            <w:pPr>
              <w:pStyle w:val="Tabletextindenta"/>
              <w:numPr>
                <w:ilvl w:val="0"/>
                <w:numId w:val="4"/>
              </w:numPr>
            </w:pPr>
            <w:r>
              <w:t xml:space="preserve">Budget presented in accordance with legislative </w:t>
            </w:r>
            <w:r w:rsidR="001632D9">
              <w:t>timeframes</w:t>
            </w:r>
            <w:r w:rsidR="001632D9">
              <w:rPr>
                <w:vertAlign w:val="superscript"/>
              </w:rPr>
              <w:t>3</w:t>
            </w:r>
          </w:p>
        </w:tc>
        <w:tc>
          <w:tcPr>
            <w:tcW w:w="1473" w:type="dxa"/>
          </w:tcPr>
          <w:p w:rsidR="00673E97" w:rsidRDefault="00673E97" w:rsidP="004525DE">
            <w:pPr>
              <w:pStyle w:val="TableTextRight"/>
              <w:spacing w:before="40" w:after="40"/>
            </w:pPr>
            <w:r>
              <w:t>1</w:t>
            </w:r>
          </w:p>
        </w:tc>
        <w:tc>
          <w:tcPr>
            <w:tcW w:w="1479" w:type="dxa"/>
          </w:tcPr>
          <w:p w:rsidR="00673E97" w:rsidRDefault="00C25CDC">
            <w:pPr>
              <w:pStyle w:val="TableTextRight"/>
              <w:spacing w:before="40" w:after="40"/>
            </w:pPr>
            <w:r>
              <w:t>0</w:t>
            </w:r>
          </w:p>
        </w:tc>
        <w:tc>
          <w:tcPr>
            <w:tcW w:w="1473" w:type="dxa"/>
          </w:tcPr>
          <w:p w:rsidR="00673E97" w:rsidRDefault="00C25CDC">
            <w:pPr>
              <w:pStyle w:val="TableTextRight"/>
              <w:spacing w:before="40" w:after="40"/>
            </w:pPr>
            <w:r>
              <w:t>n/a</w:t>
            </w:r>
          </w:p>
        </w:tc>
      </w:tr>
      <w:tr w:rsidR="00673E97">
        <w:trPr>
          <w:cantSplit/>
        </w:trPr>
        <w:tc>
          <w:tcPr>
            <w:tcW w:w="4931" w:type="dxa"/>
          </w:tcPr>
          <w:p w:rsidR="00673E97" w:rsidRDefault="00673E97" w:rsidP="001632D9">
            <w:pPr>
              <w:pStyle w:val="Tabletextindenta"/>
              <w:numPr>
                <w:ilvl w:val="0"/>
                <w:numId w:val="4"/>
              </w:numPr>
            </w:pPr>
            <w:r>
              <w:t xml:space="preserve">Budget Review presented in accordance with legislative </w:t>
            </w:r>
            <w:r w:rsidR="001632D9">
              <w:t>timeframes</w:t>
            </w:r>
            <w:r w:rsidR="001632D9">
              <w:rPr>
                <w:vertAlign w:val="superscript"/>
              </w:rPr>
              <w:t>4</w:t>
            </w:r>
          </w:p>
        </w:tc>
        <w:tc>
          <w:tcPr>
            <w:tcW w:w="1473" w:type="dxa"/>
          </w:tcPr>
          <w:p w:rsidR="00673E97" w:rsidRDefault="00673E97" w:rsidP="004525DE">
            <w:pPr>
              <w:pStyle w:val="TableTextRight"/>
              <w:spacing w:before="40" w:after="40"/>
            </w:pPr>
            <w:r>
              <w:t>1</w:t>
            </w:r>
          </w:p>
        </w:tc>
        <w:tc>
          <w:tcPr>
            <w:tcW w:w="1479" w:type="dxa"/>
          </w:tcPr>
          <w:p w:rsidR="00673E97" w:rsidRDefault="00C25CDC">
            <w:pPr>
              <w:pStyle w:val="TableTextRight"/>
              <w:spacing w:before="40" w:after="40"/>
            </w:pPr>
            <w:r>
              <w:t>0</w:t>
            </w:r>
          </w:p>
        </w:tc>
        <w:tc>
          <w:tcPr>
            <w:tcW w:w="1473" w:type="dxa"/>
          </w:tcPr>
          <w:p w:rsidR="00673E97" w:rsidRDefault="00C25CDC">
            <w:pPr>
              <w:pStyle w:val="TableTextRight"/>
              <w:spacing w:before="40" w:after="40"/>
            </w:pPr>
            <w:r>
              <w:t>n/a</w:t>
            </w:r>
          </w:p>
        </w:tc>
      </w:tr>
      <w:tr w:rsidR="00673E97">
        <w:trPr>
          <w:cantSplit/>
        </w:trPr>
        <w:tc>
          <w:tcPr>
            <w:tcW w:w="4931" w:type="dxa"/>
          </w:tcPr>
          <w:p w:rsidR="00673E97" w:rsidRDefault="00673E97" w:rsidP="001632D9">
            <w:pPr>
              <w:pStyle w:val="Tabletextindenta"/>
              <w:numPr>
                <w:ilvl w:val="0"/>
                <w:numId w:val="4"/>
              </w:numPr>
            </w:pPr>
            <w:r>
              <w:t xml:space="preserve">Annual Financial Statements for the Territory provided in accordance with legislative </w:t>
            </w:r>
            <w:r w:rsidR="001632D9">
              <w:t>timeframes</w:t>
            </w:r>
            <w:r w:rsidR="001632D9">
              <w:rPr>
                <w:vertAlign w:val="superscript"/>
              </w:rPr>
              <w:t>5</w:t>
            </w:r>
          </w:p>
        </w:tc>
        <w:tc>
          <w:tcPr>
            <w:tcW w:w="1473" w:type="dxa"/>
          </w:tcPr>
          <w:p w:rsidR="00673E97" w:rsidRDefault="00673E97" w:rsidP="004525DE">
            <w:pPr>
              <w:pStyle w:val="TableTextRight"/>
              <w:spacing w:before="40" w:after="40"/>
            </w:pPr>
            <w:r>
              <w:t>1</w:t>
            </w:r>
          </w:p>
        </w:tc>
        <w:tc>
          <w:tcPr>
            <w:tcW w:w="1479" w:type="dxa"/>
          </w:tcPr>
          <w:p w:rsidR="00673E97" w:rsidRDefault="00770995">
            <w:pPr>
              <w:pStyle w:val="TableTextRight"/>
              <w:spacing w:before="40" w:after="40"/>
            </w:pPr>
            <w:r>
              <w:t>1</w:t>
            </w:r>
          </w:p>
        </w:tc>
        <w:tc>
          <w:tcPr>
            <w:tcW w:w="1473" w:type="dxa"/>
          </w:tcPr>
          <w:p w:rsidR="00673E97" w:rsidRDefault="00C25CDC">
            <w:pPr>
              <w:pStyle w:val="TableTextRight"/>
              <w:spacing w:before="40" w:after="40"/>
            </w:pPr>
            <w:r>
              <w:t>n/a</w:t>
            </w:r>
          </w:p>
        </w:tc>
      </w:tr>
      <w:tr w:rsidR="00673E97">
        <w:trPr>
          <w:cantSplit/>
        </w:trPr>
        <w:tc>
          <w:tcPr>
            <w:tcW w:w="4931" w:type="dxa"/>
          </w:tcPr>
          <w:p w:rsidR="00673E97" w:rsidRDefault="00673E97" w:rsidP="001632D9">
            <w:pPr>
              <w:pStyle w:val="Tabletextindenta"/>
              <w:numPr>
                <w:ilvl w:val="0"/>
                <w:numId w:val="4"/>
              </w:numPr>
            </w:pPr>
            <w:r>
              <w:t xml:space="preserve">Quarterly Consolidated Financial Statements presented in accordance with legislative </w:t>
            </w:r>
            <w:r w:rsidR="001632D9">
              <w:t>timeframes</w:t>
            </w:r>
            <w:r w:rsidR="001632D9">
              <w:rPr>
                <w:vertAlign w:val="superscript"/>
              </w:rPr>
              <w:t>6</w:t>
            </w:r>
          </w:p>
        </w:tc>
        <w:tc>
          <w:tcPr>
            <w:tcW w:w="1473" w:type="dxa"/>
          </w:tcPr>
          <w:p w:rsidR="00673E97" w:rsidRDefault="00673E97" w:rsidP="004525DE">
            <w:pPr>
              <w:pStyle w:val="TableTextRight"/>
              <w:spacing w:before="40" w:after="40"/>
            </w:pPr>
            <w:r>
              <w:t>4</w:t>
            </w:r>
          </w:p>
        </w:tc>
        <w:tc>
          <w:tcPr>
            <w:tcW w:w="1479" w:type="dxa"/>
          </w:tcPr>
          <w:p w:rsidR="00673E97" w:rsidRDefault="00C25CDC">
            <w:pPr>
              <w:pStyle w:val="TableTextRight"/>
              <w:spacing w:before="40" w:after="40"/>
            </w:pPr>
            <w:r>
              <w:t>1</w:t>
            </w:r>
          </w:p>
        </w:tc>
        <w:tc>
          <w:tcPr>
            <w:tcW w:w="1473" w:type="dxa"/>
          </w:tcPr>
          <w:p w:rsidR="00673E97" w:rsidRDefault="00C25CDC">
            <w:pPr>
              <w:pStyle w:val="TableTextRight"/>
              <w:spacing w:before="40" w:after="40"/>
            </w:pPr>
            <w:r>
              <w:t>n/a</w:t>
            </w:r>
          </w:p>
        </w:tc>
      </w:tr>
      <w:tr w:rsidR="003F4FBC" w:rsidTr="00C515D1">
        <w:trPr>
          <w:cantSplit/>
        </w:trPr>
        <w:tc>
          <w:tcPr>
            <w:tcW w:w="4931" w:type="dxa"/>
          </w:tcPr>
          <w:p w:rsidR="003F4FBC" w:rsidRDefault="003F4FBC" w:rsidP="003F4FBC">
            <w:pPr>
              <w:pStyle w:val="Tabletextindenta"/>
              <w:numPr>
                <w:ilvl w:val="0"/>
                <w:numId w:val="4"/>
              </w:numPr>
            </w:pPr>
            <w:r>
              <w:t>Pre-election Budget Update in accordance with legislative timeframes</w:t>
            </w:r>
            <w:r>
              <w:rPr>
                <w:vertAlign w:val="superscript"/>
              </w:rPr>
              <w:t>7</w:t>
            </w:r>
          </w:p>
        </w:tc>
        <w:tc>
          <w:tcPr>
            <w:tcW w:w="1473" w:type="dxa"/>
          </w:tcPr>
          <w:p w:rsidR="003F4FBC" w:rsidRDefault="003F4FBC" w:rsidP="003F4FBC">
            <w:pPr>
              <w:pStyle w:val="TableTextRight"/>
              <w:spacing w:before="40" w:after="40"/>
            </w:pPr>
            <w:r>
              <w:t>1</w:t>
            </w:r>
          </w:p>
        </w:tc>
        <w:tc>
          <w:tcPr>
            <w:tcW w:w="1479" w:type="dxa"/>
          </w:tcPr>
          <w:p w:rsidR="003F4FBC" w:rsidRDefault="003F4FBC" w:rsidP="003F4FBC">
            <w:pPr>
              <w:pStyle w:val="TableTextRight"/>
              <w:spacing w:before="40" w:after="40"/>
            </w:pPr>
            <w:r>
              <w:t>1</w:t>
            </w:r>
          </w:p>
        </w:tc>
        <w:tc>
          <w:tcPr>
            <w:tcW w:w="1473" w:type="dxa"/>
          </w:tcPr>
          <w:p w:rsidR="003F4FBC" w:rsidRDefault="003F4FBC" w:rsidP="003F4FBC">
            <w:pPr>
              <w:pStyle w:val="TableTextRight"/>
              <w:spacing w:before="40" w:after="40"/>
            </w:pPr>
            <w:r>
              <w:t>n/a</w:t>
            </w:r>
          </w:p>
        </w:tc>
      </w:tr>
      <w:tr w:rsidR="00673E97" w:rsidTr="00232397">
        <w:trPr>
          <w:cantSplit/>
        </w:trPr>
        <w:tc>
          <w:tcPr>
            <w:tcW w:w="4931" w:type="dxa"/>
          </w:tcPr>
          <w:p w:rsidR="00673E97" w:rsidRDefault="00B73D79" w:rsidP="00584BC7">
            <w:pPr>
              <w:pStyle w:val="Tabletextindenta"/>
              <w:numPr>
                <w:ilvl w:val="0"/>
                <w:numId w:val="4"/>
              </w:numPr>
            </w:pPr>
            <w:r>
              <w:t>Policy/</w:t>
            </w:r>
            <w:r w:rsidR="00673E97">
              <w:t>Service Area Reviews</w:t>
            </w:r>
            <w:r w:rsidR="00440016" w:rsidRPr="00440016">
              <w:rPr>
                <w:vertAlign w:val="superscript"/>
              </w:rPr>
              <w:t>8</w:t>
            </w:r>
          </w:p>
        </w:tc>
        <w:tc>
          <w:tcPr>
            <w:tcW w:w="1473" w:type="dxa"/>
          </w:tcPr>
          <w:p w:rsidR="00673E97" w:rsidRDefault="00C25CDC" w:rsidP="003F4FBC">
            <w:pPr>
              <w:pStyle w:val="TableTextRight"/>
              <w:spacing w:before="40" w:after="40"/>
            </w:pPr>
            <w:r>
              <w:t>1</w:t>
            </w:r>
          </w:p>
        </w:tc>
        <w:tc>
          <w:tcPr>
            <w:tcW w:w="1479" w:type="dxa"/>
          </w:tcPr>
          <w:p w:rsidR="00673E97" w:rsidRDefault="00C25CDC" w:rsidP="00C25CDC">
            <w:pPr>
              <w:pStyle w:val="TableTextRight"/>
              <w:spacing w:before="40" w:after="40"/>
            </w:pPr>
            <w:r>
              <w:t>0</w:t>
            </w:r>
          </w:p>
        </w:tc>
        <w:tc>
          <w:tcPr>
            <w:tcW w:w="1473" w:type="dxa"/>
          </w:tcPr>
          <w:p w:rsidR="00673E97" w:rsidRDefault="00C25CDC">
            <w:pPr>
              <w:pStyle w:val="TableTextRight"/>
              <w:spacing w:before="40" w:after="40"/>
            </w:pPr>
            <w:r>
              <w:t>n/a</w:t>
            </w:r>
          </w:p>
        </w:tc>
      </w:tr>
      <w:tr w:rsidR="00232397" w:rsidRPr="00232397">
        <w:trPr>
          <w:cantSplit/>
        </w:trPr>
        <w:tc>
          <w:tcPr>
            <w:tcW w:w="4931" w:type="dxa"/>
            <w:tcBorders>
              <w:bottom w:val="single" w:sz="4" w:space="0" w:color="auto"/>
            </w:tcBorders>
          </w:tcPr>
          <w:p w:rsidR="00232397" w:rsidRPr="00232397" w:rsidRDefault="00232397" w:rsidP="00232397">
            <w:pPr>
              <w:pStyle w:val="Tabletextindenta"/>
              <w:numPr>
                <w:ilvl w:val="0"/>
                <w:numId w:val="0"/>
              </w:numPr>
              <w:ind w:left="357"/>
              <w:rPr>
                <w:sz w:val="8"/>
                <w:szCs w:val="8"/>
              </w:rPr>
            </w:pPr>
          </w:p>
        </w:tc>
        <w:tc>
          <w:tcPr>
            <w:tcW w:w="1473" w:type="dxa"/>
            <w:tcBorders>
              <w:bottom w:val="single" w:sz="4" w:space="0" w:color="auto"/>
            </w:tcBorders>
          </w:tcPr>
          <w:p w:rsidR="00232397" w:rsidRPr="00232397" w:rsidRDefault="00232397" w:rsidP="004525DE">
            <w:pPr>
              <w:pStyle w:val="TableTextRight"/>
              <w:spacing w:before="40" w:after="40"/>
              <w:rPr>
                <w:sz w:val="8"/>
                <w:szCs w:val="8"/>
              </w:rPr>
            </w:pPr>
          </w:p>
        </w:tc>
        <w:tc>
          <w:tcPr>
            <w:tcW w:w="1479" w:type="dxa"/>
            <w:tcBorders>
              <w:bottom w:val="single" w:sz="4" w:space="0" w:color="auto"/>
            </w:tcBorders>
          </w:tcPr>
          <w:p w:rsidR="00232397" w:rsidRPr="00232397" w:rsidRDefault="00232397">
            <w:pPr>
              <w:pStyle w:val="TableTextRight"/>
              <w:spacing w:before="40" w:after="40"/>
              <w:rPr>
                <w:sz w:val="8"/>
                <w:szCs w:val="8"/>
              </w:rPr>
            </w:pPr>
          </w:p>
        </w:tc>
        <w:tc>
          <w:tcPr>
            <w:tcW w:w="1473" w:type="dxa"/>
            <w:tcBorders>
              <w:bottom w:val="single" w:sz="4" w:space="0" w:color="auto"/>
            </w:tcBorders>
          </w:tcPr>
          <w:p w:rsidR="00232397" w:rsidRPr="00232397" w:rsidRDefault="00232397">
            <w:pPr>
              <w:pStyle w:val="TableTextRight"/>
              <w:spacing w:before="40" w:after="40"/>
              <w:rPr>
                <w:sz w:val="8"/>
                <w:szCs w:val="8"/>
              </w:rPr>
            </w:pPr>
          </w:p>
        </w:tc>
      </w:tr>
    </w:tbl>
    <w:p w:rsidR="004525DE" w:rsidRPr="00212281" w:rsidRDefault="004525DE" w:rsidP="002616E5">
      <w:pPr>
        <w:pStyle w:val="NoteHeading1"/>
      </w:pPr>
      <w:r w:rsidRPr="00212281">
        <w:t>Note</w:t>
      </w:r>
      <w:r w:rsidR="00652B67">
        <w:t>s</w:t>
      </w:r>
      <w:r w:rsidR="007550FA">
        <w:t>:</w:t>
      </w:r>
    </w:p>
    <w:p w:rsidR="00A3425B" w:rsidRDefault="00587EAC" w:rsidP="00FA172D">
      <w:pPr>
        <w:pStyle w:val="AINotes"/>
        <w:numPr>
          <w:ilvl w:val="0"/>
          <w:numId w:val="28"/>
        </w:numPr>
      </w:pPr>
      <w:r w:rsidRPr="00232397">
        <w:t>The</w:t>
      </w:r>
      <w:r>
        <w:t xml:space="preserve"> </w:t>
      </w:r>
      <w:r w:rsidR="0015484A">
        <w:t>2012</w:t>
      </w:r>
      <w:r w:rsidR="0015484A">
        <w:noBreakHyphen/>
        <w:t>13 </w:t>
      </w:r>
      <w:r>
        <w:t>estimated outcome reflects an</w:t>
      </w:r>
      <w:r w:rsidRPr="00232397">
        <w:t xml:space="preserve"> </w:t>
      </w:r>
      <w:r>
        <w:t>amended tar</w:t>
      </w:r>
      <w:r w:rsidR="0015484A">
        <w:t>get, covering the period from 1 July 2012 to 9 November </w:t>
      </w:r>
      <w:r>
        <w:t>2012.</w:t>
      </w:r>
    </w:p>
    <w:p w:rsidR="00587EAC" w:rsidRDefault="00587EAC" w:rsidP="00587EAC">
      <w:pPr>
        <w:pStyle w:val="AINotes"/>
        <w:numPr>
          <w:ilvl w:val="0"/>
          <w:numId w:val="28"/>
        </w:numPr>
      </w:pPr>
      <w:r w:rsidRPr="00587EAC">
        <w:rPr>
          <w:iCs/>
          <w:szCs w:val="16"/>
        </w:rPr>
        <w:t xml:space="preserve">This output </w:t>
      </w:r>
      <w:r w:rsidR="0015484A">
        <w:rPr>
          <w:iCs/>
          <w:szCs w:val="16"/>
        </w:rPr>
        <w:t>was</w:t>
      </w:r>
      <w:r w:rsidRPr="00587EAC">
        <w:rPr>
          <w:iCs/>
          <w:szCs w:val="16"/>
        </w:rPr>
        <w:t xml:space="preserve"> transferred </w:t>
      </w:r>
      <w:r w:rsidR="0015484A">
        <w:rPr>
          <w:iCs/>
          <w:szCs w:val="16"/>
        </w:rPr>
        <w:t xml:space="preserve">out of the Directorate following the AAs </w:t>
      </w:r>
      <w:r w:rsidRPr="00587EAC">
        <w:rPr>
          <w:iCs/>
          <w:szCs w:val="16"/>
        </w:rPr>
        <w:t xml:space="preserve">and is reported as </w:t>
      </w:r>
      <w:r w:rsidR="0015484A">
        <w:rPr>
          <w:iCs/>
          <w:szCs w:val="16"/>
        </w:rPr>
        <w:t xml:space="preserve">CMTD </w:t>
      </w:r>
      <w:r w:rsidRPr="00587EAC">
        <w:rPr>
          <w:iCs/>
          <w:szCs w:val="16"/>
        </w:rPr>
        <w:t>Output</w:t>
      </w:r>
      <w:r w:rsidR="0015484A">
        <w:rPr>
          <w:iCs/>
          <w:szCs w:val="16"/>
        </w:rPr>
        <w:t> </w:t>
      </w:r>
      <w:r w:rsidRPr="00587EAC">
        <w:rPr>
          <w:iCs/>
          <w:szCs w:val="16"/>
        </w:rPr>
        <w:t>2.2</w:t>
      </w:r>
      <w:r w:rsidR="0015484A">
        <w:rPr>
          <w:iCs/>
          <w:szCs w:val="16"/>
        </w:rPr>
        <w:t>,</w:t>
      </w:r>
      <w:r w:rsidRPr="00587EAC">
        <w:rPr>
          <w:iCs/>
          <w:szCs w:val="16"/>
        </w:rPr>
        <w:t xml:space="preserve"> </w:t>
      </w:r>
      <w:r w:rsidR="0015484A">
        <w:rPr>
          <w:iCs/>
          <w:szCs w:val="16"/>
        </w:rPr>
        <w:t>‘Financial</w:t>
      </w:r>
      <w:r w:rsidRPr="00587EAC">
        <w:rPr>
          <w:iCs/>
          <w:szCs w:val="16"/>
        </w:rPr>
        <w:t xml:space="preserve"> Management</w:t>
      </w:r>
      <w:r w:rsidR="0015484A">
        <w:rPr>
          <w:iCs/>
          <w:szCs w:val="16"/>
        </w:rPr>
        <w:t>’</w:t>
      </w:r>
      <w:r w:rsidRPr="00587EAC">
        <w:rPr>
          <w:iCs/>
          <w:szCs w:val="16"/>
        </w:rPr>
        <w:t>.</w:t>
      </w:r>
    </w:p>
    <w:p w:rsidR="00587EAC" w:rsidRDefault="00587EAC" w:rsidP="00587EAC">
      <w:pPr>
        <w:pStyle w:val="AINotes"/>
        <w:numPr>
          <w:ilvl w:val="0"/>
          <w:numId w:val="28"/>
        </w:numPr>
        <w:jc w:val="left"/>
      </w:pPr>
      <w:r w:rsidRPr="00232397">
        <w:t xml:space="preserve">The Territory Budget presented to the Legislative Assembly in accordance with the timing prescribed in section 5 of the </w:t>
      </w:r>
      <w:r w:rsidRPr="00587EAC">
        <w:rPr>
          <w:i/>
        </w:rPr>
        <w:t xml:space="preserve">Financial Management Act 1996 </w:t>
      </w:r>
      <w:r w:rsidRPr="00232397">
        <w:t xml:space="preserve">(FMA). </w:t>
      </w:r>
    </w:p>
    <w:p w:rsidR="00587EAC" w:rsidRPr="00232397" w:rsidRDefault="00587EAC" w:rsidP="00587EAC">
      <w:pPr>
        <w:pStyle w:val="AINotes"/>
        <w:numPr>
          <w:ilvl w:val="0"/>
          <w:numId w:val="28"/>
        </w:numPr>
        <w:jc w:val="left"/>
      </w:pPr>
      <w:r w:rsidRPr="00232397">
        <w:t>The Budget Review for the Territory presented to the Legislative Assembly in accordance with the timing prescri</w:t>
      </w:r>
      <w:r w:rsidR="0015484A">
        <w:t>bed in section 20A of the FMA.</w:t>
      </w:r>
    </w:p>
    <w:p w:rsidR="00587EAC" w:rsidRPr="00232397" w:rsidRDefault="00587EAC" w:rsidP="00587EAC">
      <w:pPr>
        <w:pStyle w:val="AINotes"/>
        <w:numPr>
          <w:ilvl w:val="0"/>
          <w:numId w:val="28"/>
        </w:numPr>
      </w:pPr>
      <w:r w:rsidRPr="00232397">
        <w:t>The Annual Financial Statements for the Territor</w:t>
      </w:r>
      <w:r w:rsidR="0015484A">
        <w:t>y to be provided to the Auditor</w:t>
      </w:r>
      <w:r w:rsidR="0015484A">
        <w:noBreakHyphen/>
      </w:r>
      <w:r w:rsidRPr="00232397">
        <w:t>General in accordance with the timing prescr</w:t>
      </w:r>
      <w:r w:rsidR="0015484A">
        <w:t>ibed in section 24 of the FMA.</w:t>
      </w:r>
    </w:p>
    <w:p w:rsidR="00587EAC" w:rsidRPr="00232397" w:rsidRDefault="00587EAC" w:rsidP="00587EAC">
      <w:pPr>
        <w:pStyle w:val="AINotes"/>
        <w:numPr>
          <w:ilvl w:val="0"/>
          <w:numId w:val="28"/>
        </w:numPr>
        <w:jc w:val="left"/>
      </w:pPr>
      <w:r w:rsidRPr="00232397">
        <w:t>The Quarterly Consolidated Financial Statements to be presented to the Legislative Assembly in accordance with the timing prescribed in section 26 of the FMA.</w:t>
      </w:r>
    </w:p>
    <w:p w:rsidR="00587EAC" w:rsidRDefault="00587EAC" w:rsidP="00587EAC">
      <w:pPr>
        <w:pStyle w:val="AINotes"/>
        <w:numPr>
          <w:ilvl w:val="0"/>
          <w:numId w:val="28"/>
        </w:numPr>
        <w:jc w:val="left"/>
      </w:pPr>
      <w:r>
        <w:t>The Pre</w:t>
      </w:r>
      <w:r w:rsidR="0015484A">
        <w:noBreakHyphen/>
      </w:r>
      <w:proofErr w:type="spellStart"/>
      <w:r w:rsidR="00CB635B">
        <w:t>election</w:t>
      </w:r>
      <w:proofErr w:type="spellEnd"/>
      <w:r w:rsidR="00CB635B">
        <w:t xml:space="preserve"> Budget U</w:t>
      </w:r>
      <w:r>
        <w:t>pdate is to be provided to Parliamentary Counsel for notification under section 20C of the FMA, at least 30 da</w:t>
      </w:r>
      <w:r w:rsidR="001632D9">
        <w:t>ys before the polling day.</w:t>
      </w:r>
    </w:p>
    <w:p w:rsidR="001632D9" w:rsidRPr="00EA61A9" w:rsidRDefault="00EA61A9" w:rsidP="00587EAC">
      <w:pPr>
        <w:pStyle w:val="AINotes"/>
        <w:numPr>
          <w:ilvl w:val="0"/>
          <w:numId w:val="28"/>
        </w:numPr>
        <w:jc w:val="left"/>
      </w:pPr>
      <w:r w:rsidRPr="00EA61A9">
        <w:t>This measure covers the Expenditure Review Committee’s key reviews.  The scope, delivery and timing of the scheduled reviews may vary depending on emerging priorities during the year that impact on resources and scheduled projects.  In 2013</w:t>
      </w:r>
      <w:r w:rsidRPr="00EA61A9">
        <w:noBreakHyphen/>
        <w:t>14, these will be the Review of Human Resources and Financial Services and the Review of Government Schools</w:t>
      </w:r>
      <w:r w:rsidR="00440016" w:rsidRPr="00EA61A9">
        <w:t>.</w:t>
      </w:r>
    </w:p>
    <w:p w:rsidR="00CB635B" w:rsidRDefault="00EB32D6">
      <w:pPr>
        <w:rPr>
          <w:b/>
          <w:bCs/>
          <w:szCs w:val="24"/>
        </w:rPr>
      </w:pPr>
      <w:r>
        <w:rPr>
          <w:b/>
          <w:bCs/>
          <w:szCs w:val="24"/>
        </w:rPr>
        <w:br w:type="page"/>
      </w:r>
    </w:p>
    <w:p w:rsidR="00CB635B" w:rsidRDefault="00CB635B" w:rsidP="00CB635B">
      <w:pPr>
        <w:pStyle w:val="Heading3TopofPage"/>
      </w:pPr>
      <w:proofErr w:type="gramStart"/>
      <w:r>
        <w:lastRenderedPageBreak/>
        <w:t>Accountability Indicators cont.</w:t>
      </w:r>
      <w:proofErr w:type="gramEnd"/>
    </w:p>
    <w:tbl>
      <w:tblPr>
        <w:tblW w:w="9356" w:type="dxa"/>
        <w:tblLook w:val="0000"/>
      </w:tblPr>
      <w:tblGrid>
        <w:gridCol w:w="4931"/>
        <w:gridCol w:w="1473"/>
        <w:gridCol w:w="1479"/>
        <w:gridCol w:w="1473"/>
      </w:tblGrid>
      <w:tr w:rsidR="00673E97" w:rsidTr="00397C84">
        <w:trPr>
          <w:cantSplit/>
        </w:trPr>
        <w:tc>
          <w:tcPr>
            <w:tcW w:w="4931" w:type="dxa"/>
            <w:tcBorders>
              <w:top w:val="single" w:sz="4" w:space="0" w:color="auto"/>
              <w:bottom w:val="single" w:sz="4" w:space="0" w:color="auto"/>
            </w:tcBorders>
          </w:tcPr>
          <w:p w:rsidR="00673E97" w:rsidRDefault="00673E97" w:rsidP="00CB635B">
            <w:pPr>
              <w:pStyle w:val="Heading7"/>
              <w:ind w:left="0" w:firstLine="0"/>
            </w:pPr>
          </w:p>
        </w:tc>
        <w:tc>
          <w:tcPr>
            <w:tcW w:w="1473" w:type="dxa"/>
            <w:tcBorders>
              <w:top w:val="single" w:sz="4" w:space="0" w:color="auto"/>
              <w:bottom w:val="single" w:sz="4" w:space="0" w:color="auto"/>
            </w:tcBorders>
          </w:tcPr>
          <w:p w:rsidR="00673E97" w:rsidRDefault="00673E97" w:rsidP="004525DE">
            <w:pPr>
              <w:pStyle w:val="Heading6"/>
            </w:pPr>
            <w:r>
              <w:t>20</w:t>
            </w:r>
            <w:r w:rsidR="000C6B92">
              <w:t>12</w:t>
            </w:r>
            <w:r w:rsidR="00C25CDC">
              <w:t>-13</w:t>
            </w:r>
          </w:p>
          <w:p w:rsidR="00673E97" w:rsidRDefault="00673E97" w:rsidP="004525DE">
            <w:pPr>
              <w:pStyle w:val="Heading6"/>
            </w:pPr>
            <w:r>
              <w:t>Targets</w:t>
            </w:r>
          </w:p>
        </w:tc>
        <w:tc>
          <w:tcPr>
            <w:tcW w:w="1479" w:type="dxa"/>
            <w:tcBorders>
              <w:top w:val="single" w:sz="4" w:space="0" w:color="auto"/>
              <w:bottom w:val="single" w:sz="4" w:space="0" w:color="auto"/>
            </w:tcBorders>
          </w:tcPr>
          <w:p w:rsidR="00673E97" w:rsidRDefault="00673E97" w:rsidP="004525DE">
            <w:pPr>
              <w:pStyle w:val="Heading6"/>
            </w:pPr>
            <w:r>
              <w:t>20</w:t>
            </w:r>
            <w:r w:rsidR="000C6B92">
              <w:t>12</w:t>
            </w:r>
            <w:r w:rsidR="00C25CDC">
              <w:t>-13</w:t>
            </w:r>
          </w:p>
          <w:p w:rsidR="00673E97" w:rsidRDefault="00673E97" w:rsidP="004525DE">
            <w:pPr>
              <w:pStyle w:val="Heading6"/>
            </w:pPr>
            <w:r>
              <w:t>Est. Outcome</w:t>
            </w:r>
            <w:r w:rsidR="00440016" w:rsidRPr="00440016">
              <w:rPr>
                <w:b w:val="0"/>
                <w:vertAlign w:val="superscript"/>
              </w:rPr>
              <w:t>1</w:t>
            </w:r>
          </w:p>
        </w:tc>
        <w:tc>
          <w:tcPr>
            <w:tcW w:w="1473" w:type="dxa"/>
            <w:tcBorders>
              <w:top w:val="single" w:sz="4" w:space="0" w:color="auto"/>
              <w:bottom w:val="single" w:sz="4" w:space="0" w:color="auto"/>
            </w:tcBorders>
          </w:tcPr>
          <w:p w:rsidR="00673E97" w:rsidRDefault="00673E97" w:rsidP="004525DE">
            <w:pPr>
              <w:pStyle w:val="Heading6"/>
            </w:pPr>
            <w:r>
              <w:t>20</w:t>
            </w:r>
            <w:r w:rsidR="000C6B92">
              <w:t>13</w:t>
            </w:r>
            <w:r w:rsidR="00C25CDC">
              <w:t>-14</w:t>
            </w:r>
          </w:p>
          <w:p w:rsidR="00673E97" w:rsidRDefault="00673E97" w:rsidP="004525DE">
            <w:pPr>
              <w:pStyle w:val="Heading6"/>
            </w:pPr>
            <w:r>
              <w:t>Targets</w:t>
            </w:r>
          </w:p>
        </w:tc>
      </w:tr>
      <w:tr w:rsidR="004525DE" w:rsidTr="00397C84">
        <w:trPr>
          <w:cantSplit/>
        </w:trPr>
        <w:tc>
          <w:tcPr>
            <w:tcW w:w="9356" w:type="dxa"/>
            <w:gridSpan w:val="4"/>
            <w:tcBorders>
              <w:top w:val="single" w:sz="4" w:space="0" w:color="auto"/>
              <w:bottom w:val="single" w:sz="4" w:space="0" w:color="auto"/>
            </w:tcBorders>
          </w:tcPr>
          <w:p w:rsidR="004525DE" w:rsidRDefault="004525DE">
            <w:pPr>
              <w:pStyle w:val="Heading7"/>
              <w:spacing w:before="40" w:after="40"/>
            </w:pPr>
            <w:r>
              <w:t>Output 1.3:  Revenue Management</w:t>
            </w:r>
            <w:r w:rsidR="00440016" w:rsidRPr="00440016">
              <w:rPr>
                <w:b w:val="0"/>
                <w:vertAlign w:val="superscript"/>
              </w:rPr>
              <w:t>2</w:t>
            </w:r>
          </w:p>
        </w:tc>
      </w:tr>
      <w:tr w:rsidR="00232397" w:rsidRPr="00232397" w:rsidTr="00397C84">
        <w:trPr>
          <w:cantSplit/>
        </w:trPr>
        <w:tc>
          <w:tcPr>
            <w:tcW w:w="4931" w:type="dxa"/>
          </w:tcPr>
          <w:p w:rsidR="00232397" w:rsidRPr="00232397" w:rsidRDefault="00232397" w:rsidP="00232397">
            <w:pPr>
              <w:pStyle w:val="Tabletextindenta"/>
              <w:numPr>
                <w:ilvl w:val="0"/>
                <w:numId w:val="0"/>
              </w:numPr>
              <w:ind w:left="357"/>
              <w:rPr>
                <w:sz w:val="8"/>
                <w:szCs w:val="8"/>
              </w:rPr>
            </w:pPr>
          </w:p>
        </w:tc>
        <w:tc>
          <w:tcPr>
            <w:tcW w:w="1473" w:type="dxa"/>
          </w:tcPr>
          <w:p w:rsidR="00232397" w:rsidRPr="00232397" w:rsidRDefault="00232397">
            <w:pPr>
              <w:pStyle w:val="TableTextRight"/>
              <w:spacing w:before="40" w:after="40"/>
              <w:rPr>
                <w:sz w:val="8"/>
                <w:szCs w:val="8"/>
              </w:rPr>
            </w:pPr>
          </w:p>
        </w:tc>
        <w:tc>
          <w:tcPr>
            <w:tcW w:w="1479" w:type="dxa"/>
          </w:tcPr>
          <w:p w:rsidR="00232397" w:rsidRPr="00232397" w:rsidRDefault="00232397" w:rsidP="000C6B92">
            <w:pPr>
              <w:pStyle w:val="TableTextRight"/>
              <w:spacing w:before="40" w:after="40"/>
              <w:rPr>
                <w:sz w:val="8"/>
                <w:szCs w:val="8"/>
              </w:rPr>
            </w:pPr>
          </w:p>
        </w:tc>
        <w:tc>
          <w:tcPr>
            <w:tcW w:w="1473" w:type="dxa"/>
          </w:tcPr>
          <w:p w:rsidR="00232397" w:rsidRPr="00232397" w:rsidRDefault="00232397">
            <w:pPr>
              <w:pStyle w:val="TableTextRight"/>
              <w:spacing w:before="40" w:after="40"/>
              <w:rPr>
                <w:sz w:val="8"/>
                <w:szCs w:val="8"/>
              </w:rPr>
            </w:pPr>
          </w:p>
        </w:tc>
      </w:tr>
      <w:tr w:rsidR="00397C84" w:rsidTr="00397C84">
        <w:trPr>
          <w:cantSplit/>
        </w:trPr>
        <w:tc>
          <w:tcPr>
            <w:tcW w:w="4931" w:type="dxa"/>
          </w:tcPr>
          <w:p w:rsidR="00397C84" w:rsidRDefault="00397C84" w:rsidP="008159F8">
            <w:pPr>
              <w:pStyle w:val="Tabletextindenta"/>
              <w:numPr>
                <w:ilvl w:val="0"/>
                <w:numId w:val="5"/>
              </w:numPr>
            </w:pPr>
            <w:r>
              <w:t xml:space="preserve">Debt Management - level of overdue debt as a percentage of Treasury tax </w:t>
            </w:r>
            <w:r w:rsidR="008159F8">
              <w:t>revenue</w:t>
            </w:r>
            <w:r w:rsidR="008159F8">
              <w:rPr>
                <w:vertAlign w:val="superscript"/>
              </w:rPr>
              <w:t>3</w:t>
            </w:r>
          </w:p>
        </w:tc>
        <w:tc>
          <w:tcPr>
            <w:tcW w:w="1473" w:type="dxa"/>
          </w:tcPr>
          <w:p w:rsidR="00397C84" w:rsidRDefault="00397C84">
            <w:pPr>
              <w:pStyle w:val="TableTextRight"/>
              <w:spacing w:before="40" w:after="40"/>
            </w:pPr>
            <w:r>
              <w:t>2.5%</w:t>
            </w:r>
          </w:p>
        </w:tc>
        <w:tc>
          <w:tcPr>
            <w:tcW w:w="1479" w:type="dxa"/>
          </w:tcPr>
          <w:p w:rsidR="00397C84" w:rsidRDefault="000C6B92" w:rsidP="000C6B92">
            <w:pPr>
              <w:pStyle w:val="TableTextRight"/>
              <w:spacing w:before="40" w:after="40"/>
            </w:pPr>
            <w:r>
              <w:t>2.5%</w:t>
            </w:r>
          </w:p>
        </w:tc>
        <w:tc>
          <w:tcPr>
            <w:tcW w:w="1473" w:type="dxa"/>
          </w:tcPr>
          <w:p w:rsidR="00397C84" w:rsidRDefault="00C25CDC" w:rsidP="00C25CDC">
            <w:pPr>
              <w:pStyle w:val="TableTextRight"/>
              <w:spacing w:before="40" w:after="40"/>
            </w:pPr>
            <w:r>
              <w:t>n/a</w:t>
            </w:r>
          </w:p>
        </w:tc>
      </w:tr>
      <w:tr w:rsidR="00397C84" w:rsidTr="00232397">
        <w:trPr>
          <w:cantSplit/>
        </w:trPr>
        <w:tc>
          <w:tcPr>
            <w:tcW w:w="4931" w:type="dxa"/>
          </w:tcPr>
          <w:p w:rsidR="00397C84" w:rsidRDefault="00397C84" w:rsidP="00584BC7">
            <w:pPr>
              <w:pStyle w:val="Tabletextindenta"/>
              <w:numPr>
                <w:ilvl w:val="0"/>
                <w:numId w:val="5"/>
              </w:numPr>
            </w:pPr>
            <w:r>
              <w:t>Compliance revenue per inspector</w:t>
            </w:r>
          </w:p>
        </w:tc>
        <w:tc>
          <w:tcPr>
            <w:tcW w:w="1473" w:type="dxa"/>
          </w:tcPr>
          <w:p w:rsidR="00397C84" w:rsidRDefault="00397C84">
            <w:pPr>
              <w:pStyle w:val="TableTextRight"/>
              <w:spacing w:before="40" w:after="40"/>
            </w:pPr>
            <w:r>
              <w:t>$360,000</w:t>
            </w:r>
          </w:p>
        </w:tc>
        <w:tc>
          <w:tcPr>
            <w:tcW w:w="1479" w:type="dxa"/>
          </w:tcPr>
          <w:p w:rsidR="00397C84" w:rsidRDefault="00752326" w:rsidP="004453E1">
            <w:pPr>
              <w:pStyle w:val="TableTextRight"/>
              <w:spacing w:before="40" w:after="40"/>
            </w:pPr>
            <w:r>
              <w:t>$</w:t>
            </w:r>
            <w:r w:rsidR="004453E1">
              <w:t>208,215</w:t>
            </w:r>
          </w:p>
        </w:tc>
        <w:tc>
          <w:tcPr>
            <w:tcW w:w="1473" w:type="dxa"/>
          </w:tcPr>
          <w:p w:rsidR="00397C84" w:rsidRDefault="00C25CDC" w:rsidP="00C25CDC">
            <w:pPr>
              <w:pStyle w:val="TableTextRight"/>
              <w:spacing w:before="40" w:after="40"/>
            </w:pPr>
            <w:r>
              <w:t>n/a</w:t>
            </w:r>
          </w:p>
        </w:tc>
      </w:tr>
      <w:tr w:rsidR="00232397" w:rsidRPr="00232397" w:rsidTr="00397C84">
        <w:trPr>
          <w:cantSplit/>
        </w:trPr>
        <w:tc>
          <w:tcPr>
            <w:tcW w:w="4931" w:type="dxa"/>
            <w:tcBorders>
              <w:bottom w:val="single" w:sz="4" w:space="0" w:color="auto"/>
            </w:tcBorders>
          </w:tcPr>
          <w:p w:rsidR="00232397" w:rsidRPr="00232397" w:rsidRDefault="00232397" w:rsidP="00232397">
            <w:pPr>
              <w:pStyle w:val="Tabletextindenta"/>
              <w:numPr>
                <w:ilvl w:val="0"/>
                <w:numId w:val="0"/>
              </w:numPr>
              <w:ind w:left="357"/>
              <w:rPr>
                <w:sz w:val="8"/>
                <w:szCs w:val="8"/>
              </w:rPr>
            </w:pPr>
          </w:p>
        </w:tc>
        <w:tc>
          <w:tcPr>
            <w:tcW w:w="1473" w:type="dxa"/>
            <w:tcBorders>
              <w:bottom w:val="single" w:sz="4" w:space="0" w:color="auto"/>
            </w:tcBorders>
          </w:tcPr>
          <w:p w:rsidR="00232397" w:rsidRPr="00232397" w:rsidRDefault="00232397">
            <w:pPr>
              <w:pStyle w:val="TableTextRight"/>
              <w:spacing w:before="40" w:after="40"/>
              <w:rPr>
                <w:sz w:val="8"/>
                <w:szCs w:val="8"/>
              </w:rPr>
            </w:pPr>
          </w:p>
        </w:tc>
        <w:tc>
          <w:tcPr>
            <w:tcW w:w="1479" w:type="dxa"/>
            <w:tcBorders>
              <w:bottom w:val="single" w:sz="4" w:space="0" w:color="auto"/>
            </w:tcBorders>
          </w:tcPr>
          <w:p w:rsidR="00232397" w:rsidRPr="00232397" w:rsidRDefault="00232397" w:rsidP="000C6B92">
            <w:pPr>
              <w:pStyle w:val="TableTextRight"/>
              <w:spacing w:before="40" w:after="40"/>
              <w:rPr>
                <w:sz w:val="8"/>
                <w:szCs w:val="8"/>
              </w:rPr>
            </w:pPr>
          </w:p>
        </w:tc>
        <w:tc>
          <w:tcPr>
            <w:tcW w:w="1473" w:type="dxa"/>
            <w:tcBorders>
              <w:bottom w:val="single" w:sz="4" w:space="0" w:color="auto"/>
            </w:tcBorders>
          </w:tcPr>
          <w:p w:rsidR="00232397" w:rsidRPr="00232397" w:rsidRDefault="00232397" w:rsidP="000C6B92">
            <w:pPr>
              <w:pStyle w:val="TableTextRight"/>
              <w:spacing w:before="40" w:after="40"/>
              <w:rPr>
                <w:sz w:val="8"/>
                <w:szCs w:val="8"/>
              </w:rPr>
            </w:pPr>
          </w:p>
        </w:tc>
      </w:tr>
    </w:tbl>
    <w:p w:rsidR="004525DE" w:rsidRPr="002616E5" w:rsidRDefault="004525DE" w:rsidP="002616E5">
      <w:pPr>
        <w:pStyle w:val="NoteHeading1"/>
      </w:pPr>
      <w:r w:rsidRPr="002616E5">
        <w:t>Note</w:t>
      </w:r>
      <w:r w:rsidR="00C476ED" w:rsidRPr="002616E5">
        <w:t>s</w:t>
      </w:r>
      <w:r w:rsidR="007550FA" w:rsidRPr="002616E5">
        <w:t>:</w:t>
      </w:r>
    </w:p>
    <w:p w:rsidR="00587EAC" w:rsidRDefault="00587EAC" w:rsidP="00587EAC">
      <w:pPr>
        <w:pStyle w:val="AINotes"/>
        <w:numPr>
          <w:ilvl w:val="0"/>
          <w:numId w:val="29"/>
        </w:numPr>
      </w:pPr>
      <w:r w:rsidRPr="00232397">
        <w:t>The</w:t>
      </w:r>
      <w:r>
        <w:t xml:space="preserve"> </w:t>
      </w:r>
      <w:r w:rsidR="0015484A">
        <w:t>2012</w:t>
      </w:r>
      <w:r w:rsidR="0015484A">
        <w:noBreakHyphen/>
        <w:t>13 </w:t>
      </w:r>
      <w:r>
        <w:t>estimated outcome reflects an</w:t>
      </w:r>
      <w:r w:rsidRPr="00232397">
        <w:t xml:space="preserve"> </w:t>
      </w:r>
      <w:r>
        <w:t>amended tar</w:t>
      </w:r>
      <w:r w:rsidR="0015484A">
        <w:t>get, covering the period from 1 July 2012 to 9 November </w:t>
      </w:r>
      <w:r>
        <w:t>2012.</w:t>
      </w:r>
    </w:p>
    <w:p w:rsidR="00587EAC" w:rsidRPr="00587EAC" w:rsidRDefault="00587EAC" w:rsidP="00587EAC">
      <w:pPr>
        <w:pStyle w:val="AINotes"/>
        <w:numPr>
          <w:ilvl w:val="0"/>
          <w:numId w:val="29"/>
        </w:numPr>
        <w:rPr>
          <w:iCs/>
          <w:szCs w:val="16"/>
        </w:rPr>
      </w:pPr>
      <w:r w:rsidRPr="00587EAC">
        <w:rPr>
          <w:iCs/>
          <w:szCs w:val="16"/>
        </w:rPr>
        <w:t xml:space="preserve">This output </w:t>
      </w:r>
      <w:r w:rsidR="0015484A">
        <w:rPr>
          <w:iCs/>
          <w:szCs w:val="16"/>
        </w:rPr>
        <w:t xml:space="preserve">was </w:t>
      </w:r>
      <w:r w:rsidRPr="00587EAC">
        <w:rPr>
          <w:iCs/>
          <w:szCs w:val="16"/>
        </w:rPr>
        <w:t xml:space="preserve">transferred </w:t>
      </w:r>
      <w:r w:rsidR="0015484A">
        <w:rPr>
          <w:iCs/>
          <w:szCs w:val="16"/>
        </w:rPr>
        <w:t>out of the Directorate following the AAs and is reported as CWD Output </w:t>
      </w:r>
      <w:r w:rsidRPr="00587EAC">
        <w:rPr>
          <w:iCs/>
          <w:szCs w:val="16"/>
        </w:rPr>
        <w:t>5.1</w:t>
      </w:r>
      <w:r w:rsidR="0015484A">
        <w:rPr>
          <w:iCs/>
          <w:szCs w:val="16"/>
        </w:rPr>
        <w:t>,</w:t>
      </w:r>
      <w:r w:rsidRPr="00587EAC">
        <w:rPr>
          <w:iCs/>
          <w:szCs w:val="16"/>
        </w:rPr>
        <w:t xml:space="preserve"> </w:t>
      </w:r>
      <w:r w:rsidR="0015484A">
        <w:rPr>
          <w:iCs/>
          <w:szCs w:val="16"/>
        </w:rPr>
        <w:t>‘</w:t>
      </w:r>
      <w:r w:rsidRPr="00587EAC">
        <w:rPr>
          <w:iCs/>
          <w:szCs w:val="16"/>
        </w:rPr>
        <w:t>Revenue Management</w:t>
      </w:r>
      <w:r w:rsidR="0015484A">
        <w:rPr>
          <w:iCs/>
          <w:szCs w:val="16"/>
        </w:rPr>
        <w:t>’</w:t>
      </w:r>
      <w:r w:rsidRPr="00587EAC">
        <w:rPr>
          <w:iCs/>
          <w:szCs w:val="16"/>
        </w:rPr>
        <w:t>.</w:t>
      </w:r>
    </w:p>
    <w:p w:rsidR="00587EAC" w:rsidRPr="00587EAC" w:rsidRDefault="00587EAC" w:rsidP="00587EAC">
      <w:pPr>
        <w:pStyle w:val="AINotes"/>
        <w:numPr>
          <w:ilvl w:val="0"/>
          <w:numId w:val="29"/>
        </w:numPr>
        <w:rPr>
          <w:szCs w:val="16"/>
        </w:rPr>
      </w:pPr>
      <w:r w:rsidRPr="00232397">
        <w:t xml:space="preserve">‘Level of overdue debt’ measures the level of overdue collectable debt as a percentage of </w:t>
      </w:r>
      <w:proofErr w:type="gramStart"/>
      <w:r w:rsidRPr="00232397">
        <w:t>forecast</w:t>
      </w:r>
      <w:proofErr w:type="gramEnd"/>
      <w:r w:rsidRPr="00232397">
        <w:t xml:space="preserve"> Treasury tax revenue.  It excludes matters subject to objection and appeals, under liquidation</w:t>
      </w:r>
      <w:r w:rsidR="0015484A">
        <w:t xml:space="preserve"> and agreements made by the ACT </w:t>
      </w:r>
      <w:r w:rsidRPr="00232397">
        <w:t>Government in respect of pending waivers.</w:t>
      </w:r>
    </w:p>
    <w:p w:rsidR="00EB32D6" w:rsidRDefault="00EB32D6">
      <w:r>
        <w:br w:type="page"/>
      </w:r>
    </w:p>
    <w:p w:rsidR="00282100" w:rsidRPr="00282100" w:rsidRDefault="00282100">
      <w:pPr>
        <w:rPr>
          <w:rFonts w:ascii="Arial" w:hAnsi="Arial" w:cs="Arial"/>
          <w:b/>
        </w:rPr>
      </w:pPr>
      <w:r w:rsidRPr="00282100">
        <w:rPr>
          <w:rFonts w:ascii="Arial" w:hAnsi="Arial" w:cs="Arial"/>
          <w:b/>
        </w:rPr>
        <w:lastRenderedPageBreak/>
        <w:t>Changes to Appropriation</w:t>
      </w:r>
    </w:p>
    <w:tbl>
      <w:tblPr>
        <w:tblW w:w="9356" w:type="dxa"/>
        <w:tblLook w:val="04A0"/>
      </w:tblPr>
      <w:tblGrid>
        <w:gridCol w:w="4451"/>
        <w:gridCol w:w="981"/>
        <w:gridCol w:w="981"/>
        <w:gridCol w:w="981"/>
        <w:gridCol w:w="981"/>
        <w:gridCol w:w="981"/>
      </w:tblGrid>
      <w:tr w:rsidR="00282100" w:rsidRPr="00530CDB" w:rsidTr="002527A2">
        <w:trPr>
          <w:trHeight w:val="240"/>
        </w:trPr>
        <w:tc>
          <w:tcPr>
            <w:tcW w:w="4451" w:type="dxa"/>
            <w:tcBorders>
              <w:top w:val="nil"/>
              <w:left w:val="nil"/>
              <w:bottom w:val="nil"/>
              <w:right w:val="nil"/>
            </w:tcBorders>
            <w:shd w:val="clear" w:color="auto" w:fill="auto"/>
            <w:hideMark/>
          </w:tcPr>
          <w:p w:rsidR="00282100" w:rsidRPr="00530CDB" w:rsidRDefault="00282100" w:rsidP="002527A2">
            <w:pPr>
              <w:rPr>
                <w:b/>
                <w:bCs/>
                <w:sz w:val="18"/>
                <w:szCs w:val="18"/>
                <w:lang w:eastAsia="en-AU"/>
              </w:rPr>
            </w:pPr>
            <w:r w:rsidRPr="00530CDB">
              <w:rPr>
                <w:b/>
                <w:bCs/>
                <w:sz w:val="18"/>
                <w:szCs w:val="18"/>
                <w:lang w:eastAsia="en-AU"/>
              </w:rPr>
              <w:t xml:space="preserve">Changes to Appropriation </w:t>
            </w:r>
            <w:r w:rsidR="00530CDB" w:rsidRPr="00530CDB">
              <w:rPr>
                <w:b/>
                <w:bCs/>
                <w:sz w:val="18"/>
                <w:szCs w:val="18"/>
                <w:lang w:eastAsia="en-AU"/>
              </w:rPr>
              <w:t xml:space="preserve">— </w:t>
            </w:r>
            <w:r w:rsidRPr="00530CDB">
              <w:rPr>
                <w:b/>
                <w:bCs/>
                <w:sz w:val="18"/>
                <w:szCs w:val="18"/>
                <w:lang w:eastAsia="en-AU"/>
              </w:rPr>
              <w:t>Controlled</w:t>
            </w:r>
          </w:p>
        </w:tc>
        <w:tc>
          <w:tcPr>
            <w:tcW w:w="981" w:type="dxa"/>
            <w:tcBorders>
              <w:top w:val="nil"/>
              <w:left w:val="nil"/>
              <w:bottom w:val="nil"/>
              <w:right w:val="nil"/>
            </w:tcBorders>
            <w:shd w:val="clear" w:color="auto" w:fill="auto"/>
            <w:noWrap/>
            <w:vAlign w:val="center"/>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vAlign w:val="center"/>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vAlign w:val="center"/>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vAlign w:val="center"/>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vAlign w:val="center"/>
            <w:hideMark/>
          </w:tcPr>
          <w:p w:rsidR="00282100" w:rsidRPr="00530CDB" w:rsidRDefault="00282100" w:rsidP="002527A2">
            <w:pPr>
              <w:jc w:val="right"/>
              <w:rPr>
                <w:b/>
                <w:sz w:val="18"/>
                <w:szCs w:val="18"/>
                <w:lang w:eastAsia="en-AU"/>
              </w:rPr>
            </w:pPr>
          </w:p>
        </w:tc>
      </w:tr>
      <w:tr w:rsidR="00282100" w:rsidRPr="00AF03EF" w:rsidTr="002527A2">
        <w:trPr>
          <w:trHeight w:val="240"/>
        </w:trPr>
        <w:tc>
          <w:tcPr>
            <w:tcW w:w="4451" w:type="dxa"/>
            <w:tcBorders>
              <w:top w:val="single" w:sz="4" w:space="0" w:color="auto"/>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2016-17</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Government Payment for Outputs</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 Out.</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Budget</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Estimate</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Estimate</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Estimate</w:t>
            </w:r>
          </w:p>
        </w:tc>
      </w:tr>
      <w:tr w:rsidR="00282100" w:rsidRPr="00AF03EF" w:rsidTr="002527A2">
        <w:trPr>
          <w:trHeight w:val="240"/>
        </w:trPr>
        <w:tc>
          <w:tcPr>
            <w:tcW w:w="4451" w:type="dxa"/>
            <w:tcBorders>
              <w:top w:val="nil"/>
              <w:left w:val="nil"/>
              <w:bottom w:val="single" w:sz="4" w:space="0" w:color="auto"/>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2012-13 Budget</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 xml:space="preserve"> 43 366</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 xml:space="preserve"> 36 421</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 xml:space="preserve"> 32 180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 xml:space="preserve"> 32 665</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 xml:space="preserve"> 32 665</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2013-14 Budget Technical Adjustments</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r w:rsidRPr="00AF03EF">
              <w:rPr>
                <w:sz w:val="18"/>
                <w:szCs w:val="18"/>
                <w:lang w:eastAsia="en-AU"/>
              </w:rPr>
              <w:t>Revised Indexation Parameters</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 xml:space="preserve">623 </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r w:rsidRPr="00AF03EF">
              <w:rPr>
                <w:sz w:val="18"/>
                <w:szCs w:val="18"/>
                <w:lang w:eastAsia="en-AU"/>
              </w:rPr>
              <w:t xml:space="preserve">Transfer </w:t>
            </w:r>
            <w:r w:rsidR="00530CDB">
              <w:rPr>
                <w:bCs/>
                <w:sz w:val="18"/>
                <w:szCs w:val="18"/>
                <w:lang w:eastAsia="en-AU"/>
              </w:rPr>
              <w:t xml:space="preserve">— </w:t>
            </w:r>
            <w:r w:rsidRPr="00AF03EF">
              <w:rPr>
                <w:sz w:val="18"/>
                <w:szCs w:val="18"/>
                <w:lang w:eastAsia="en-AU"/>
              </w:rPr>
              <w:t>Treasury Functions to CMTD</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(22,907)</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(22,176)</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(17,623)</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(17,894)</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(18,264)</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r w:rsidRPr="00AF03EF">
              <w:rPr>
                <w:sz w:val="18"/>
                <w:szCs w:val="18"/>
                <w:lang w:eastAsia="en-AU"/>
              </w:rPr>
              <w:t xml:space="preserve">Transfer </w:t>
            </w:r>
            <w:r w:rsidR="00530CDB">
              <w:rPr>
                <w:bCs/>
                <w:sz w:val="18"/>
                <w:szCs w:val="18"/>
                <w:lang w:eastAsia="en-AU"/>
              </w:rPr>
              <w:t xml:space="preserve">— </w:t>
            </w:r>
            <w:r w:rsidRPr="00AF03EF">
              <w:rPr>
                <w:sz w:val="18"/>
                <w:szCs w:val="18"/>
                <w:lang w:eastAsia="en-AU"/>
              </w:rPr>
              <w:t>Treasury Functions to CWD</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(10,678)</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(14,245)</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(14,557)</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(14,771)</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(15,024)</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r>
      <w:tr w:rsidR="00282100" w:rsidRPr="00AF03EF" w:rsidTr="002527A2">
        <w:trPr>
          <w:trHeight w:val="240"/>
        </w:trPr>
        <w:tc>
          <w:tcPr>
            <w:tcW w:w="4451" w:type="dxa"/>
            <w:tcBorders>
              <w:top w:val="nil"/>
              <w:left w:val="nil"/>
              <w:bottom w:val="single" w:sz="4" w:space="0" w:color="auto"/>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2013-14 Budget</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9,781</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r>
      <w:tr w:rsidR="00282100" w:rsidRPr="00530CDB" w:rsidTr="002527A2">
        <w:trPr>
          <w:trHeight w:val="240"/>
        </w:trPr>
        <w:tc>
          <w:tcPr>
            <w:tcW w:w="4451" w:type="dxa"/>
            <w:tcBorders>
              <w:top w:val="nil"/>
              <w:left w:val="nil"/>
              <w:bottom w:val="nil"/>
              <w:right w:val="nil"/>
            </w:tcBorders>
            <w:shd w:val="clear" w:color="auto" w:fill="auto"/>
            <w:hideMark/>
          </w:tcPr>
          <w:p w:rsidR="00282100" w:rsidRPr="00530CDB" w:rsidRDefault="00282100" w:rsidP="002527A2">
            <w:pPr>
              <w:rPr>
                <w:b/>
                <w:bCs/>
                <w:sz w:val="18"/>
                <w:szCs w:val="18"/>
                <w:lang w:eastAsia="en-AU"/>
              </w:rPr>
            </w:pPr>
            <w:r w:rsidRPr="00530CDB">
              <w:rPr>
                <w:b/>
                <w:bCs/>
                <w:sz w:val="18"/>
                <w:szCs w:val="18"/>
                <w:lang w:eastAsia="en-AU"/>
              </w:rPr>
              <w:t xml:space="preserve">Changes to Appropriation </w:t>
            </w:r>
            <w:r w:rsidR="00530CDB" w:rsidRPr="00530CDB">
              <w:rPr>
                <w:b/>
                <w:bCs/>
                <w:sz w:val="18"/>
                <w:szCs w:val="18"/>
                <w:lang w:eastAsia="en-AU"/>
              </w:rPr>
              <w:t xml:space="preserve">— </w:t>
            </w:r>
            <w:r w:rsidRPr="00530CDB">
              <w:rPr>
                <w:b/>
                <w:bCs/>
                <w:sz w:val="18"/>
                <w:szCs w:val="18"/>
                <w:lang w:eastAsia="en-AU"/>
              </w:rPr>
              <w:t>Territorial</w:t>
            </w: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r>
      <w:tr w:rsidR="00282100" w:rsidRPr="00AF03EF" w:rsidTr="002527A2">
        <w:trPr>
          <w:trHeight w:val="240"/>
        </w:trPr>
        <w:tc>
          <w:tcPr>
            <w:tcW w:w="4451" w:type="dxa"/>
            <w:tcBorders>
              <w:top w:val="single" w:sz="4" w:space="0" w:color="auto"/>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2016-17</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Payment for Expenses on Behalf of Territory</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 Out.</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Budget</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Estimate</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Estimate</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Estimate</w:t>
            </w:r>
          </w:p>
        </w:tc>
      </w:tr>
      <w:tr w:rsidR="00282100" w:rsidRPr="00AF03EF" w:rsidTr="002527A2">
        <w:trPr>
          <w:trHeight w:val="240"/>
        </w:trPr>
        <w:tc>
          <w:tcPr>
            <w:tcW w:w="4451" w:type="dxa"/>
            <w:tcBorders>
              <w:top w:val="nil"/>
              <w:left w:val="nil"/>
              <w:bottom w:val="single" w:sz="4" w:space="0" w:color="auto"/>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2012-13 Budget</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17,782</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17,460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17,460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17,460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17,460</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2013-14 Budget Technical Adjustments</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r>
      <w:tr w:rsidR="00282100" w:rsidRPr="00AF03EF" w:rsidTr="002527A2">
        <w:trPr>
          <w:trHeight w:val="465"/>
        </w:trPr>
        <w:tc>
          <w:tcPr>
            <w:tcW w:w="4451" w:type="dxa"/>
            <w:tcBorders>
              <w:top w:val="nil"/>
              <w:left w:val="nil"/>
              <w:bottom w:val="nil"/>
              <w:right w:val="nil"/>
            </w:tcBorders>
            <w:shd w:val="clear" w:color="auto" w:fill="auto"/>
            <w:hideMark/>
          </w:tcPr>
          <w:p w:rsidR="00282100" w:rsidRPr="00AF03EF" w:rsidRDefault="00282100" w:rsidP="00F77058">
            <w:pPr>
              <w:ind w:left="142" w:hanging="142"/>
              <w:rPr>
                <w:sz w:val="18"/>
                <w:szCs w:val="18"/>
                <w:lang w:eastAsia="en-AU"/>
              </w:rPr>
            </w:pPr>
            <w:r w:rsidRPr="00AF03EF">
              <w:rPr>
                <w:sz w:val="18"/>
                <w:szCs w:val="18"/>
                <w:lang w:eastAsia="en-AU"/>
              </w:rPr>
              <w:t xml:space="preserve">Transfer </w:t>
            </w:r>
            <w:r w:rsidR="00530CDB">
              <w:rPr>
                <w:bCs/>
                <w:sz w:val="18"/>
                <w:szCs w:val="18"/>
                <w:lang w:eastAsia="en-AU"/>
              </w:rPr>
              <w:t xml:space="preserve">— </w:t>
            </w:r>
            <w:r w:rsidRPr="00AF03EF">
              <w:rPr>
                <w:sz w:val="18"/>
                <w:szCs w:val="18"/>
                <w:lang w:eastAsia="en-AU"/>
              </w:rPr>
              <w:t>First Home Owners Grant and First Home Owners Boost NP to CWD</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(9,925)</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(17,225)</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(17,225)</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(17,225)</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(17,225)</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r w:rsidRPr="00AF03EF">
              <w:rPr>
                <w:sz w:val="18"/>
                <w:szCs w:val="18"/>
                <w:lang w:eastAsia="en-AU"/>
              </w:rPr>
              <w:t xml:space="preserve">Transfer </w:t>
            </w:r>
            <w:r w:rsidR="00530CDB">
              <w:rPr>
                <w:bCs/>
                <w:sz w:val="18"/>
                <w:szCs w:val="18"/>
                <w:lang w:eastAsia="en-AU"/>
              </w:rPr>
              <w:t xml:space="preserve">— </w:t>
            </w:r>
            <w:r w:rsidRPr="00AF03EF">
              <w:rPr>
                <w:sz w:val="18"/>
                <w:szCs w:val="18"/>
                <w:lang w:eastAsia="en-AU"/>
              </w:rPr>
              <w:t>EBT Balances to CWD</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 xml:space="preserve">- </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(235)</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(235)</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(235)</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(235)</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r>
      <w:tr w:rsidR="00282100" w:rsidRPr="00AF03EF" w:rsidTr="002527A2">
        <w:trPr>
          <w:trHeight w:val="240"/>
        </w:trPr>
        <w:tc>
          <w:tcPr>
            <w:tcW w:w="4451" w:type="dxa"/>
            <w:tcBorders>
              <w:top w:val="nil"/>
              <w:left w:val="nil"/>
              <w:bottom w:val="single" w:sz="4" w:space="0" w:color="auto"/>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2013-14 Budget</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7,857</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r>
      <w:tr w:rsidR="00282100" w:rsidRPr="00530CDB" w:rsidTr="002527A2">
        <w:trPr>
          <w:trHeight w:val="240"/>
        </w:trPr>
        <w:tc>
          <w:tcPr>
            <w:tcW w:w="4451" w:type="dxa"/>
            <w:tcBorders>
              <w:top w:val="nil"/>
              <w:left w:val="nil"/>
              <w:bottom w:val="nil"/>
              <w:right w:val="nil"/>
            </w:tcBorders>
            <w:shd w:val="clear" w:color="auto" w:fill="auto"/>
            <w:hideMark/>
          </w:tcPr>
          <w:p w:rsidR="00282100" w:rsidRPr="00530CDB" w:rsidRDefault="00282100" w:rsidP="00530CDB">
            <w:pPr>
              <w:rPr>
                <w:b/>
                <w:bCs/>
                <w:sz w:val="18"/>
                <w:szCs w:val="18"/>
                <w:lang w:eastAsia="en-AU"/>
              </w:rPr>
            </w:pPr>
            <w:r w:rsidRPr="00530CDB">
              <w:rPr>
                <w:b/>
                <w:bCs/>
                <w:sz w:val="18"/>
                <w:szCs w:val="18"/>
                <w:lang w:eastAsia="en-AU"/>
              </w:rPr>
              <w:t xml:space="preserve">Changes to Appropriation </w:t>
            </w:r>
            <w:r w:rsidR="00530CDB" w:rsidRPr="00530CDB">
              <w:rPr>
                <w:b/>
                <w:bCs/>
                <w:sz w:val="18"/>
                <w:szCs w:val="18"/>
                <w:lang w:eastAsia="en-AU"/>
              </w:rPr>
              <w:t xml:space="preserve">— </w:t>
            </w:r>
            <w:r w:rsidRPr="00530CDB">
              <w:rPr>
                <w:b/>
                <w:bCs/>
                <w:sz w:val="18"/>
                <w:szCs w:val="18"/>
                <w:lang w:eastAsia="en-AU"/>
              </w:rPr>
              <w:t>Controlled</w:t>
            </w: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r>
      <w:tr w:rsidR="00282100" w:rsidRPr="00AF03EF" w:rsidTr="002527A2">
        <w:trPr>
          <w:trHeight w:val="240"/>
        </w:trPr>
        <w:tc>
          <w:tcPr>
            <w:tcW w:w="4451" w:type="dxa"/>
            <w:tcBorders>
              <w:top w:val="single" w:sz="4" w:space="0" w:color="auto"/>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2016-17</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Capital Injections</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 Out.</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Budget</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Estimate</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Estimate</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Estimate</w:t>
            </w:r>
          </w:p>
        </w:tc>
      </w:tr>
      <w:tr w:rsidR="00282100" w:rsidRPr="00AF03EF" w:rsidTr="002527A2">
        <w:trPr>
          <w:trHeight w:val="240"/>
        </w:trPr>
        <w:tc>
          <w:tcPr>
            <w:tcW w:w="4451" w:type="dxa"/>
            <w:tcBorders>
              <w:top w:val="nil"/>
              <w:left w:val="nil"/>
              <w:bottom w:val="single" w:sz="4" w:space="0" w:color="auto"/>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2012-13 Budget</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9,179</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2013-14 Budget Technical Adjustments</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r>
      <w:tr w:rsidR="00282100" w:rsidRPr="00AF03EF" w:rsidTr="002527A2">
        <w:trPr>
          <w:trHeight w:val="30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r w:rsidRPr="00AF03EF">
              <w:rPr>
                <w:sz w:val="18"/>
                <w:szCs w:val="18"/>
                <w:lang w:eastAsia="en-AU"/>
              </w:rPr>
              <w:t xml:space="preserve">Transfer </w:t>
            </w:r>
            <w:r w:rsidR="00530CDB">
              <w:rPr>
                <w:bCs/>
                <w:sz w:val="18"/>
                <w:szCs w:val="18"/>
                <w:lang w:eastAsia="en-AU"/>
              </w:rPr>
              <w:t xml:space="preserve">— </w:t>
            </w:r>
            <w:r w:rsidRPr="00AF03EF">
              <w:rPr>
                <w:sz w:val="18"/>
                <w:szCs w:val="18"/>
                <w:lang w:eastAsia="en-AU"/>
              </w:rPr>
              <w:t>CHC Loan Appropriation to CMTD</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(3,838)</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 xml:space="preserve">- </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 xml:space="preserve">- </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 xml:space="preserve">- </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 xml:space="preserve">- </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r w:rsidRPr="00AF03EF">
              <w:rPr>
                <w:sz w:val="18"/>
                <w:szCs w:val="18"/>
                <w:lang w:eastAsia="en-AU"/>
              </w:rPr>
              <w:t xml:space="preserve">Transfer </w:t>
            </w:r>
            <w:r w:rsidR="00530CDB">
              <w:rPr>
                <w:bCs/>
                <w:sz w:val="18"/>
                <w:szCs w:val="18"/>
                <w:lang w:eastAsia="en-AU"/>
              </w:rPr>
              <w:t xml:space="preserve">— </w:t>
            </w:r>
            <w:r w:rsidRPr="00AF03EF">
              <w:rPr>
                <w:sz w:val="18"/>
                <w:szCs w:val="18"/>
                <w:lang w:eastAsia="en-AU"/>
              </w:rPr>
              <w:t>Oracle E-Business Suite Upgrade to CWD</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(4,500)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 xml:space="preserve">- </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 xml:space="preserve">- </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 xml:space="preserve">- </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 xml:space="preserve">- </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r w:rsidRPr="00AF03EF">
              <w:rPr>
                <w:sz w:val="18"/>
                <w:szCs w:val="18"/>
                <w:lang w:eastAsia="en-AU"/>
              </w:rPr>
              <w:t xml:space="preserve">Transfer </w:t>
            </w:r>
            <w:r w:rsidR="00530CDB">
              <w:rPr>
                <w:bCs/>
                <w:sz w:val="18"/>
                <w:szCs w:val="18"/>
                <w:lang w:eastAsia="en-AU"/>
              </w:rPr>
              <w:t xml:space="preserve">— </w:t>
            </w:r>
            <w:r w:rsidRPr="00AF03EF">
              <w:rPr>
                <w:sz w:val="18"/>
                <w:szCs w:val="18"/>
                <w:lang w:eastAsia="en-AU"/>
              </w:rPr>
              <w:t>Whole of Government Banking to CWD</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(841)</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 xml:space="preserve">- </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 xml:space="preserve">- </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 xml:space="preserve">- </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 xml:space="preserve">- </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r>
      <w:tr w:rsidR="00282100" w:rsidRPr="00AF03EF" w:rsidTr="002527A2">
        <w:trPr>
          <w:trHeight w:val="240"/>
        </w:trPr>
        <w:tc>
          <w:tcPr>
            <w:tcW w:w="4451" w:type="dxa"/>
            <w:tcBorders>
              <w:top w:val="nil"/>
              <w:left w:val="nil"/>
              <w:bottom w:val="single" w:sz="4" w:space="0" w:color="auto"/>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2013-14 Budget</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r>
      <w:tr w:rsidR="00282100" w:rsidRPr="00530CDB" w:rsidTr="002527A2">
        <w:trPr>
          <w:trHeight w:val="240"/>
        </w:trPr>
        <w:tc>
          <w:tcPr>
            <w:tcW w:w="4451" w:type="dxa"/>
            <w:tcBorders>
              <w:top w:val="nil"/>
              <w:left w:val="nil"/>
              <w:bottom w:val="nil"/>
              <w:right w:val="nil"/>
            </w:tcBorders>
            <w:shd w:val="clear" w:color="auto" w:fill="auto"/>
            <w:hideMark/>
          </w:tcPr>
          <w:p w:rsidR="00282100" w:rsidRPr="00530CDB" w:rsidRDefault="00282100" w:rsidP="002527A2">
            <w:pPr>
              <w:rPr>
                <w:b/>
                <w:bCs/>
                <w:sz w:val="18"/>
                <w:szCs w:val="18"/>
                <w:lang w:eastAsia="en-AU"/>
              </w:rPr>
            </w:pPr>
            <w:r w:rsidRPr="00530CDB">
              <w:rPr>
                <w:b/>
                <w:bCs/>
                <w:sz w:val="18"/>
                <w:szCs w:val="18"/>
                <w:lang w:eastAsia="en-AU"/>
              </w:rPr>
              <w:t xml:space="preserve">Changes to Appropriation </w:t>
            </w:r>
            <w:r w:rsidR="00530CDB" w:rsidRPr="00530CDB">
              <w:rPr>
                <w:b/>
                <w:bCs/>
                <w:sz w:val="18"/>
                <w:szCs w:val="18"/>
                <w:lang w:eastAsia="en-AU"/>
              </w:rPr>
              <w:t xml:space="preserve">— </w:t>
            </w:r>
            <w:r w:rsidRPr="00530CDB">
              <w:rPr>
                <w:b/>
                <w:bCs/>
                <w:sz w:val="18"/>
                <w:szCs w:val="18"/>
                <w:lang w:eastAsia="en-AU"/>
              </w:rPr>
              <w:t>Territorial</w:t>
            </w: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c>
          <w:tcPr>
            <w:tcW w:w="981" w:type="dxa"/>
            <w:tcBorders>
              <w:top w:val="nil"/>
              <w:left w:val="nil"/>
              <w:bottom w:val="nil"/>
              <w:right w:val="nil"/>
            </w:tcBorders>
            <w:shd w:val="clear" w:color="auto" w:fill="auto"/>
            <w:noWrap/>
            <w:hideMark/>
          </w:tcPr>
          <w:p w:rsidR="00282100" w:rsidRPr="00530CDB" w:rsidRDefault="00282100" w:rsidP="002527A2">
            <w:pPr>
              <w:jc w:val="right"/>
              <w:rPr>
                <w:b/>
                <w:sz w:val="18"/>
                <w:szCs w:val="18"/>
                <w:lang w:eastAsia="en-AU"/>
              </w:rPr>
            </w:pPr>
          </w:p>
        </w:tc>
      </w:tr>
      <w:tr w:rsidR="00282100" w:rsidRPr="00AF03EF" w:rsidTr="002527A2">
        <w:trPr>
          <w:trHeight w:val="240"/>
        </w:trPr>
        <w:tc>
          <w:tcPr>
            <w:tcW w:w="4451" w:type="dxa"/>
            <w:tcBorders>
              <w:top w:val="single" w:sz="4" w:space="0" w:color="auto"/>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2016-17</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Capital Injections</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 Out.</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Budget</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Estimate</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Estimate</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Estimate</w:t>
            </w:r>
          </w:p>
        </w:tc>
      </w:tr>
      <w:tr w:rsidR="00282100" w:rsidRPr="00AF03EF" w:rsidTr="002527A2">
        <w:trPr>
          <w:trHeight w:val="240"/>
        </w:trPr>
        <w:tc>
          <w:tcPr>
            <w:tcW w:w="4451" w:type="dxa"/>
            <w:tcBorders>
              <w:top w:val="nil"/>
              <w:left w:val="nil"/>
              <w:bottom w:val="single" w:sz="4" w:space="0" w:color="auto"/>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$'000</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2012-13 Budget</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72,300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22,300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22,300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22,300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22,300</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b/>
                <w:bCs/>
                <w:sz w:val="18"/>
                <w:szCs w:val="18"/>
                <w:lang w:eastAsia="en-AU"/>
              </w:rPr>
            </w:pP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2013-14 Budget Technical Adjustments</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r>
      <w:tr w:rsidR="00282100" w:rsidRPr="00AF03EF" w:rsidTr="002527A2">
        <w:trPr>
          <w:trHeight w:val="27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r w:rsidRPr="00AF03EF">
              <w:rPr>
                <w:sz w:val="18"/>
                <w:szCs w:val="18"/>
                <w:lang w:eastAsia="en-AU"/>
              </w:rPr>
              <w:t xml:space="preserve">Transfer </w:t>
            </w:r>
            <w:r w:rsidR="00530CDB">
              <w:rPr>
                <w:bCs/>
                <w:sz w:val="18"/>
                <w:szCs w:val="18"/>
                <w:lang w:eastAsia="en-AU"/>
              </w:rPr>
              <w:t xml:space="preserve">— </w:t>
            </w:r>
            <w:r w:rsidRPr="00AF03EF">
              <w:rPr>
                <w:sz w:val="18"/>
                <w:szCs w:val="18"/>
                <w:lang w:eastAsia="en-AU"/>
              </w:rPr>
              <w:t>Land Rent Scheme Balances to CWD</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(9,045)</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(22,300)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(22,300)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(22,300)</w:t>
            </w: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r w:rsidRPr="00AF03EF">
              <w:rPr>
                <w:sz w:val="18"/>
                <w:szCs w:val="18"/>
                <w:lang w:eastAsia="en-AU"/>
              </w:rPr>
              <w:t>(22,300)</w:t>
            </w:r>
          </w:p>
        </w:tc>
      </w:tr>
      <w:tr w:rsidR="00282100" w:rsidRPr="00AF03EF" w:rsidTr="002527A2">
        <w:trPr>
          <w:trHeight w:val="240"/>
        </w:trPr>
        <w:tc>
          <w:tcPr>
            <w:tcW w:w="4451" w:type="dxa"/>
            <w:tcBorders>
              <w:top w:val="nil"/>
              <w:left w:val="nil"/>
              <w:bottom w:val="nil"/>
              <w:right w:val="nil"/>
            </w:tcBorders>
            <w:shd w:val="clear" w:color="auto" w:fill="auto"/>
            <w:hideMark/>
          </w:tcPr>
          <w:p w:rsidR="00282100" w:rsidRPr="00AF03EF" w:rsidRDefault="00282100" w:rsidP="002527A2">
            <w:pPr>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c>
          <w:tcPr>
            <w:tcW w:w="981" w:type="dxa"/>
            <w:tcBorders>
              <w:top w:val="nil"/>
              <w:left w:val="nil"/>
              <w:bottom w:val="nil"/>
              <w:right w:val="nil"/>
            </w:tcBorders>
            <w:shd w:val="clear" w:color="auto" w:fill="auto"/>
            <w:noWrap/>
            <w:hideMark/>
          </w:tcPr>
          <w:p w:rsidR="00282100" w:rsidRPr="00AF03EF" w:rsidRDefault="00282100" w:rsidP="002527A2">
            <w:pPr>
              <w:jc w:val="right"/>
              <w:rPr>
                <w:sz w:val="18"/>
                <w:szCs w:val="18"/>
                <w:lang w:eastAsia="en-AU"/>
              </w:rPr>
            </w:pPr>
          </w:p>
        </w:tc>
      </w:tr>
      <w:tr w:rsidR="00282100" w:rsidRPr="00AF03EF" w:rsidTr="002527A2">
        <w:trPr>
          <w:trHeight w:val="240"/>
        </w:trPr>
        <w:tc>
          <w:tcPr>
            <w:tcW w:w="4451" w:type="dxa"/>
            <w:tcBorders>
              <w:top w:val="nil"/>
              <w:left w:val="nil"/>
              <w:bottom w:val="single" w:sz="4" w:space="0" w:color="auto"/>
              <w:right w:val="nil"/>
            </w:tcBorders>
            <w:shd w:val="clear" w:color="auto" w:fill="auto"/>
            <w:hideMark/>
          </w:tcPr>
          <w:p w:rsidR="00282100" w:rsidRPr="00AF03EF" w:rsidRDefault="00282100" w:rsidP="002527A2">
            <w:pPr>
              <w:rPr>
                <w:b/>
                <w:bCs/>
                <w:sz w:val="18"/>
                <w:szCs w:val="18"/>
                <w:lang w:eastAsia="en-AU"/>
              </w:rPr>
            </w:pPr>
            <w:r w:rsidRPr="00AF03EF">
              <w:rPr>
                <w:b/>
                <w:bCs/>
                <w:sz w:val="18"/>
                <w:szCs w:val="18"/>
                <w:lang w:eastAsia="en-AU"/>
              </w:rPr>
              <w:t>2013-14 Budget</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63,255</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282100" w:rsidRPr="00AF03EF" w:rsidRDefault="00282100" w:rsidP="002527A2">
            <w:pPr>
              <w:jc w:val="right"/>
              <w:rPr>
                <w:b/>
                <w:bCs/>
                <w:sz w:val="18"/>
                <w:szCs w:val="18"/>
                <w:lang w:eastAsia="en-AU"/>
              </w:rPr>
            </w:pPr>
            <w:r w:rsidRPr="00AF03EF">
              <w:rPr>
                <w:b/>
                <w:bCs/>
                <w:sz w:val="18"/>
                <w:szCs w:val="18"/>
                <w:lang w:eastAsia="en-AU"/>
              </w:rPr>
              <w:t>0</w:t>
            </w:r>
          </w:p>
        </w:tc>
      </w:tr>
    </w:tbl>
    <w:p w:rsidR="00282100" w:rsidRDefault="00282100"/>
    <w:p w:rsidR="00282100" w:rsidRDefault="00282100">
      <w:r>
        <w:br w:type="page"/>
      </w:r>
    </w:p>
    <w:tbl>
      <w:tblPr>
        <w:tblW w:w="9392" w:type="dxa"/>
        <w:tblInd w:w="-283" w:type="dxa"/>
        <w:tblLook w:val="04A0"/>
      </w:tblPr>
      <w:tblGrid>
        <w:gridCol w:w="1054"/>
        <w:gridCol w:w="2392"/>
        <w:gridCol w:w="1106"/>
        <w:gridCol w:w="1054"/>
        <w:gridCol w:w="624"/>
        <w:gridCol w:w="1054"/>
        <w:gridCol w:w="1054"/>
        <w:gridCol w:w="1054"/>
      </w:tblGrid>
      <w:tr w:rsidR="00264F37" w:rsidTr="00EB32D6">
        <w:trPr>
          <w:tblHeader/>
        </w:trPr>
        <w:tc>
          <w:tcPr>
            <w:tcW w:w="9392" w:type="dxa"/>
            <w:gridSpan w:val="8"/>
            <w:tcBorders>
              <w:top w:val="nil"/>
              <w:left w:val="nil"/>
              <w:bottom w:val="nil"/>
              <w:right w:val="nil"/>
            </w:tcBorders>
            <w:shd w:val="clear" w:color="000000" w:fill="FFFFFF"/>
            <w:hideMark/>
          </w:tcPr>
          <w:p w:rsidR="00264F37" w:rsidRDefault="00264F37" w:rsidP="00264F37">
            <w:pPr>
              <w:jc w:val="center"/>
              <w:rPr>
                <w:rFonts w:ascii="Arial" w:hAnsi="Arial" w:cs="Arial"/>
                <w:b/>
                <w:bCs/>
                <w:szCs w:val="24"/>
              </w:rPr>
            </w:pPr>
            <w:bookmarkStart w:id="2" w:name="RANGE!A1:H34"/>
            <w:r>
              <w:rPr>
                <w:rFonts w:ascii="Arial" w:hAnsi="Arial" w:cs="Arial"/>
                <w:b/>
                <w:bCs/>
              </w:rPr>
              <w:lastRenderedPageBreak/>
              <w:t>Treasury Directorate</w:t>
            </w:r>
            <w:bookmarkEnd w:id="2"/>
          </w:p>
        </w:tc>
      </w:tr>
      <w:tr w:rsidR="00264F37" w:rsidTr="00EB32D6">
        <w:trPr>
          <w:tblHeader/>
        </w:trPr>
        <w:tc>
          <w:tcPr>
            <w:tcW w:w="9392" w:type="dxa"/>
            <w:gridSpan w:val="8"/>
            <w:tcBorders>
              <w:top w:val="nil"/>
              <w:left w:val="nil"/>
              <w:bottom w:val="nil"/>
              <w:right w:val="nil"/>
            </w:tcBorders>
            <w:shd w:val="clear" w:color="000000" w:fill="FFFFFF"/>
            <w:hideMark/>
          </w:tcPr>
          <w:p w:rsidR="00264F37" w:rsidRDefault="00264F37" w:rsidP="00264F37">
            <w:pPr>
              <w:jc w:val="center"/>
              <w:rPr>
                <w:rFonts w:ascii="Arial" w:hAnsi="Arial" w:cs="Arial"/>
                <w:b/>
                <w:bCs/>
                <w:szCs w:val="24"/>
              </w:rPr>
            </w:pPr>
            <w:r>
              <w:rPr>
                <w:rFonts w:ascii="Arial" w:hAnsi="Arial" w:cs="Arial"/>
                <w:b/>
                <w:bCs/>
              </w:rPr>
              <w:t>Operating Statement</w:t>
            </w:r>
          </w:p>
        </w:tc>
      </w:tr>
      <w:tr w:rsidR="00264F37" w:rsidTr="00264F37">
        <w:trPr>
          <w:tblHeader/>
        </w:trPr>
        <w:tc>
          <w:tcPr>
            <w:tcW w:w="1054" w:type="dxa"/>
            <w:tcBorders>
              <w:top w:val="single" w:sz="4" w:space="0" w:color="auto"/>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2016-17</w:t>
            </w:r>
          </w:p>
        </w:tc>
      </w:tr>
      <w:tr w:rsidR="00264F37" w:rsidTr="00264F37">
        <w:trPr>
          <w:tblHeader/>
        </w:trPr>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Estimate</w:t>
            </w:r>
          </w:p>
        </w:tc>
      </w:tr>
      <w:tr w:rsidR="00264F37" w:rsidTr="00264F37">
        <w:trPr>
          <w:tblHeader/>
        </w:trPr>
        <w:tc>
          <w:tcPr>
            <w:tcW w:w="1054" w:type="dxa"/>
            <w:tcBorders>
              <w:top w:val="nil"/>
              <w:left w:val="nil"/>
              <w:bottom w:val="single" w:sz="4" w:space="0" w:color="auto"/>
              <w:right w:val="nil"/>
            </w:tcBorders>
            <w:shd w:val="clear" w:color="000000" w:fill="FFFFFF"/>
            <w:hideMark/>
          </w:tcPr>
          <w:p w:rsidR="00264F37" w:rsidRDefault="00264F37" w:rsidP="00264F3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264F37" w:rsidRDefault="00264F37" w:rsidP="00264F3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jc w:val="right"/>
              <w:rPr>
                <w:b/>
                <w:bCs/>
                <w:sz w:val="18"/>
                <w:szCs w:val="18"/>
              </w:rPr>
            </w:pPr>
            <w:r>
              <w:rPr>
                <w:b/>
                <w:bCs/>
                <w:sz w:val="18"/>
                <w:szCs w:val="18"/>
              </w:rPr>
              <w:t>$'000</w:t>
            </w:r>
          </w:p>
        </w:tc>
      </w:tr>
      <w:tr w:rsidR="00264F37" w:rsidTr="00264F37">
        <w:trPr>
          <w:tblHeader/>
        </w:trPr>
        <w:tc>
          <w:tcPr>
            <w:tcW w:w="1054" w:type="dxa"/>
            <w:tcBorders>
              <w:top w:val="nil"/>
              <w:left w:val="nil"/>
              <w:bottom w:val="nil"/>
              <w:right w:val="nil"/>
            </w:tcBorders>
            <w:shd w:val="clear" w:color="000000" w:fill="FFFFFF"/>
            <w:hideMark/>
          </w:tcPr>
          <w:p w:rsidR="00264F37" w:rsidRDefault="00264F37" w:rsidP="00264F37">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i/>
                <w:iCs/>
                <w:sz w:val="18"/>
                <w:szCs w:val="18"/>
              </w:rPr>
            </w:pPr>
            <w:r>
              <w:rPr>
                <w:b/>
                <w:bCs/>
                <w:i/>
                <w:iCs/>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43,366</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9,781</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10</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xml:space="preserve">User Charges </w:t>
            </w:r>
            <w:r w:rsidR="00530CDB">
              <w:rPr>
                <w:bCs/>
                <w:sz w:val="18"/>
                <w:szCs w:val="18"/>
                <w:lang w:eastAsia="en-AU"/>
              </w:rPr>
              <w:t xml:space="preserve">— </w:t>
            </w:r>
            <w:r>
              <w:rPr>
                <w:sz w:val="18"/>
                <w:szCs w:val="18"/>
              </w:rPr>
              <w:t xml:space="preserve">ACT </w:t>
            </w:r>
            <w:r>
              <w:rPr>
                <w:sz w:val="18"/>
                <w:szCs w:val="18"/>
              </w:rPr>
              <w:br/>
              <w:t xml:space="preserve">   Government</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3</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3,824</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Interest</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1,358</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54</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28</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1,372</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Resources Received</w:t>
            </w:r>
            <w:r>
              <w:rPr>
                <w:sz w:val="18"/>
                <w:szCs w:val="18"/>
              </w:rPr>
              <w:br/>
              <w:t xml:space="preserve">   Free of Charge</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364</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48,626</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11,534</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48,626</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11,534</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15,977</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5,883</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2,721</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930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15,317</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4,009</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545</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150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3,824</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1,358</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10,994</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131</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49,378</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xml:space="preserve">Total </w:t>
            </w:r>
            <w:r w:rsidR="00BF33FF">
              <w:rPr>
                <w:b/>
                <w:bCs/>
                <w:sz w:val="18"/>
                <w:szCs w:val="18"/>
              </w:rPr>
              <w:t xml:space="preserve">Ordinary </w:t>
            </w:r>
            <w:r>
              <w:rPr>
                <w:b/>
                <w:bCs/>
                <w:sz w:val="18"/>
                <w:szCs w:val="18"/>
              </w:rPr>
              <w:t>Expenses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12,461</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-752</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-927</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-752</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-927</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r>
    </w:tbl>
    <w:p w:rsidR="00264F37" w:rsidRDefault="00264F37">
      <w:r>
        <w:br w:type="page"/>
      </w:r>
    </w:p>
    <w:tbl>
      <w:tblPr>
        <w:tblW w:w="9392" w:type="dxa"/>
        <w:tblInd w:w="-283" w:type="dxa"/>
        <w:tblLook w:val="04A0"/>
      </w:tblPr>
      <w:tblGrid>
        <w:gridCol w:w="1054"/>
        <w:gridCol w:w="2392"/>
        <w:gridCol w:w="1106"/>
        <w:gridCol w:w="1054"/>
        <w:gridCol w:w="624"/>
        <w:gridCol w:w="1054"/>
        <w:gridCol w:w="1054"/>
        <w:gridCol w:w="1054"/>
      </w:tblGrid>
      <w:tr w:rsidR="00264F37" w:rsidTr="009B6A70">
        <w:trPr>
          <w:tblHeader/>
        </w:trPr>
        <w:tc>
          <w:tcPr>
            <w:tcW w:w="9392" w:type="dxa"/>
            <w:gridSpan w:val="8"/>
            <w:tcBorders>
              <w:top w:val="nil"/>
              <w:left w:val="nil"/>
              <w:bottom w:val="nil"/>
              <w:right w:val="nil"/>
            </w:tcBorders>
            <w:shd w:val="clear" w:color="000000" w:fill="FFFFFF"/>
            <w:noWrap/>
            <w:vAlign w:val="bottom"/>
            <w:hideMark/>
          </w:tcPr>
          <w:p w:rsidR="00264F37" w:rsidRDefault="00264F37" w:rsidP="00264F37">
            <w:pPr>
              <w:jc w:val="center"/>
              <w:rPr>
                <w:rFonts w:ascii="Arial" w:hAnsi="Arial" w:cs="Arial"/>
                <w:b/>
                <w:bCs/>
                <w:szCs w:val="24"/>
              </w:rPr>
            </w:pPr>
            <w:bookmarkStart w:id="3" w:name="RANGE!A1:H47"/>
            <w:r>
              <w:rPr>
                <w:rFonts w:ascii="Arial" w:hAnsi="Arial" w:cs="Arial"/>
                <w:b/>
                <w:bCs/>
              </w:rPr>
              <w:lastRenderedPageBreak/>
              <w:t>Treasury Directorate</w:t>
            </w:r>
            <w:bookmarkEnd w:id="3"/>
          </w:p>
        </w:tc>
      </w:tr>
      <w:tr w:rsidR="00264F37" w:rsidTr="009B6A70">
        <w:trPr>
          <w:tblHeader/>
        </w:trPr>
        <w:tc>
          <w:tcPr>
            <w:tcW w:w="9392" w:type="dxa"/>
            <w:gridSpan w:val="8"/>
            <w:tcBorders>
              <w:top w:val="nil"/>
              <w:left w:val="nil"/>
              <w:bottom w:val="nil"/>
              <w:right w:val="nil"/>
            </w:tcBorders>
            <w:shd w:val="clear" w:color="000000" w:fill="FFFFFF"/>
            <w:noWrap/>
            <w:vAlign w:val="bottom"/>
            <w:hideMark/>
          </w:tcPr>
          <w:p w:rsidR="00264F37" w:rsidRDefault="00264F37" w:rsidP="00264F37">
            <w:pPr>
              <w:jc w:val="center"/>
              <w:rPr>
                <w:rFonts w:ascii="Arial" w:hAnsi="Arial" w:cs="Arial"/>
                <w:b/>
                <w:bCs/>
                <w:szCs w:val="24"/>
              </w:rPr>
            </w:pPr>
            <w:r>
              <w:rPr>
                <w:rFonts w:ascii="Arial" w:hAnsi="Arial" w:cs="Arial"/>
                <w:b/>
                <w:bCs/>
              </w:rPr>
              <w:t>Balance Sheet</w:t>
            </w:r>
          </w:p>
        </w:tc>
      </w:tr>
      <w:tr w:rsidR="00264F37" w:rsidTr="00264F37">
        <w:trPr>
          <w:tblHeader/>
        </w:trPr>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vAlign w:val="bottom"/>
            <w:hideMark/>
          </w:tcPr>
          <w:p w:rsidR="00264F37" w:rsidRDefault="00264F37" w:rsidP="00264F37">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Estimate</w:t>
            </w:r>
          </w:p>
        </w:tc>
      </w:tr>
      <w:tr w:rsidR="00264F37" w:rsidTr="00264F37">
        <w:trPr>
          <w:tblHeader/>
        </w:trPr>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vAlign w:val="center"/>
            <w:hideMark/>
          </w:tcPr>
          <w:p w:rsidR="00264F37" w:rsidRDefault="00264F37" w:rsidP="00264F37">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30/6/17</w:t>
            </w:r>
          </w:p>
        </w:tc>
      </w:tr>
      <w:tr w:rsidR="00264F37" w:rsidTr="00264F37">
        <w:trPr>
          <w:tblHeader/>
        </w:trPr>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264F37" w:rsidRDefault="00264F37" w:rsidP="00264F37">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r>
      <w:tr w:rsidR="00264F37" w:rsidTr="00264F37">
        <w:trPr>
          <w:tblHeader/>
        </w:trPr>
        <w:tc>
          <w:tcPr>
            <w:tcW w:w="1054"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vAlign w:val="bottom"/>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vAlign w:val="bottom"/>
            <w:hideMark/>
          </w:tcPr>
          <w:p w:rsidR="00264F37" w:rsidRDefault="00264F37" w:rsidP="00264F3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jc w:val="right"/>
              <w:rPr>
                <w:i/>
                <w:iCs/>
                <w:sz w:val="18"/>
                <w:szCs w:val="18"/>
              </w:rPr>
            </w:pPr>
            <w:r>
              <w:rPr>
                <w:i/>
                <w:iCs/>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2,646</w:t>
            </w:r>
          </w:p>
        </w:tc>
        <w:tc>
          <w:tcPr>
            <w:tcW w:w="2392" w:type="dxa"/>
            <w:tcBorders>
              <w:top w:val="nil"/>
              <w:left w:val="nil"/>
              <w:bottom w:val="nil"/>
              <w:right w:val="nil"/>
            </w:tcBorders>
            <w:shd w:val="clear" w:color="000000" w:fill="FFFFFF"/>
            <w:hideMark/>
          </w:tcPr>
          <w:p w:rsidR="00264F37" w:rsidRDefault="00264F37" w:rsidP="009B6A70">
            <w:pPr>
              <w:rPr>
                <w:sz w:val="18"/>
                <w:szCs w:val="18"/>
              </w:rPr>
            </w:pPr>
            <w:r>
              <w:rPr>
                <w:sz w:val="18"/>
                <w:szCs w:val="18"/>
              </w:rPr>
              <w:t>Cash and Cash</w:t>
            </w:r>
            <w:r w:rsidR="009B6A70">
              <w:rPr>
                <w:sz w:val="18"/>
                <w:szCs w:val="18"/>
              </w:rPr>
              <w:t xml:space="preserve"> </w:t>
            </w:r>
            <w:r>
              <w:rPr>
                <w:sz w:val="18"/>
                <w:szCs w:val="18"/>
              </w:rPr>
              <w:t>Equivalents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1,950</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57</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4,653</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90,905</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160</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6,638</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Intangibles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97,703</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102,356</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1,248</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1,105</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Interest-Bearing Liabilities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59</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7,175</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9,587</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90,665</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Interest-Bearing Liabilities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45</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415</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91,125</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100,712</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1,644</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9B6A70" w:rsidTr="00D01C2D">
        <w:tc>
          <w:tcPr>
            <w:tcW w:w="1054" w:type="dxa"/>
            <w:tcBorders>
              <w:top w:val="nil"/>
              <w:left w:val="nil"/>
              <w:bottom w:val="nil"/>
              <w:right w:val="nil"/>
            </w:tcBorders>
            <w:shd w:val="clear" w:color="000000" w:fill="FFFFFF"/>
            <w:hideMark/>
          </w:tcPr>
          <w:p w:rsidR="009B6A70" w:rsidRDefault="009B6A70" w:rsidP="00264F37">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B6A70" w:rsidRDefault="009B6A70" w:rsidP="009B6A70">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9B6A70" w:rsidRDefault="009B6A70"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9B6A70" w:rsidRDefault="009B6A70"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B6A70" w:rsidRDefault="009B6A70"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9B6A70" w:rsidRDefault="009B6A70"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9B6A70" w:rsidRDefault="009B6A70"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1,644</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1,644</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r>
    </w:tbl>
    <w:p w:rsidR="00264F37" w:rsidRDefault="00264F37"/>
    <w:p w:rsidR="00264F37" w:rsidRDefault="00264F37">
      <w:r>
        <w:br w:type="page"/>
      </w:r>
    </w:p>
    <w:tbl>
      <w:tblPr>
        <w:tblW w:w="9392" w:type="dxa"/>
        <w:tblInd w:w="-283" w:type="dxa"/>
        <w:tblLook w:val="04A0"/>
      </w:tblPr>
      <w:tblGrid>
        <w:gridCol w:w="1054"/>
        <w:gridCol w:w="2392"/>
        <w:gridCol w:w="1106"/>
        <w:gridCol w:w="1054"/>
        <w:gridCol w:w="624"/>
        <w:gridCol w:w="1054"/>
        <w:gridCol w:w="1054"/>
        <w:gridCol w:w="1054"/>
      </w:tblGrid>
      <w:tr w:rsidR="00264F37" w:rsidTr="00264F37">
        <w:trPr>
          <w:tblHeader/>
        </w:trPr>
        <w:tc>
          <w:tcPr>
            <w:tcW w:w="9388" w:type="dxa"/>
            <w:gridSpan w:val="8"/>
            <w:tcBorders>
              <w:top w:val="nil"/>
              <w:left w:val="nil"/>
              <w:bottom w:val="nil"/>
              <w:right w:val="nil"/>
            </w:tcBorders>
            <w:shd w:val="clear" w:color="000000" w:fill="FFFFFF"/>
            <w:noWrap/>
            <w:vAlign w:val="bottom"/>
            <w:hideMark/>
          </w:tcPr>
          <w:p w:rsidR="00264F37" w:rsidRDefault="00264F37" w:rsidP="00264F37">
            <w:pPr>
              <w:jc w:val="center"/>
              <w:rPr>
                <w:rFonts w:ascii="Arial" w:hAnsi="Arial" w:cs="Arial"/>
                <w:b/>
                <w:bCs/>
                <w:szCs w:val="24"/>
              </w:rPr>
            </w:pPr>
            <w:bookmarkStart w:id="4" w:name="RANGE!A1:H32"/>
            <w:r>
              <w:rPr>
                <w:rFonts w:ascii="Arial" w:hAnsi="Arial" w:cs="Arial"/>
                <w:b/>
                <w:bCs/>
              </w:rPr>
              <w:lastRenderedPageBreak/>
              <w:t>Treasury Directorate</w:t>
            </w:r>
            <w:bookmarkEnd w:id="4"/>
          </w:p>
        </w:tc>
      </w:tr>
      <w:tr w:rsidR="00264F37" w:rsidTr="00264F37">
        <w:trPr>
          <w:tblHeader/>
        </w:trPr>
        <w:tc>
          <w:tcPr>
            <w:tcW w:w="9388" w:type="dxa"/>
            <w:gridSpan w:val="8"/>
            <w:tcBorders>
              <w:top w:val="nil"/>
              <w:left w:val="nil"/>
              <w:bottom w:val="nil"/>
              <w:right w:val="nil"/>
            </w:tcBorders>
            <w:shd w:val="clear" w:color="000000" w:fill="FFFFFF"/>
            <w:noWrap/>
            <w:vAlign w:val="bottom"/>
            <w:hideMark/>
          </w:tcPr>
          <w:p w:rsidR="00264F37" w:rsidRDefault="00264F37" w:rsidP="00264F37">
            <w:pPr>
              <w:jc w:val="center"/>
              <w:rPr>
                <w:rFonts w:ascii="Arial" w:hAnsi="Arial" w:cs="Arial"/>
                <w:b/>
                <w:bCs/>
                <w:szCs w:val="24"/>
              </w:rPr>
            </w:pPr>
            <w:r>
              <w:rPr>
                <w:rFonts w:ascii="Arial" w:hAnsi="Arial" w:cs="Arial"/>
                <w:b/>
                <w:bCs/>
              </w:rPr>
              <w:t>Statement of Changes in Equity</w:t>
            </w:r>
          </w:p>
        </w:tc>
      </w:tr>
      <w:tr w:rsidR="00264F37" w:rsidTr="00264F37">
        <w:trPr>
          <w:tblHeader/>
        </w:trPr>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vAlign w:val="bottom"/>
            <w:hideMark/>
          </w:tcPr>
          <w:p w:rsidR="00264F37" w:rsidRDefault="00264F37" w:rsidP="00264F37">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Estimate</w:t>
            </w:r>
          </w:p>
        </w:tc>
      </w:tr>
      <w:tr w:rsidR="00264F37" w:rsidTr="00264F37">
        <w:trPr>
          <w:tblHeader/>
        </w:trPr>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264F37" w:rsidRDefault="00264F37" w:rsidP="00264F37">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30/6/17</w:t>
            </w:r>
          </w:p>
        </w:tc>
      </w:tr>
      <w:tr w:rsidR="00264F37" w:rsidTr="00264F37">
        <w:trPr>
          <w:tblHeader/>
        </w:trPr>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264F37" w:rsidRDefault="00264F37" w:rsidP="00264F37">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r>
      <w:tr w:rsidR="00264F37" w:rsidTr="00264F37">
        <w:trPr>
          <w:tblHeader/>
        </w:trPr>
        <w:tc>
          <w:tcPr>
            <w:tcW w:w="1054"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vAlign w:val="bottom"/>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-2,945</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-1,703</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-2,945</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-1,703</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-752</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-927</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64F37" w:rsidRDefault="00264F37" w:rsidP="00264F37">
            <w:pPr>
              <w:ind w:left="-283"/>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-752</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-927</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264F37" w:rsidRDefault="00264F37" w:rsidP="00264F37">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C02F0A">
            <w:pPr>
              <w:spacing w:after="60"/>
              <w:rPr>
                <w:b/>
                <w:bCs/>
                <w:sz w:val="18"/>
                <w:szCs w:val="18"/>
              </w:rPr>
            </w:pPr>
            <w:r>
              <w:rPr>
                <w:b/>
                <w:bCs/>
                <w:sz w:val="18"/>
                <w:szCs w:val="18"/>
              </w:rPr>
              <w:t>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5,341</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Inc/Dec in Net Assets due to</w:t>
            </w:r>
            <w:r>
              <w:rPr>
                <w:sz w:val="18"/>
                <w:szCs w:val="18"/>
              </w:rPr>
              <w:br/>
              <w:t xml:space="preserve">   Admin Restructure</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2,630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5,341</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2,630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1,644</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1,644</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vAlign w:val="bottom"/>
            <w:hideMark/>
          </w:tcPr>
          <w:p w:rsidR="00264F37" w:rsidRDefault="00264F37" w:rsidP="00264F37">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vAlign w:val="bottom"/>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vAlign w:val="bottom"/>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rPr>
                <w:b/>
                <w:bCs/>
                <w:sz w:val="18"/>
                <w:szCs w:val="18"/>
              </w:rPr>
            </w:pPr>
            <w:r>
              <w:rPr>
                <w:b/>
                <w:bCs/>
                <w:sz w:val="18"/>
                <w:szCs w:val="18"/>
              </w:rPr>
              <w:t> </w:t>
            </w:r>
          </w:p>
        </w:tc>
      </w:tr>
    </w:tbl>
    <w:p w:rsidR="00264F37" w:rsidRDefault="00264F37"/>
    <w:p w:rsidR="00264F37" w:rsidRDefault="00264F37">
      <w:r>
        <w:br w:type="page"/>
      </w:r>
    </w:p>
    <w:tbl>
      <w:tblPr>
        <w:tblW w:w="9392" w:type="dxa"/>
        <w:tblInd w:w="-283" w:type="dxa"/>
        <w:tblLook w:val="04A0"/>
      </w:tblPr>
      <w:tblGrid>
        <w:gridCol w:w="1054"/>
        <w:gridCol w:w="2392"/>
        <w:gridCol w:w="1106"/>
        <w:gridCol w:w="1054"/>
        <w:gridCol w:w="624"/>
        <w:gridCol w:w="1054"/>
        <w:gridCol w:w="1054"/>
        <w:gridCol w:w="1054"/>
      </w:tblGrid>
      <w:tr w:rsidR="00264F37" w:rsidTr="000C3872">
        <w:trPr>
          <w:tblHeader/>
        </w:trPr>
        <w:tc>
          <w:tcPr>
            <w:tcW w:w="9392" w:type="dxa"/>
            <w:gridSpan w:val="8"/>
            <w:tcBorders>
              <w:top w:val="nil"/>
              <w:left w:val="nil"/>
              <w:bottom w:val="nil"/>
              <w:right w:val="nil"/>
            </w:tcBorders>
            <w:shd w:val="clear" w:color="000000" w:fill="FFFFFF"/>
            <w:noWrap/>
            <w:vAlign w:val="bottom"/>
            <w:hideMark/>
          </w:tcPr>
          <w:p w:rsidR="00264F37" w:rsidRDefault="00264F37" w:rsidP="00264F37">
            <w:pPr>
              <w:jc w:val="center"/>
              <w:rPr>
                <w:rFonts w:ascii="Arial" w:hAnsi="Arial" w:cs="Arial"/>
                <w:b/>
                <w:bCs/>
                <w:szCs w:val="24"/>
              </w:rPr>
            </w:pPr>
            <w:bookmarkStart w:id="5" w:name="RANGE!A1:H57"/>
            <w:r>
              <w:rPr>
                <w:rFonts w:ascii="Arial" w:hAnsi="Arial" w:cs="Arial"/>
                <w:b/>
                <w:bCs/>
              </w:rPr>
              <w:lastRenderedPageBreak/>
              <w:t>Treasury Directorate</w:t>
            </w:r>
            <w:bookmarkEnd w:id="5"/>
          </w:p>
        </w:tc>
      </w:tr>
      <w:tr w:rsidR="00264F37" w:rsidTr="000C3872">
        <w:trPr>
          <w:tblHeader/>
        </w:trPr>
        <w:tc>
          <w:tcPr>
            <w:tcW w:w="9392" w:type="dxa"/>
            <w:gridSpan w:val="8"/>
            <w:tcBorders>
              <w:top w:val="nil"/>
              <w:left w:val="nil"/>
              <w:bottom w:val="nil"/>
              <w:right w:val="nil"/>
            </w:tcBorders>
            <w:shd w:val="clear" w:color="000000" w:fill="FFFFFF"/>
            <w:noWrap/>
            <w:vAlign w:val="bottom"/>
            <w:hideMark/>
          </w:tcPr>
          <w:p w:rsidR="00264F37" w:rsidRDefault="00264F37" w:rsidP="00264F37">
            <w:pPr>
              <w:jc w:val="center"/>
              <w:rPr>
                <w:rFonts w:ascii="Arial" w:hAnsi="Arial" w:cs="Arial"/>
                <w:b/>
                <w:bCs/>
                <w:szCs w:val="24"/>
              </w:rPr>
            </w:pPr>
            <w:r>
              <w:rPr>
                <w:rFonts w:ascii="Arial" w:hAnsi="Arial" w:cs="Arial"/>
                <w:b/>
                <w:bCs/>
              </w:rPr>
              <w:t>Cash Flow Statement</w:t>
            </w:r>
          </w:p>
        </w:tc>
      </w:tr>
      <w:tr w:rsidR="00264F37" w:rsidTr="00264F37">
        <w:trPr>
          <w:tblHeader/>
        </w:trPr>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vAlign w:val="bottom"/>
            <w:hideMark/>
          </w:tcPr>
          <w:p w:rsidR="00264F37" w:rsidRDefault="00264F37" w:rsidP="00264F37">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2016-17</w:t>
            </w:r>
          </w:p>
        </w:tc>
      </w:tr>
      <w:tr w:rsidR="00264F37" w:rsidTr="00264F37">
        <w:trPr>
          <w:tblHeader/>
        </w:trPr>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vAlign w:val="bottom"/>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Estimate</w:t>
            </w:r>
          </w:p>
        </w:tc>
      </w:tr>
      <w:tr w:rsidR="00264F37" w:rsidTr="00264F37">
        <w:trPr>
          <w:tblHeader/>
        </w:trPr>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264F37" w:rsidRDefault="00264F37" w:rsidP="00264F37">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r>
      <w:tr w:rsidR="00F01802" w:rsidTr="00F01802">
        <w:tc>
          <w:tcPr>
            <w:tcW w:w="1054" w:type="dxa"/>
            <w:tcBorders>
              <w:top w:val="nil"/>
              <w:left w:val="nil"/>
              <w:bottom w:val="nil"/>
              <w:right w:val="nil"/>
            </w:tcBorders>
            <w:shd w:val="clear" w:color="000000" w:fill="FFFFFF"/>
            <w:noWrap/>
            <w:vAlign w:val="bottom"/>
            <w:hideMark/>
          </w:tcPr>
          <w:p w:rsidR="00F01802" w:rsidRDefault="00F01802" w:rsidP="00F01802">
            <w:pPr>
              <w:ind w:left="-283"/>
              <w:rPr>
                <w:sz w:val="18"/>
                <w:szCs w:val="18"/>
              </w:rPr>
            </w:pPr>
          </w:p>
        </w:tc>
        <w:tc>
          <w:tcPr>
            <w:tcW w:w="3498" w:type="dxa"/>
            <w:gridSpan w:val="2"/>
            <w:tcBorders>
              <w:top w:val="nil"/>
              <w:left w:val="nil"/>
              <w:bottom w:val="nil"/>
              <w:right w:val="nil"/>
            </w:tcBorders>
            <w:shd w:val="clear" w:color="000000" w:fill="FFFFFF"/>
            <w:hideMark/>
          </w:tcPr>
          <w:p w:rsidR="00F01802" w:rsidRDefault="00F01802" w:rsidP="00F01802">
            <w:pPr>
              <w:rPr>
                <w:sz w:val="18"/>
                <w:szCs w:val="18"/>
              </w:rPr>
            </w:pPr>
            <w:r>
              <w:rPr>
                <w:b/>
                <w:bCs/>
                <w:sz w:val="18"/>
                <w:szCs w:val="18"/>
              </w:rPr>
              <w:t>CASH FLOWS FROM OPERATING ACTIVITIES</w:t>
            </w:r>
          </w:p>
        </w:tc>
        <w:tc>
          <w:tcPr>
            <w:tcW w:w="1054" w:type="dxa"/>
            <w:tcBorders>
              <w:top w:val="nil"/>
              <w:left w:val="nil"/>
              <w:bottom w:val="nil"/>
              <w:right w:val="nil"/>
            </w:tcBorders>
            <w:shd w:val="clear" w:color="000000" w:fill="FFFFFF"/>
            <w:noWrap/>
            <w:vAlign w:val="bottom"/>
            <w:hideMark/>
          </w:tcPr>
          <w:p w:rsidR="00F01802" w:rsidRDefault="00F01802" w:rsidP="00F01802">
            <w:pPr>
              <w:ind w:left="-283"/>
              <w:rPr>
                <w:sz w:val="18"/>
                <w:szCs w:val="18"/>
              </w:rPr>
            </w:pPr>
          </w:p>
        </w:tc>
        <w:tc>
          <w:tcPr>
            <w:tcW w:w="624" w:type="dxa"/>
            <w:tcBorders>
              <w:top w:val="nil"/>
              <w:left w:val="nil"/>
              <w:bottom w:val="nil"/>
              <w:right w:val="nil"/>
            </w:tcBorders>
            <w:shd w:val="clear" w:color="000000" w:fill="FFFFFF"/>
            <w:noWrap/>
            <w:vAlign w:val="bottom"/>
            <w:hideMark/>
          </w:tcPr>
          <w:p w:rsidR="00F01802" w:rsidRDefault="00F01802" w:rsidP="00F01802">
            <w:pPr>
              <w:ind w:left="-283"/>
              <w:rPr>
                <w:sz w:val="18"/>
                <w:szCs w:val="18"/>
              </w:rPr>
            </w:pPr>
          </w:p>
        </w:tc>
        <w:tc>
          <w:tcPr>
            <w:tcW w:w="1054" w:type="dxa"/>
            <w:tcBorders>
              <w:top w:val="nil"/>
              <w:left w:val="nil"/>
              <w:bottom w:val="nil"/>
              <w:right w:val="nil"/>
            </w:tcBorders>
            <w:shd w:val="clear" w:color="000000" w:fill="FFFFFF"/>
            <w:noWrap/>
            <w:vAlign w:val="bottom"/>
            <w:hideMark/>
          </w:tcPr>
          <w:p w:rsidR="00F01802" w:rsidRDefault="00F01802" w:rsidP="00F01802">
            <w:pPr>
              <w:ind w:left="-283"/>
              <w:rPr>
                <w:sz w:val="18"/>
                <w:szCs w:val="18"/>
              </w:rPr>
            </w:pPr>
          </w:p>
        </w:tc>
        <w:tc>
          <w:tcPr>
            <w:tcW w:w="1054" w:type="dxa"/>
            <w:tcBorders>
              <w:top w:val="nil"/>
              <w:left w:val="nil"/>
              <w:bottom w:val="nil"/>
              <w:right w:val="nil"/>
            </w:tcBorders>
            <w:shd w:val="clear" w:color="000000" w:fill="FFFFFF"/>
            <w:noWrap/>
            <w:vAlign w:val="bottom"/>
            <w:hideMark/>
          </w:tcPr>
          <w:p w:rsidR="00F01802" w:rsidRDefault="00F01802" w:rsidP="00F01802">
            <w:pPr>
              <w:ind w:left="-283"/>
              <w:rPr>
                <w:sz w:val="18"/>
                <w:szCs w:val="18"/>
              </w:rPr>
            </w:pPr>
          </w:p>
        </w:tc>
        <w:tc>
          <w:tcPr>
            <w:tcW w:w="1054" w:type="dxa"/>
            <w:tcBorders>
              <w:top w:val="nil"/>
              <w:left w:val="nil"/>
              <w:bottom w:val="nil"/>
              <w:right w:val="nil"/>
            </w:tcBorders>
            <w:shd w:val="clear" w:color="000000" w:fill="FFFFFF"/>
            <w:noWrap/>
            <w:vAlign w:val="bottom"/>
            <w:hideMark/>
          </w:tcPr>
          <w:p w:rsidR="00F01802" w:rsidRDefault="00F01802" w:rsidP="00F01802">
            <w:pPr>
              <w:ind w:left="-283"/>
              <w:rPr>
                <w:sz w:val="18"/>
                <w:szCs w:val="18"/>
              </w:rPr>
            </w:pPr>
          </w:p>
        </w:tc>
      </w:tr>
      <w:tr w:rsidR="00264F37" w:rsidTr="00264F37">
        <w:tc>
          <w:tcPr>
            <w:tcW w:w="1054"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43,366</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Cash from Government</w:t>
            </w:r>
            <w:r>
              <w:rPr>
                <w:sz w:val="18"/>
                <w:szCs w:val="18"/>
              </w:rPr>
              <w:br/>
              <w:t xml:space="preserve">   for Outputs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9,781</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10</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3</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4,194</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Interest Received</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1,358</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1,181</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1,155</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48,751</w:t>
            </w:r>
          </w:p>
        </w:tc>
        <w:tc>
          <w:tcPr>
            <w:tcW w:w="2392" w:type="dxa"/>
            <w:tcBorders>
              <w:top w:val="nil"/>
              <w:left w:val="nil"/>
              <w:bottom w:val="nil"/>
              <w:right w:val="nil"/>
            </w:tcBorders>
            <w:shd w:val="clear" w:color="000000" w:fill="FFFFFF"/>
            <w:noWrap/>
            <w:hideMark/>
          </w:tcPr>
          <w:p w:rsidR="00264F37" w:rsidRDefault="00264F37" w:rsidP="00264F37">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12,297</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F01802">
            <w:pPr>
              <w:spacing w:before="80"/>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264F37" w:rsidRDefault="00264F37" w:rsidP="00F01802">
            <w:pPr>
              <w:spacing w:before="80"/>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264F37" w:rsidRDefault="00264F37" w:rsidP="00F01802">
            <w:pPr>
              <w:spacing w:before="80"/>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F01802">
            <w:pPr>
              <w:spacing w:before="80"/>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264F37" w:rsidRDefault="00264F37" w:rsidP="00F01802">
            <w:pPr>
              <w:spacing w:before="80"/>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64F37" w:rsidRDefault="00264F37" w:rsidP="00F01802">
            <w:pPr>
              <w:spacing w:before="80"/>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64F37" w:rsidRDefault="00264F37" w:rsidP="00F01802">
            <w:pPr>
              <w:spacing w:before="80"/>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64F37" w:rsidRDefault="00264F37" w:rsidP="00F01802">
            <w:pPr>
              <w:spacing w:before="80"/>
              <w:ind w:left="-283"/>
              <w:rPr>
                <w:color w:val="0000FF"/>
                <w:sz w:val="18"/>
                <w:szCs w:val="18"/>
              </w:rPr>
            </w:pPr>
            <w:r>
              <w:rPr>
                <w:color w:val="0000FF"/>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15,801</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5,734</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2,700</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910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13,813</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4,211</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4,194</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Borrowing Costs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2,025</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10,994</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Grants and Purchased Services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131</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1,363</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1,337</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48,865</w:t>
            </w:r>
          </w:p>
        </w:tc>
        <w:tc>
          <w:tcPr>
            <w:tcW w:w="2392" w:type="dxa"/>
            <w:tcBorders>
              <w:top w:val="nil"/>
              <w:left w:val="nil"/>
              <w:bottom w:val="nil"/>
              <w:right w:val="nil"/>
            </w:tcBorders>
            <w:shd w:val="clear" w:color="000000" w:fill="FFFFFF"/>
            <w:noWrap/>
            <w:hideMark/>
          </w:tcPr>
          <w:p w:rsidR="00264F37" w:rsidRDefault="00264F37" w:rsidP="00264F37">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14,348</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-114</w:t>
            </w:r>
          </w:p>
        </w:tc>
        <w:tc>
          <w:tcPr>
            <w:tcW w:w="2392" w:type="dxa"/>
            <w:tcBorders>
              <w:top w:val="nil"/>
              <w:left w:val="nil"/>
              <w:bottom w:val="nil"/>
              <w:right w:val="nil"/>
            </w:tcBorders>
            <w:shd w:val="clear" w:color="000000" w:fill="FFFFFF"/>
            <w:hideMark/>
          </w:tcPr>
          <w:p w:rsidR="00264F37" w:rsidRDefault="00264F37" w:rsidP="00F01802">
            <w:pPr>
              <w:spacing w:before="80" w:after="80"/>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-2,051</w:t>
            </w:r>
          </w:p>
        </w:tc>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0</w:t>
            </w:r>
          </w:p>
        </w:tc>
      </w:tr>
      <w:tr w:rsidR="003A0BD2" w:rsidTr="003A0BD2">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3498" w:type="dxa"/>
            <w:gridSpan w:val="2"/>
            <w:tcBorders>
              <w:top w:val="nil"/>
              <w:left w:val="nil"/>
              <w:bottom w:val="nil"/>
              <w:right w:val="nil"/>
            </w:tcBorders>
            <w:shd w:val="clear" w:color="000000" w:fill="FFFFFF"/>
            <w:hideMark/>
          </w:tcPr>
          <w:p w:rsidR="003A0BD2" w:rsidRDefault="003A0BD2" w:rsidP="003A0BD2">
            <w:pPr>
              <w:rPr>
                <w:sz w:val="18"/>
                <w:szCs w:val="18"/>
              </w:rPr>
            </w:pPr>
            <w:r>
              <w:rPr>
                <w:b/>
                <w:bCs/>
                <w:sz w:val="18"/>
                <w:szCs w:val="18"/>
              </w:rPr>
              <w:t>CASH FLOWS FROM INVESTING ACTIVITIES</w:t>
            </w: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62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color w:val="0000FF"/>
                <w:sz w:val="18"/>
                <w:szCs w:val="18"/>
              </w:rPr>
            </w:pPr>
            <w:r>
              <w:rPr>
                <w:color w:val="0000FF"/>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1,100</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Repayment of Home Loan</w:t>
            </w:r>
            <w:r>
              <w:rPr>
                <w:sz w:val="18"/>
                <w:szCs w:val="18"/>
              </w:rPr>
              <w:br/>
              <w:t xml:space="preserve">   Principal</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546</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0C3872">
            <w:pPr>
              <w:spacing w:after="100"/>
              <w:ind w:left="-283"/>
              <w:jc w:val="right"/>
              <w:rPr>
                <w:b/>
                <w:bCs/>
                <w:sz w:val="18"/>
                <w:szCs w:val="18"/>
              </w:rPr>
            </w:pPr>
            <w:r>
              <w:rPr>
                <w:b/>
                <w:bCs/>
                <w:sz w:val="18"/>
                <w:szCs w:val="18"/>
              </w:rPr>
              <w:t>1,100</w:t>
            </w:r>
          </w:p>
        </w:tc>
        <w:tc>
          <w:tcPr>
            <w:tcW w:w="2392" w:type="dxa"/>
            <w:tcBorders>
              <w:top w:val="nil"/>
              <w:left w:val="nil"/>
              <w:bottom w:val="nil"/>
              <w:right w:val="nil"/>
            </w:tcBorders>
            <w:shd w:val="clear" w:color="000000" w:fill="FFFFFF"/>
            <w:noWrap/>
            <w:hideMark/>
          </w:tcPr>
          <w:p w:rsidR="00264F37" w:rsidRDefault="00264F37" w:rsidP="000C3872">
            <w:pPr>
              <w:spacing w:after="100"/>
              <w:rPr>
                <w:b/>
                <w:bCs/>
                <w:sz w:val="18"/>
                <w:szCs w:val="18"/>
              </w:rPr>
            </w:pPr>
            <w:r>
              <w:rPr>
                <w:b/>
                <w:bCs/>
                <w:sz w:val="18"/>
                <w:szCs w:val="18"/>
              </w:rPr>
              <w:t>Investing Receipts</w:t>
            </w:r>
          </w:p>
        </w:tc>
        <w:tc>
          <w:tcPr>
            <w:tcW w:w="1106" w:type="dxa"/>
            <w:tcBorders>
              <w:top w:val="nil"/>
              <w:left w:val="nil"/>
              <w:bottom w:val="nil"/>
              <w:right w:val="nil"/>
            </w:tcBorders>
            <w:shd w:val="clear" w:color="000000" w:fill="FFFFFF"/>
            <w:noWrap/>
            <w:hideMark/>
          </w:tcPr>
          <w:p w:rsidR="00264F37" w:rsidRDefault="00264F37" w:rsidP="000C3872">
            <w:pPr>
              <w:spacing w:after="100"/>
              <w:ind w:left="-283"/>
              <w:jc w:val="right"/>
              <w:rPr>
                <w:b/>
                <w:bCs/>
                <w:sz w:val="18"/>
                <w:szCs w:val="18"/>
              </w:rPr>
            </w:pPr>
            <w:r>
              <w:rPr>
                <w:b/>
                <w:bCs/>
                <w:sz w:val="18"/>
                <w:szCs w:val="18"/>
              </w:rPr>
              <w:t>546</w:t>
            </w:r>
          </w:p>
        </w:tc>
        <w:tc>
          <w:tcPr>
            <w:tcW w:w="1054" w:type="dxa"/>
            <w:tcBorders>
              <w:top w:val="nil"/>
              <w:left w:val="nil"/>
              <w:bottom w:val="nil"/>
              <w:right w:val="nil"/>
            </w:tcBorders>
            <w:shd w:val="clear" w:color="000000" w:fill="FFFFFF"/>
            <w:noWrap/>
            <w:hideMark/>
          </w:tcPr>
          <w:p w:rsidR="00264F37" w:rsidRDefault="00264F37" w:rsidP="000C3872">
            <w:pPr>
              <w:spacing w:after="10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Pr="00EB32D6" w:rsidRDefault="00264F37" w:rsidP="000C3872">
            <w:pPr>
              <w:spacing w:after="100"/>
              <w:ind w:left="-283"/>
              <w:jc w:val="right"/>
              <w:rPr>
                <w:b/>
                <w:sz w:val="18"/>
                <w:szCs w:val="18"/>
              </w:rPr>
            </w:pPr>
            <w:r w:rsidRPr="00EB32D6">
              <w:rPr>
                <w:b/>
                <w:sz w:val="18"/>
                <w:szCs w:val="18"/>
              </w:rPr>
              <w:t xml:space="preserve">-100 </w:t>
            </w:r>
          </w:p>
        </w:tc>
        <w:tc>
          <w:tcPr>
            <w:tcW w:w="1054" w:type="dxa"/>
            <w:tcBorders>
              <w:top w:val="nil"/>
              <w:left w:val="nil"/>
              <w:bottom w:val="nil"/>
              <w:right w:val="nil"/>
            </w:tcBorders>
            <w:shd w:val="clear" w:color="000000" w:fill="FFFFFF"/>
            <w:noWrap/>
            <w:hideMark/>
          </w:tcPr>
          <w:p w:rsidR="00264F37" w:rsidRPr="00EB32D6" w:rsidRDefault="00264F37" w:rsidP="000C3872">
            <w:pPr>
              <w:spacing w:after="100"/>
              <w:ind w:left="-283"/>
              <w:jc w:val="right"/>
              <w:rPr>
                <w:b/>
                <w:bCs/>
                <w:sz w:val="18"/>
                <w:szCs w:val="18"/>
              </w:rPr>
            </w:pPr>
            <w:r w:rsidRPr="00EB32D6">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0C3872">
            <w:pPr>
              <w:spacing w:after="10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0C3872">
            <w:pPr>
              <w:spacing w:after="100"/>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color w:val="0000FF"/>
                <w:sz w:val="18"/>
                <w:szCs w:val="18"/>
              </w:rPr>
            </w:pPr>
            <w:r>
              <w:rPr>
                <w:color w:val="0000FF"/>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5,614</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Purchase of Land and</w:t>
            </w:r>
            <w:r>
              <w:rPr>
                <w:sz w:val="18"/>
                <w:szCs w:val="18"/>
              </w:rPr>
              <w:br/>
              <w:t xml:space="preserve">   Intangibles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273</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3,902</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 xml:space="preserve">Issue of Loan </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304</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9,516</w:t>
            </w:r>
          </w:p>
        </w:tc>
        <w:tc>
          <w:tcPr>
            <w:tcW w:w="2392" w:type="dxa"/>
            <w:tcBorders>
              <w:top w:val="nil"/>
              <w:left w:val="nil"/>
              <w:bottom w:val="nil"/>
              <w:right w:val="nil"/>
            </w:tcBorders>
            <w:shd w:val="clear" w:color="000000" w:fill="FFFFFF"/>
            <w:noWrap/>
            <w:hideMark/>
          </w:tcPr>
          <w:p w:rsidR="00264F37" w:rsidRDefault="00264F37" w:rsidP="00264F37">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577</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-8,416</w:t>
            </w:r>
          </w:p>
        </w:tc>
        <w:tc>
          <w:tcPr>
            <w:tcW w:w="2392" w:type="dxa"/>
            <w:tcBorders>
              <w:top w:val="nil"/>
              <w:left w:val="nil"/>
              <w:bottom w:val="nil"/>
              <w:right w:val="nil"/>
            </w:tcBorders>
            <w:shd w:val="clear" w:color="000000" w:fill="FFFFFF"/>
            <w:hideMark/>
          </w:tcPr>
          <w:p w:rsidR="00264F37" w:rsidRDefault="00264F37" w:rsidP="00F01802">
            <w:pPr>
              <w:spacing w:before="80" w:after="80"/>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-31</w:t>
            </w:r>
          </w:p>
        </w:tc>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0</w:t>
            </w:r>
          </w:p>
        </w:tc>
      </w:tr>
      <w:tr w:rsidR="003A0BD2" w:rsidTr="003A0BD2">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3498" w:type="dxa"/>
            <w:gridSpan w:val="2"/>
            <w:tcBorders>
              <w:top w:val="nil"/>
              <w:left w:val="nil"/>
              <w:bottom w:val="nil"/>
              <w:right w:val="nil"/>
            </w:tcBorders>
            <w:shd w:val="clear" w:color="000000" w:fill="FFFFFF"/>
            <w:hideMark/>
          </w:tcPr>
          <w:p w:rsidR="003A0BD2" w:rsidRDefault="003A0BD2" w:rsidP="003A0BD2">
            <w:pPr>
              <w:rPr>
                <w:sz w:val="18"/>
                <w:szCs w:val="18"/>
              </w:rPr>
            </w:pPr>
            <w:r>
              <w:rPr>
                <w:b/>
                <w:bCs/>
                <w:sz w:val="18"/>
                <w:szCs w:val="18"/>
              </w:rPr>
              <w:t>CASH FLOWS FROM FINANCING ACTIVITIES</w:t>
            </w: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62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64F37" w:rsidRDefault="00264F37" w:rsidP="00264F37">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9,179</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9,179</w:t>
            </w:r>
          </w:p>
        </w:tc>
        <w:tc>
          <w:tcPr>
            <w:tcW w:w="2392" w:type="dxa"/>
            <w:tcBorders>
              <w:top w:val="nil"/>
              <w:left w:val="nil"/>
              <w:bottom w:val="nil"/>
              <w:right w:val="nil"/>
            </w:tcBorders>
            <w:shd w:val="clear" w:color="000000" w:fill="FFFFFF"/>
            <w:noWrap/>
            <w:hideMark/>
          </w:tcPr>
          <w:p w:rsidR="00264F37" w:rsidRDefault="00264F37" w:rsidP="00264F37">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0C3872">
            <w:pPr>
              <w:spacing w:before="100"/>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64F37" w:rsidRDefault="00264F37" w:rsidP="000C3872">
            <w:pPr>
              <w:spacing w:before="100"/>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264F37" w:rsidRDefault="00264F37" w:rsidP="000C3872">
            <w:pPr>
              <w:spacing w:before="100"/>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0C3872">
            <w:pPr>
              <w:spacing w:before="100"/>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64F37" w:rsidRDefault="00264F37" w:rsidP="000C3872">
            <w:pPr>
              <w:spacing w:before="100"/>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0C3872">
            <w:pPr>
              <w:spacing w:before="100"/>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0C3872">
            <w:pPr>
              <w:spacing w:before="100"/>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64F37" w:rsidRDefault="00264F37" w:rsidP="000C3872">
            <w:pPr>
              <w:spacing w:before="100"/>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1,036</w:t>
            </w:r>
          </w:p>
        </w:tc>
        <w:tc>
          <w:tcPr>
            <w:tcW w:w="2392" w:type="dxa"/>
            <w:tcBorders>
              <w:top w:val="nil"/>
              <w:left w:val="nil"/>
              <w:bottom w:val="nil"/>
              <w:right w:val="nil"/>
            </w:tcBorders>
            <w:shd w:val="clear" w:color="000000" w:fill="FFFFFF"/>
            <w:noWrap/>
            <w:hideMark/>
          </w:tcPr>
          <w:p w:rsidR="00264F37" w:rsidRDefault="00264F37" w:rsidP="00264F37">
            <w:pPr>
              <w:rPr>
                <w:sz w:val="18"/>
                <w:szCs w:val="18"/>
              </w:rPr>
            </w:pPr>
            <w:r>
              <w:rPr>
                <w:sz w:val="18"/>
                <w:szCs w:val="18"/>
              </w:rPr>
              <w:t>Repayment of Borrowings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542</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2392" w:type="dxa"/>
            <w:tcBorders>
              <w:top w:val="nil"/>
              <w:left w:val="nil"/>
              <w:bottom w:val="nil"/>
              <w:right w:val="nil"/>
            </w:tcBorders>
            <w:shd w:val="clear" w:color="000000" w:fill="FFFFFF"/>
            <w:vAlign w:val="bottom"/>
            <w:hideMark/>
          </w:tcPr>
          <w:p w:rsidR="00264F37" w:rsidRDefault="00264F37" w:rsidP="00264F37">
            <w:pPr>
              <w:rPr>
                <w:sz w:val="18"/>
                <w:szCs w:val="18"/>
              </w:rPr>
            </w:pPr>
            <w:r>
              <w:rPr>
                <w:sz w:val="18"/>
                <w:szCs w:val="18"/>
              </w:rPr>
              <w:t>Payment of Transferred</w:t>
            </w:r>
            <w:r>
              <w:rPr>
                <w:sz w:val="18"/>
                <w:szCs w:val="18"/>
              </w:rPr>
              <w:br/>
              <w:t xml:space="preserve">   Cash Balances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2,318</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1,036</w:t>
            </w:r>
          </w:p>
        </w:tc>
        <w:tc>
          <w:tcPr>
            <w:tcW w:w="2392" w:type="dxa"/>
            <w:tcBorders>
              <w:top w:val="nil"/>
              <w:left w:val="nil"/>
              <w:bottom w:val="nil"/>
              <w:right w:val="nil"/>
            </w:tcBorders>
            <w:shd w:val="clear" w:color="000000" w:fill="FFFFFF"/>
            <w:noWrap/>
            <w:hideMark/>
          </w:tcPr>
          <w:p w:rsidR="00264F37" w:rsidRDefault="00264F37" w:rsidP="00264F37">
            <w:pPr>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2,860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8,143</w:t>
            </w:r>
          </w:p>
        </w:tc>
        <w:tc>
          <w:tcPr>
            <w:tcW w:w="2392" w:type="dxa"/>
            <w:tcBorders>
              <w:top w:val="nil"/>
              <w:left w:val="nil"/>
              <w:bottom w:val="nil"/>
              <w:right w:val="nil"/>
            </w:tcBorders>
            <w:shd w:val="clear" w:color="000000" w:fill="FFFFFF"/>
            <w:hideMark/>
          </w:tcPr>
          <w:p w:rsidR="00264F37" w:rsidRDefault="00264F37" w:rsidP="00F01802">
            <w:pPr>
              <w:spacing w:before="80" w:after="80"/>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-2,860</w:t>
            </w:r>
          </w:p>
        </w:tc>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F01802">
            <w:pPr>
              <w:spacing w:before="80" w:after="80"/>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noWrap/>
            <w:hideMark/>
          </w:tcPr>
          <w:p w:rsidR="00264F37" w:rsidRDefault="00264F37" w:rsidP="00F01802">
            <w:pPr>
              <w:spacing w:after="80"/>
              <w:ind w:left="-283"/>
              <w:jc w:val="right"/>
              <w:rPr>
                <w:b/>
                <w:bCs/>
                <w:sz w:val="18"/>
                <w:szCs w:val="18"/>
              </w:rPr>
            </w:pPr>
            <w:r>
              <w:rPr>
                <w:b/>
                <w:bCs/>
                <w:sz w:val="18"/>
                <w:szCs w:val="18"/>
              </w:rPr>
              <w:t>-387</w:t>
            </w:r>
          </w:p>
        </w:tc>
        <w:tc>
          <w:tcPr>
            <w:tcW w:w="2392" w:type="dxa"/>
            <w:tcBorders>
              <w:top w:val="nil"/>
              <w:left w:val="nil"/>
              <w:bottom w:val="nil"/>
              <w:right w:val="nil"/>
            </w:tcBorders>
            <w:shd w:val="clear" w:color="000000" w:fill="FFFFFF"/>
            <w:hideMark/>
          </w:tcPr>
          <w:p w:rsidR="00264F37" w:rsidRDefault="00264F37" w:rsidP="00F01802">
            <w:pPr>
              <w:spacing w:after="80"/>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264F37" w:rsidRDefault="00264F37" w:rsidP="00F01802">
            <w:pPr>
              <w:spacing w:after="80"/>
              <w:ind w:left="-283"/>
              <w:jc w:val="right"/>
              <w:rPr>
                <w:b/>
                <w:bCs/>
                <w:sz w:val="18"/>
                <w:szCs w:val="18"/>
              </w:rPr>
            </w:pPr>
            <w:r>
              <w:rPr>
                <w:b/>
                <w:bCs/>
                <w:sz w:val="18"/>
                <w:szCs w:val="18"/>
              </w:rPr>
              <w:t>-4,942</w:t>
            </w:r>
          </w:p>
        </w:tc>
        <w:tc>
          <w:tcPr>
            <w:tcW w:w="1054" w:type="dxa"/>
            <w:tcBorders>
              <w:top w:val="nil"/>
              <w:left w:val="nil"/>
              <w:bottom w:val="nil"/>
              <w:right w:val="nil"/>
            </w:tcBorders>
            <w:shd w:val="clear" w:color="000000" w:fill="FFFFFF"/>
            <w:noWrap/>
            <w:hideMark/>
          </w:tcPr>
          <w:p w:rsidR="00264F37" w:rsidRDefault="00264F37" w:rsidP="00F01802">
            <w:pPr>
              <w:spacing w:after="8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64F37" w:rsidRDefault="00264F37" w:rsidP="00F01802">
            <w:pPr>
              <w:spacing w:after="80"/>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264F37" w:rsidRDefault="00264F37" w:rsidP="00F0180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F0180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64F37" w:rsidRDefault="00264F37" w:rsidP="00F01802">
            <w:pPr>
              <w:spacing w:after="80"/>
              <w:ind w:left="-283"/>
              <w:jc w:val="right"/>
              <w:rPr>
                <w:b/>
                <w:bCs/>
                <w:sz w:val="18"/>
                <w:szCs w:val="18"/>
              </w:rPr>
            </w:pPr>
            <w:r>
              <w:rPr>
                <w:b/>
                <w:bCs/>
                <w:sz w:val="18"/>
                <w:szCs w:val="18"/>
              </w:rPr>
              <w:t>0</w:t>
            </w:r>
          </w:p>
        </w:tc>
      </w:tr>
      <w:tr w:rsidR="00264F37" w:rsidTr="000C3872">
        <w:tc>
          <w:tcPr>
            <w:tcW w:w="1054" w:type="dxa"/>
            <w:tcBorders>
              <w:top w:val="nil"/>
              <w:left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3,033</w:t>
            </w:r>
          </w:p>
        </w:tc>
        <w:tc>
          <w:tcPr>
            <w:tcW w:w="2392" w:type="dxa"/>
            <w:tcBorders>
              <w:top w:val="nil"/>
              <w:left w:val="nil"/>
              <w:right w:val="nil"/>
            </w:tcBorders>
            <w:shd w:val="clear" w:color="000000" w:fill="FFFFFF"/>
            <w:hideMark/>
          </w:tcPr>
          <w:p w:rsidR="00264F37" w:rsidRDefault="00264F37" w:rsidP="00F11E08">
            <w:pPr>
              <w:spacing w:after="60"/>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4,942</w:t>
            </w:r>
          </w:p>
        </w:tc>
        <w:tc>
          <w:tcPr>
            <w:tcW w:w="1054" w:type="dxa"/>
            <w:tcBorders>
              <w:top w:val="nil"/>
              <w:left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r>
      <w:tr w:rsidR="00264F37" w:rsidTr="000C3872">
        <w:tc>
          <w:tcPr>
            <w:tcW w:w="1054" w:type="dxa"/>
            <w:tcBorders>
              <w:top w:val="nil"/>
              <w:left w:val="nil"/>
              <w:bottom w:val="single" w:sz="4" w:space="0" w:color="auto"/>
              <w:right w:val="nil"/>
            </w:tcBorders>
            <w:shd w:val="clear" w:color="000000" w:fill="FFFFFF"/>
            <w:noWrap/>
            <w:hideMark/>
          </w:tcPr>
          <w:p w:rsidR="00264F37" w:rsidRDefault="00264F37" w:rsidP="00264F37">
            <w:pPr>
              <w:ind w:left="-283"/>
              <w:jc w:val="right"/>
              <w:rPr>
                <w:b/>
                <w:bCs/>
                <w:sz w:val="18"/>
                <w:szCs w:val="18"/>
              </w:rPr>
            </w:pPr>
            <w:r>
              <w:rPr>
                <w:b/>
                <w:bCs/>
                <w:sz w:val="18"/>
                <w:szCs w:val="18"/>
              </w:rPr>
              <w:t>2,646</w:t>
            </w:r>
          </w:p>
        </w:tc>
        <w:tc>
          <w:tcPr>
            <w:tcW w:w="2392" w:type="dxa"/>
            <w:tcBorders>
              <w:top w:val="nil"/>
              <w:left w:val="nil"/>
              <w:bottom w:val="single" w:sz="4" w:space="0" w:color="auto"/>
              <w:right w:val="nil"/>
            </w:tcBorders>
            <w:shd w:val="clear" w:color="000000" w:fill="FFFFFF"/>
            <w:hideMark/>
          </w:tcPr>
          <w:p w:rsidR="00264F37" w:rsidRDefault="00264F37" w:rsidP="00264F37">
            <w:pPr>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single" w:sz="4" w:space="0" w:color="auto"/>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single" w:sz="4" w:space="0" w:color="auto"/>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single" w:sz="4" w:space="0" w:color="auto"/>
              <w:right w:val="nil"/>
            </w:tcBorders>
            <w:shd w:val="clear" w:color="000000" w:fill="FFFFFF"/>
            <w:noWrap/>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single" w:sz="4" w:space="0" w:color="auto"/>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single" w:sz="4" w:space="0" w:color="auto"/>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single" w:sz="4" w:space="0" w:color="auto"/>
              <w:right w:val="nil"/>
            </w:tcBorders>
            <w:shd w:val="clear" w:color="000000" w:fill="FFFFFF"/>
            <w:noWrap/>
            <w:hideMark/>
          </w:tcPr>
          <w:p w:rsidR="00264F37" w:rsidRDefault="00264F37" w:rsidP="00264F37">
            <w:pPr>
              <w:ind w:left="-283"/>
              <w:jc w:val="right"/>
              <w:rPr>
                <w:b/>
                <w:bCs/>
                <w:sz w:val="18"/>
                <w:szCs w:val="18"/>
              </w:rPr>
            </w:pPr>
            <w:r>
              <w:rPr>
                <w:b/>
                <w:bCs/>
                <w:sz w:val="18"/>
                <w:szCs w:val="18"/>
              </w:rPr>
              <w:t>0</w:t>
            </w:r>
          </w:p>
        </w:tc>
      </w:tr>
    </w:tbl>
    <w:p w:rsidR="00DF3B0F" w:rsidRDefault="00DF3B0F" w:rsidP="00C73ACB">
      <w:pPr>
        <w:pStyle w:val="Heading3"/>
      </w:pPr>
      <w:bookmarkStart w:id="6" w:name="_GoBack"/>
      <w:bookmarkEnd w:id="6"/>
      <w:r>
        <w:lastRenderedPageBreak/>
        <w:t xml:space="preserve">Notes to the Budget </w:t>
      </w:r>
      <w:r w:rsidRPr="00C73ACB">
        <w:t>Statements</w:t>
      </w:r>
    </w:p>
    <w:p w:rsidR="005640CB" w:rsidRDefault="005640CB" w:rsidP="00DF3B0F">
      <w:pPr>
        <w:pStyle w:val="BodyText"/>
      </w:pPr>
      <w:r>
        <w:t>Variances in the Statements are mainly as</w:t>
      </w:r>
      <w:r w:rsidR="000064C3">
        <w:t xml:space="preserve">sociated with </w:t>
      </w:r>
      <w:r>
        <w:t xml:space="preserve">the </w:t>
      </w:r>
      <w:r w:rsidR="000304E2">
        <w:t>A</w:t>
      </w:r>
      <w:r>
        <w:t xml:space="preserve">dministrative </w:t>
      </w:r>
      <w:r w:rsidR="000304E2">
        <w:t>A</w:t>
      </w:r>
      <w:r w:rsidR="00130E21">
        <w:t xml:space="preserve">rrangements </w:t>
      </w:r>
      <w:r w:rsidR="000304E2">
        <w:t>of</w:t>
      </w:r>
      <w:r w:rsidR="00130E21">
        <w:t xml:space="preserve"> 9 </w:t>
      </w:r>
      <w:r>
        <w:t>November</w:t>
      </w:r>
      <w:r w:rsidR="00130E21">
        <w:t> </w:t>
      </w:r>
      <w:r>
        <w:t>2012</w:t>
      </w:r>
      <w:r w:rsidR="00130E21">
        <w:t xml:space="preserve"> (</w:t>
      </w:r>
      <w:r w:rsidR="000304E2">
        <w:t xml:space="preserve">the </w:t>
      </w:r>
      <w:r w:rsidR="00130E21">
        <w:t>AAs)</w:t>
      </w:r>
      <w:r w:rsidR="0097233C">
        <w:t>.  A</w:t>
      </w:r>
      <w:r>
        <w:t>s a result</w:t>
      </w:r>
      <w:r w:rsidR="003C04B6">
        <w:t>,</w:t>
      </w:r>
      <w:r>
        <w:t xml:space="preserve"> Treasury ceased </w:t>
      </w:r>
      <w:r w:rsidR="00130E21">
        <w:t xml:space="preserve">operating as a separate directorate following the AAs, </w:t>
      </w:r>
      <w:r>
        <w:t>and its functions were transferred to CMTD and CWD</w:t>
      </w:r>
      <w:r w:rsidR="0090056A">
        <w:t>, effective from 10</w:t>
      </w:r>
      <w:r w:rsidR="00130E21">
        <w:t> November </w:t>
      </w:r>
      <w:r w:rsidR="0090056A">
        <w:t>2012</w:t>
      </w:r>
      <w:r>
        <w:t>.</w:t>
      </w:r>
    </w:p>
    <w:p w:rsidR="000064C3" w:rsidRDefault="000064C3" w:rsidP="00DF3B0F">
      <w:pPr>
        <w:pStyle w:val="BodyText"/>
      </w:pPr>
    </w:p>
    <w:p w:rsidR="006339DB" w:rsidRDefault="0097233C">
      <w:bookmarkStart w:id="7" w:name="RANGE!A1:H37"/>
      <w:r>
        <w:br w:type="page"/>
      </w:r>
    </w:p>
    <w:tbl>
      <w:tblPr>
        <w:tblW w:w="9392" w:type="dxa"/>
        <w:tblInd w:w="-283" w:type="dxa"/>
        <w:tblLook w:val="04A0"/>
      </w:tblPr>
      <w:tblGrid>
        <w:gridCol w:w="1054"/>
        <w:gridCol w:w="2392"/>
        <w:gridCol w:w="1106"/>
        <w:gridCol w:w="1054"/>
        <w:gridCol w:w="624"/>
        <w:gridCol w:w="1054"/>
        <w:gridCol w:w="1054"/>
        <w:gridCol w:w="1054"/>
      </w:tblGrid>
      <w:tr w:rsidR="00264F37" w:rsidTr="00A07289">
        <w:trPr>
          <w:tblHeader/>
        </w:trPr>
        <w:tc>
          <w:tcPr>
            <w:tcW w:w="9392" w:type="dxa"/>
            <w:gridSpan w:val="8"/>
            <w:tcBorders>
              <w:top w:val="nil"/>
              <w:left w:val="nil"/>
              <w:bottom w:val="nil"/>
              <w:right w:val="nil"/>
            </w:tcBorders>
            <w:shd w:val="clear" w:color="000000" w:fill="FFFFFF"/>
            <w:hideMark/>
          </w:tcPr>
          <w:p w:rsidR="00264F37" w:rsidRDefault="00264F37" w:rsidP="00264F37">
            <w:pPr>
              <w:jc w:val="center"/>
              <w:rPr>
                <w:rFonts w:ascii="Arial" w:hAnsi="Arial" w:cs="Arial"/>
                <w:b/>
                <w:bCs/>
                <w:szCs w:val="24"/>
              </w:rPr>
            </w:pPr>
            <w:bookmarkStart w:id="8" w:name="RANGE!A1:H44"/>
            <w:bookmarkEnd w:id="7"/>
            <w:r>
              <w:rPr>
                <w:rFonts w:ascii="Arial" w:hAnsi="Arial" w:cs="Arial"/>
                <w:b/>
                <w:bCs/>
              </w:rPr>
              <w:lastRenderedPageBreak/>
              <w:t>Treasury Directorate</w:t>
            </w:r>
            <w:bookmarkEnd w:id="8"/>
          </w:p>
        </w:tc>
      </w:tr>
      <w:tr w:rsidR="00264F37" w:rsidTr="00A07289">
        <w:trPr>
          <w:tblHeader/>
        </w:trPr>
        <w:tc>
          <w:tcPr>
            <w:tcW w:w="9392" w:type="dxa"/>
            <w:gridSpan w:val="8"/>
            <w:tcBorders>
              <w:top w:val="nil"/>
              <w:left w:val="nil"/>
              <w:bottom w:val="nil"/>
              <w:right w:val="nil"/>
            </w:tcBorders>
            <w:shd w:val="clear" w:color="000000" w:fill="FFFFFF"/>
            <w:hideMark/>
          </w:tcPr>
          <w:p w:rsidR="00264F37" w:rsidRDefault="00264F37" w:rsidP="00264F37">
            <w:pPr>
              <w:jc w:val="center"/>
              <w:rPr>
                <w:rFonts w:ascii="Arial" w:hAnsi="Arial" w:cs="Arial"/>
                <w:b/>
                <w:bCs/>
                <w:szCs w:val="24"/>
              </w:rPr>
            </w:pPr>
            <w:r>
              <w:rPr>
                <w:rFonts w:ascii="Arial" w:hAnsi="Arial" w:cs="Arial"/>
                <w:b/>
                <w:bCs/>
              </w:rPr>
              <w:t>Statement of Income and Expenses on Behalf of the Territory</w:t>
            </w:r>
          </w:p>
        </w:tc>
      </w:tr>
      <w:tr w:rsidR="00264F37" w:rsidTr="00264F37">
        <w:trPr>
          <w:tblHeader/>
        </w:trPr>
        <w:tc>
          <w:tcPr>
            <w:tcW w:w="1054" w:type="dxa"/>
            <w:tcBorders>
              <w:top w:val="single" w:sz="4" w:space="0" w:color="auto"/>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2016-17</w:t>
            </w:r>
          </w:p>
        </w:tc>
      </w:tr>
      <w:tr w:rsidR="00264F37" w:rsidTr="00264F37">
        <w:trPr>
          <w:tblHeader/>
        </w:trPr>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Estimate</w:t>
            </w:r>
          </w:p>
        </w:tc>
      </w:tr>
      <w:tr w:rsidR="00264F37" w:rsidTr="00264F37">
        <w:trPr>
          <w:tblHeader/>
        </w:trPr>
        <w:tc>
          <w:tcPr>
            <w:tcW w:w="1054" w:type="dxa"/>
            <w:tcBorders>
              <w:top w:val="nil"/>
              <w:left w:val="nil"/>
              <w:bottom w:val="single" w:sz="4" w:space="0" w:color="auto"/>
              <w:right w:val="nil"/>
            </w:tcBorders>
            <w:shd w:val="clear" w:color="000000" w:fill="FFFFFF"/>
            <w:hideMark/>
          </w:tcPr>
          <w:p w:rsidR="00264F37" w:rsidRDefault="00264F37" w:rsidP="00264F3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264F37" w:rsidRDefault="00264F37" w:rsidP="00264F3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jc w:val="right"/>
              <w:rPr>
                <w:b/>
                <w:bCs/>
                <w:sz w:val="18"/>
                <w:szCs w:val="18"/>
              </w:rPr>
            </w:pPr>
            <w:r>
              <w:rPr>
                <w:b/>
                <w:bCs/>
                <w:sz w:val="18"/>
                <w:szCs w:val="18"/>
              </w:rPr>
              <w:t>$'000</w:t>
            </w:r>
          </w:p>
        </w:tc>
      </w:tr>
      <w:tr w:rsidR="00264F37" w:rsidTr="00264F37">
        <w:trPr>
          <w:tblHeader/>
        </w:trPr>
        <w:tc>
          <w:tcPr>
            <w:tcW w:w="1054" w:type="dxa"/>
            <w:tcBorders>
              <w:top w:val="nil"/>
              <w:left w:val="nil"/>
              <w:bottom w:val="nil"/>
              <w:right w:val="nil"/>
            </w:tcBorders>
            <w:shd w:val="clear" w:color="000000" w:fill="FFFFFF"/>
            <w:hideMark/>
          </w:tcPr>
          <w:p w:rsidR="00264F37" w:rsidRDefault="00264F37" w:rsidP="00264F37">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i/>
                <w:iCs/>
                <w:sz w:val="18"/>
                <w:szCs w:val="18"/>
              </w:rPr>
            </w:pPr>
            <w:r>
              <w:rPr>
                <w:b/>
                <w:bCs/>
                <w:i/>
                <w:iCs/>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17,782</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xml:space="preserve">Payment for Expenses on </w:t>
            </w:r>
            <w:r>
              <w:rPr>
                <w:sz w:val="18"/>
                <w:szCs w:val="18"/>
              </w:rPr>
              <w:br/>
              <w:t xml:space="preserve">   behalf of Territory</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7,857</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1,181,273</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Taxes, Fees and Fines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632,261</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1,399,113</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Grants from the Commonwealth</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588,004</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172,357</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Dividend Revenue</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107</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6,324</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Land Revenue</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6,812</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200</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2</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2,777,049</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1,235,043</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Gains</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Other Gains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161</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Gains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161</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2,777,049</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1,235,204</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11,058</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3,681</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17,547</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6,741</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3,009</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42</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2,745,435</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Transfer Expenses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1,224,740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2,777,049</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Expenses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1,235,204</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r>
      <w:tr w:rsidR="00A07289" w:rsidTr="00D01C2D">
        <w:tc>
          <w:tcPr>
            <w:tcW w:w="1054" w:type="dxa"/>
            <w:tcBorders>
              <w:top w:val="nil"/>
              <w:left w:val="nil"/>
              <w:bottom w:val="nil"/>
              <w:right w:val="nil"/>
            </w:tcBorders>
            <w:shd w:val="clear" w:color="000000" w:fill="FFFFFF"/>
            <w:hideMark/>
          </w:tcPr>
          <w:p w:rsidR="00A07289" w:rsidRDefault="00A07289" w:rsidP="00264F37">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A07289" w:rsidRDefault="00A07289" w:rsidP="00A07289">
            <w:pPr>
              <w:rPr>
                <w:sz w:val="18"/>
                <w:szCs w:val="18"/>
              </w:rPr>
            </w:pPr>
            <w:r>
              <w:rPr>
                <w:b/>
                <w:bCs/>
                <w:sz w:val="18"/>
                <w:szCs w:val="18"/>
              </w:rPr>
              <w:t>Other Comprehensive Income</w:t>
            </w:r>
            <w:r>
              <w:rPr>
                <w:sz w:val="18"/>
                <w:szCs w:val="18"/>
              </w:rPr>
              <w:t> </w:t>
            </w:r>
          </w:p>
        </w:tc>
        <w:tc>
          <w:tcPr>
            <w:tcW w:w="1054" w:type="dxa"/>
            <w:tcBorders>
              <w:top w:val="nil"/>
              <w:left w:val="nil"/>
              <w:bottom w:val="nil"/>
              <w:right w:val="nil"/>
            </w:tcBorders>
            <w:shd w:val="clear" w:color="000000" w:fill="FFFFFF"/>
            <w:hideMark/>
          </w:tcPr>
          <w:p w:rsidR="00A07289" w:rsidRDefault="00A07289"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A07289" w:rsidRDefault="00A07289"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A07289" w:rsidRDefault="00A07289"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A07289" w:rsidRDefault="00A07289"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A07289" w:rsidRDefault="00A07289"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A07289" w:rsidP="00A07289">
            <w:pPr>
              <w:spacing w:after="60"/>
              <w:ind w:left="142" w:hanging="142"/>
              <w:rPr>
                <w:i/>
                <w:iCs/>
                <w:sz w:val="18"/>
                <w:szCs w:val="18"/>
              </w:rPr>
            </w:pPr>
            <w:r>
              <w:rPr>
                <w:i/>
                <w:iCs/>
                <w:sz w:val="18"/>
                <w:szCs w:val="18"/>
              </w:rPr>
              <w:t xml:space="preserve">    Items that will not be r</w:t>
            </w:r>
            <w:r w:rsidR="00264F37">
              <w:rPr>
                <w:i/>
                <w:iCs/>
                <w:sz w:val="18"/>
                <w:szCs w:val="18"/>
              </w:rPr>
              <w:t xml:space="preserve">eclassified </w:t>
            </w:r>
            <w:r>
              <w:rPr>
                <w:i/>
                <w:iCs/>
                <w:sz w:val="18"/>
                <w:szCs w:val="18"/>
              </w:rPr>
              <w:t>s</w:t>
            </w:r>
            <w:r w:rsidR="00264F37">
              <w:rPr>
                <w:i/>
                <w:iCs/>
                <w:sz w:val="18"/>
                <w:szCs w:val="18"/>
              </w:rPr>
              <w:t xml:space="preserve">ubsequently to </w:t>
            </w:r>
            <w:r>
              <w:rPr>
                <w:i/>
                <w:iCs/>
                <w:sz w:val="18"/>
                <w:szCs w:val="18"/>
              </w:rPr>
              <w:t>profit or l</w:t>
            </w:r>
            <w:r w:rsidR="00264F37">
              <w:rPr>
                <w:i/>
                <w:iCs/>
                <w:sz w:val="18"/>
                <w:szCs w:val="18"/>
              </w:rPr>
              <w:t>oss</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10,336</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xml:space="preserve">Inc/Dec in Asset Revaluation </w:t>
            </w:r>
            <w:r>
              <w:rPr>
                <w:sz w:val="18"/>
                <w:szCs w:val="18"/>
              </w:rPr>
              <w:br/>
              <w:t xml:space="preserve">   Reserve Surpluses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12,647</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10,336</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Other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12,647</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10,336</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12,647</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r>
    </w:tbl>
    <w:p w:rsidR="00264F37" w:rsidRDefault="00264F37">
      <w:pPr>
        <w:rPr>
          <w:rFonts w:ascii="Arial" w:hAnsi="Arial" w:cs="Arial"/>
          <w:b/>
          <w:bCs/>
          <w:szCs w:val="26"/>
        </w:rPr>
      </w:pPr>
      <w:r>
        <w:br w:type="page"/>
      </w:r>
    </w:p>
    <w:tbl>
      <w:tblPr>
        <w:tblW w:w="9392" w:type="dxa"/>
        <w:tblInd w:w="-283" w:type="dxa"/>
        <w:tblLook w:val="04A0"/>
      </w:tblPr>
      <w:tblGrid>
        <w:gridCol w:w="1054"/>
        <w:gridCol w:w="2392"/>
        <w:gridCol w:w="1106"/>
        <w:gridCol w:w="1054"/>
        <w:gridCol w:w="624"/>
        <w:gridCol w:w="1054"/>
        <w:gridCol w:w="1054"/>
        <w:gridCol w:w="1054"/>
      </w:tblGrid>
      <w:tr w:rsidR="00264F37" w:rsidTr="006C0FCF">
        <w:trPr>
          <w:tblHeader/>
        </w:trPr>
        <w:tc>
          <w:tcPr>
            <w:tcW w:w="9392" w:type="dxa"/>
            <w:gridSpan w:val="8"/>
            <w:tcBorders>
              <w:top w:val="nil"/>
              <w:left w:val="nil"/>
              <w:bottom w:val="nil"/>
              <w:right w:val="nil"/>
            </w:tcBorders>
            <w:shd w:val="clear" w:color="000000" w:fill="FFFFFF"/>
            <w:noWrap/>
            <w:vAlign w:val="bottom"/>
            <w:hideMark/>
          </w:tcPr>
          <w:p w:rsidR="00264F37" w:rsidRDefault="00264F37" w:rsidP="00264F37">
            <w:pPr>
              <w:jc w:val="center"/>
              <w:rPr>
                <w:rFonts w:ascii="Arial" w:hAnsi="Arial" w:cs="Arial"/>
                <w:b/>
                <w:bCs/>
                <w:szCs w:val="24"/>
              </w:rPr>
            </w:pPr>
            <w:bookmarkStart w:id="9" w:name="RANGE!A1:H38"/>
            <w:r>
              <w:rPr>
                <w:rFonts w:ascii="Arial" w:hAnsi="Arial" w:cs="Arial"/>
                <w:b/>
                <w:bCs/>
              </w:rPr>
              <w:lastRenderedPageBreak/>
              <w:t>Treasury Directorate</w:t>
            </w:r>
            <w:bookmarkEnd w:id="9"/>
          </w:p>
        </w:tc>
      </w:tr>
      <w:tr w:rsidR="00264F37" w:rsidTr="006C0FCF">
        <w:trPr>
          <w:tblHeader/>
        </w:trPr>
        <w:tc>
          <w:tcPr>
            <w:tcW w:w="9392" w:type="dxa"/>
            <w:gridSpan w:val="8"/>
            <w:tcBorders>
              <w:top w:val="nil"/>
              <w:left w:val="nil"/>
              <w:bottom w:val="nil"/>
              <w:right w:val="nil"/>
            </w:tcBorders>
            <w:shd w:val="clear" w:color="000000" w:fill="FFFFFF"/>
            <w:noWrap/>
            <w:vAlign w:val="bottom"/>
            <w:hideMark/>
          </w:tcPr>
          <w:p w:rsidR="00264F37" w:rsidRDefault="00264F37" w:rsidP="00264F37">
            <w:pPr>
              <w:jc w:val="center"/>
              <w:rPr>
                <w:rFonts w:ascii="Arial" w:hAnsi="Arial" w:cs="Arial"/>
                <w:b/>
                <w:bCs/>
                <w:szCs w:val="24"/>
              </w:rPr>
            </w:pPr>
            <w:r>
              <w:rPr>
                <w:rFonts w:ascii="Arial" w:hAnsi="Arial" w:cs="Arial"/>
                <w:b/>
                <w:bCs/>
              </w:rPr>
              <w:t>Statement of Assets and Liabilities on Behalf of the Territory</w:t>
            </w:r>
          </w:p>
        </w:tc>
      </w:tr>
      <w:tr w:rsidR="00264F37" w:rsidTr="00264F37">
        <w:trPr>
          <w:tblHeader/>
        </w:trPr>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vAlign w:val="bottom"/>
            <w:hideMark/>
          </w:tcPr>
          <w:p w:rsidR="00264F37" w:rsidRDefault="00264F37" w:rsidP="00264F37">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Estimate</w:t>
            </w:r>
          </w:p>
        </w:tc>
      </w:tr>
      <w:tr w:rsidR="00264F37" w:rsidTr="00264F37">
        <w:trPr>
          <w:tblHeader/>
        </w:trPr>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vAlign w:val="center"/>
            <w:hideMark/>
          </w:tcPr>
          <w:p w:rsidR="00264F37" w:rsidRDefault="00264F37" w:rsidP="00264F37">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vAlign w:val="center"/>
            <w:hideMark/>
          </w:tcPr>
          <w:p w:rsidR="00264F37" w:rsidRDefault="00264F37" w:rsidP="00264F37">
            <w:pPr>
              <w:ind w:left="-283"/>
              <w:jc w:val="right"/>
              <w:rPr>
                <w:b/>
                <w:bCs/>
                <w:sz w:val="16"/>
                <w:szCs w:val="16"/>
              </w:rPr>
            </w:pPr>
            <w:r>
              <w:rPr>
                <w:b/>
                <w:bCs/>
                <w:sz w:val="16"/>
                <w:szCs w:val="16"/>
              </w:rPr>
              <w:t>as at 30/6/17</w:t>
            </w:r>
          </w:p>
        </w:tc>
      </w:tr>
      <w:tr w:rsidR="00264F37" w:rsidTr="00264F37">
        <w:trPr>
          <w:tblHeader/>
        </w:trPr>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264F37" w:rsidRDefault="00264F37" w:rsidP="00264F37">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64F37" w:rsidRDefault="00264F37" w:rsidP="00264F37">
            <w:pPr>
              <w:ind w:left="-283"/>
              <w:jc w:val="right"/>
              <w:rPr>
                <w:b/>
                <w:bCs/>
                <w:sz w:val="18"/>
                <w:szCs w:val="18"/>
              </w:rPr>
            </w:pPr>
            <w:r>
              <w:rPr>
                <w:b/>
                <w:bCs/>
                <w:sz w:val="18"/>
                <w:szCs w:val="18"/>
              </w:rPr>
              <w:t>$'000</w:t>
            </w:r>
          </w:p>
        </w:tc>
      </w:tr>
      <w:tr w:rsidR="00264F37" w:rsidTr="00264F37">
        <w:trPr>
          <w:tblHeader/>
        </w:trPr>
        <w:tc>
          <w:tcPr>
            <w:tcW w:w="1054"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noWrap/>
            <w:vAlign w:val="bottom"/>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noWrap/>
            <w:vAlign w:val="bottom"/>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vAlign w:val="bottom"/>
            <w:hideMark/>
          </w:tcPr>
          <w:p w:rsidR="00264F37" w:rsidRDefault="00264F37" w:rsidP="00264F3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264F37" w:rsidRDefault="00264F37" w:rsidP="00264F37">
            <w:pPr>
              <w:ind w:left="-283"/>
              <w:jc w:val="right"/>
              <w:rPr>
                <w:i/>
                <w:iCs/>
                <w:sz w:val="18"/>
                <w:szCs w:val="18"/>
              </w:rPr>
            </w:pPr>
            <w:r>
              <w:rPr>
                <w:i/>
                <w:iCs/>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56,541</w:t>
            </w:r>
          </w:p>
        </w:tc>
        <w:tc>
          <w:tcPr>
            <w:tcW w:w="2392" w:type="dxa"/>
            <w:tcBorders>
              <w:top w:val="nil"/>
              <w:left w:val="nil"/>
              <w:bottom w:val="nil"/>
              <w:right w:val="nil"/>
            </w:tcBorders>
            <w:shd w:val="clear" w:color="000000" w:fill="FFFFFF"/>
            <w:hideMark/>
          </w:tcPr>
          <w:p w:rsidR="00264F37" w:rsidRDefault="00264F37" w:rsidP="006C0FCF">
            <w:pPr>
              <w:rPr>
                <w:sz w:val="18"/>
                <w:szCs w:val="18"/>
              </w:rPr>
            </w:pPr>
            <w:r>
              <w:rPr>
                <w:sz w:val="18"/>
                <w:szCs w:val="18"/>
              </w:rPr>
              <w:t>Cash and Cash</w:t>
            </w:r>
            <w:r w:rsidR="006C0FCF">
              <w:rPr>
                <w:sz w:val="18"/>
                <w:szCs w:val="18"/>
              </w:rPr>
              <w:t xml:space="preserve"> </w:t>
            </w:r>
            <w:r>
              <w:rPr>
                <w:sz w:val="18"/>
                <w:szCs w:val="18"/>
              </w:rPr>
              <w:t>Equivalents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134,757</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191,298</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217,043</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217,043</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408,341</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b/>
                <w:bCs/>
                <w:sz w:val="18"/>
                <w:szCs w:val="18"/>
              </w:rPr>
            </w:pPr>
            <w:r>
              <w:rPr>
                <w:b/>
                <w:bCs/>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182,015</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2,872</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Other Provisions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5,500</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190,387</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190,387</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217,954</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6C0FCF" w:rsidTr="00D01C2D">
        <w:tc>
          <w:tcPr>
            <w:tcW w:w="1054" w:type="dxa"/>
            <w:tcBorders>
              <w:top w:val="nil"/>
              <w:left w:val="nil"/>
              <w:bottom w:val="nil"/>
              <w:right w:val="nil"/>
            </w:tcBorders>
            <w:shd w:val="clear" w:color="000000" w:fill="FFFFFF"/>
            <w:hideMark/>
          </w:tcPr>
          <w:p w:rsidR="006C0FCF" w:rsidRDefault="006C0FCF" w:rsidP="00264F37">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6C0FCF" w:rsidRDefault="006C0FCF" w:rsidP="006C0FCF">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6C0FCF" w:rsidRDefault="006C0FCF"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6C0FCF" w:rsidRDefault="006C0FCF"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C0FCF" w:rsidRDefault="006C0FCF"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6C0FCF" w:rsidRDefault="006C0FCF"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6C0FCF" w:rsidRDefault="006C0FCF"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197,600</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20,354</w:t>
            </w:r>
          </w:p>
        </w:tc>
        <w:tc>
          <w:tcPr>
            <w:tcW w:w="2392" w:type="dxa"/>
            <w:tcBorders>
              <w:top w:val="nil"/>
              <w:left w:val="nil"/>
              <w:bottom w:val="nil"/>
              <w:right w:val="nil"/>
            </w:tcBorders>
            <w:shd w:val="clear" w:color="000000" w:fill="FFFFFF"/>
            <w:hideMark/>
          </w:tcPr>
          <w:p w:rsidR="00264F37" w:rsidRDefault="00264F37" w:rsidP="00264F37">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0</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64F37" w:rsidRDefault="00264F37" w:rsidP="00264F37">
            <w:pPr>
              <w:ind w:left="-283"/>
              <w:rPr>
                <w:sz w:val="18"/>
                <w:szCs w:val="18"/>
              </w:rPr>
            </w:pPr>
            <w:r>
              <w:rPr>
                <w:sz w:val="18"/>
                <w:szCs w:val="18"/>
              </w:rPr>
              <w:t> </w:t>
            </w:r>
          </w:p>
        </w:tc>
      </w:tr>
      <w:tr w:rsidR="00264F37" w:rsidTr="00264F37">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217,954</w:t>
            </w:r>
          </w:p>
        </w:tc>
        <w:tc>
          <w:tcPr>
            <w:tcW w:w="2392" w:type="dxa"/>
            <w:tcBorders>
              <w:top w:val="nil"/>
              <w:left w:val="nil"/>
              <w:bottom w:val="nil"/>
              <w:right w:val="nil"/>
            </w:tcBorders>
            <w:shd w:val="clear" w:color="000000" w:fill="FFFFFF"/>
            <w:hideMark/>
          </w:tcPr>
          <w:p w:rsidR="00264F37" w:rsidRDefault="00264F37" w:rsidP="00264F37">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64F37" w:rsidRDefault="00264F37" w:rsidP="00264F37">
            <w:pPr>
              <w:ind w:left="-283"/>
              <w:jc w:val="right"/>
              <w:rPr>
                <w:b/>
                <w:bCs/>
                <w:sz w:val="18"/>
                <w:szCs w:val="18"/>
              </w:rPr>
            </w:pPr>
            <w:r>
              <w:rPr>
                <w:b/>
                <w:bCs/>
                <w:sz w:val="18"/>
                <w:szCs w:val="18"/>
              </w:rPr>
              <w:t>0</w:t>
            </w:r>
          </w:p>
        </w:tc>
      </w:tr>
      <w:tr w:rsidR="00264F37" w:rsidTr="00264F37">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264F37" w:rsidRDefault="00264F37" w:rsidP="00264F37">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264F37" w:rsidRDefault="00264F37" w:rsidP="00264F37">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64F37" w:rsidRDefault="00264F37" w:rsidP="00264F37">
            <w:pPr>
              <w:ind w:left="-283"/>
              <w:rPr>
                <w:sz w:val="18"/>
                <w:szCs w:val="18"/>
              </w:rPr>
            </w:pPr>
            <w:r>
              <w:rPr>
                <w:sz w:val="18"/>
                <w:szCs w:val="18"/>
              </w:rPr>
              <w:t> </w:t>
            </w:r>
          </w:p>
        </w:tc>
      </w:tr>
    </w:tbl>
    <w:p w:rsidR="000C3872" w:rsidRDefault="00264F37">
      <w:r>
        <w:br w:type="page"/>
      </w:r>
    </w:p>
    <w:tbl>
      <w:tblPr>
        <w:tblW w:w="9392" w:type="dxa"/>
        <w:tblInd w:w="-283" w:type="dxa"/>
        <w:tblLook w:val="04A0"/>
      </w:tblPr>
      <w:tblGrid>
        <w:gridCol w:w="1054"/>
        <w:gridCol w:w="2392"/>
        <w:gridCol w:w="1106"/>
        <w:gridCol w:w="1054"/>
        <w:gridCol w:w="624"/>
        <w:gridCol w:w="1054"/>
        <w:gridCol w:w="1054"/>
        <w:gridCol w:w="1054"/>
      </w:tblGrid>
      <w:tr w:rsidR="000C3872" w:rsidTr="000C3872">
        <w:trPr>
          <w:tblHeader/>
        </w:trPr>
        <w:tc>
          <w:tcPr>
            <w:tcW w:w="9388" w:type="dxa"/>
            <w:gridSpan w:val="8"/>
            <w:tcBorders>
              <w:top w:val="nil"/>
              <w:left w:val="nil"/>
              <w:bottom w:val="nil"/>
              <w:right w:val="nil"/>
            </w:tcBorders>
            <w:shd w:val="clear" w:color="000000" w:fill="FFFFFF"/>
            <w:noWrap/>
            <w:vAlign w:val="bottom"/>
            <w:hideMark/>
          </w:tcPr>
          <w:p w:rsidR="000C3872" w:rsidRDefault="000C3872" w:rsidP="000C3872">
            <w:pPr>
              <w:jc w:val="center"/>
              <w:rPr>
                <w:rFonts w:ascii="Arial" w:hAnsi="Arial" w:cs="Arial"/>
                <w:b/>
                <w:bCs/>
                <w:szCs w:val="24"/>
              </w:rPr>
            </w:pPr>
            <w:bookmarkStart w:id="10" w:name="RANGE!A1:H36"/>
            <w:r>
              <w:rPr>
                <w:rFonts w:ascii="Arial" w:hAnsi="Arial" w:cs="Arial"/>
                <w:b/>
                <w:bCs/>
              </w:rPr>
              <w:lastRenderedPageBreak/>
              <w:t>Treasury Directorate</w:t>
            </w:r>
            <w:bookmarkEnd w:id="10"/>
          </w:p>
        </w:tc>
      </w:tr>
      <w:tr w:rsidR="000C3872" w:rsidTr="000C3872">
        <w:trPr>
          <w:tblHeader/>
        </w:trPr>
        <w:tc>
          <w:tcPr>
            <w:tcW w:w="9388" w:type="dxa"/>
            <w:gridSpan w:val="8"/>
            <w:tcBorders>
              <w:top w:val="nil"/>
              <w:left w:val="nil"/>
              <w:bottom w:val="nil"/>
              <w:right w:val="nil"/>
            </w:tcBorders>
            <w:shd w:val="clear" w:color="000000" w:fill="FFFFFF"/>
            <w:noWrap/>
            <w:vAlign w:val="bottom"/>
            <w:hideMark/>
          </w:tcPr>
          <w:p w:rsidR="000C3872" w:rsidRDefault="000C3872" w:rsidP="000C3872">
            <w:pPr>
              <w:jc w:val="center"/>
              <w:rPr>
                <w:rFonts w:ascii="Arial" w:hAnsi="Arial" w:cs="Arial"/>
                <w:b/>
                <w:bCs/>
                <w:szCs w:val="24"/>
              </w:rPr>
            </w:pPr>
            <w:r>
              <w:rPr>
                <w:rFonts w:ascii="Arial" w:hAnsi="Arial" w:cs="Arial"/>
                <w:b/>
                <w:bCs/>
              </w:rPr>
              <w:t>Statement of Changes in Equity on Behalf of the Territory</w:t>
            </w:r>
          </w:p>
        </w:tc>
      </w:tr>
      <w:tr w:rsidR="000C3872" w:rsidTr="000C3872">
        <w:trPr>
          <w:tblHeader/>
        </w:trPr>
        <w:tc>
          <w:tcPr>
            <w:tcW w:w="1054" w:type="dxa"/>
            <w:tcBorders>
              <w:top w:val="single" w:sz="4" w:space="0" w:color="auto"/>
              <w:left w:val="nil"/>
              <w:bottom w:val="nil"/>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vAlign w:val="bottom"/>
            <w:hideMark/>
          </w:tcPr>
          <w:p w:rsidR="000C3872" w:rsidRDefault="000C3872" w:rsidP="000C3872">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Estimate</w:t>
            </w:r>
          </w:p>
        </w:tc>
      </w:tr>
      <w:tr w:rsidR="000C3872" w:rsidTr="000C3872">
        <w:trPr>
          <w:tblHeader/>
        </w:trPr>
        <w:tc>
          <w:tcPr>
            <w:tcW w:w="1054" w:type="dxa"/>
            <w:tcBorders>
              <w:top w:val="nil"/>
              <w:left w:val="nil"/>
              <w:bottom w:val="nil"/>
              <w:right w:val="nil"/>
            </w:tcBorders>
            <w:shd w:val="clear" w:color="000000" w:fill="FFFFFF"/>
            <w:vAlign w:val="center"/>
            <w:hideMark/>
          </w:tcPr>
          <w:p w:rsidR="000C3872" w:rsidRDefault="000C3872" w:rsidP="000C3872">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0C3872" w:rsidRDefault="000C3872" w:rsidP="000C3872">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vAlign w:val="center"/>
            <w:hideMark/>
          </w:tcPr>
          <w:p w:rsidR="000C3872" w:rsidRDefault="000C3872" w:rsidP="000C3872">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vAlign w:val="center"/>
            <w:hideMark/>
          </w:tcPr>
          <w:p w:rsidR="000C3872" w:rsidRDefault="000C3872" w:rsidP="000C3872">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0C3872" w:rsidRDefault="000C3872" w:rsidP="000C3872">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vAlign w:val="center"/>
            <w:hideMark/>
          </w:tcPr>
          <w:p w:rsidR="000C3872" w:rsidRDefault="000C3872" w:rsidP="000C3872">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vAlign w:val="center"/>
            <w:hideMark/>
          </w:tcPr>
          <w:p w:rsidR="000C3872" w:rsidRDefault="000C3872" w:rsidP="000C3872">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vAlign w:val="center"/>
            <w:hideMark/>
          </w:tcPr>
          <w:p w:rsidR="000C3872" w:rsidRDefault="000C3872" w:rsidP="000C3872">
            <w:pPr>
              <w:ind w:left="-283"/>
              <w:jc w:val="right"/>
              <w:rPr>
                <w:b/>
                <w:bCs/>
                <w:sz w:val="16"/>
                <w:szCs w:val="16"/>
              </w:rPr>
            </w:pPr>
            <w:r>
              <w:rPr>
                <w:b/>
                <w:bCs/>
                <w:sz w:val="16"/>
                <w:szCs w:val="16"/>
              </w:rPr>
              <w:t>as at 30/6/17</w:t>
            </w:r>
          </w:p>
        </w:tc>
      </w:tr>
      <w:tr w:rsidR="000C3872" w:rsidTr="000C3872">
        <w:trPr>
          <w:tblHeader/>
        </w:trPr>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0C3872" w:rsidRDefault="000C3872" w:rsidP="000C3872">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$'000</w:t>
            </w:r>
          </w:p>
        </w:tc>
      </w:tr>
      <w:tr w:rsidR="000C3872" w:rsidTr="000C3872">
        <w:trPr>
          <w:tblHeader/>
        </w:trPr>
        <w:tc>
          <w:tcPr>
            <w:tcW w:w="1054" w:type="dxa"/>
            <w:tcBorders>
              <w:top w:val="nil"/>
              <w:left w:val="nil"/>
              <w:bottom w:val="nil"/>
              <w:right w:val="nil"/>
            </w:tcBorders>
            <w:shd w:val="clear" w:color="000000" w:fill="FFFFFF"/>
            <w:noWrap/>
            <w:vAlign w:val="bottom"/>
            <w:hideMark/>
          </w:tcPr>
          <w:p w:rsidR="000C3872" w:rsidRDefault="000C3872" w:rsidP="000C3872">
            <w:pPr>
              <w:ind w:left="-283"/>
              <w:rPr>
                <w:sz w:val="18"/>
                <w:szCs w:val="18"/>
              </w:rPr>
            </w:pPr>
            <w:r>
              <w:rPr>
                <w:sz w:val="18"/>
                <w:szCs w:val="18"/>
              </w:rPr>
              <w:t> </w:t>
            </w:r>
          </w:p>
        </w:tc>
        <w:tc>
          <w:tcPr>
            <w:tcW w:w="2392" w:type="dxa"/>
            <w:tcBorders>
              <w:top w:val="nil"/>
              <w:left w:val="nil"/>
              <w:bottom w:val="nil"/>
              <w:right w:val="nil"/>
            </w:tcBorders>
            <w:shd w:val="clear" w:color="000000" w:fill="FFFFFF"/>
            <w:noWrap/>
            <w:vAlign w:val="bottom"/>
            <w:hideMark/>
          </w:tcPr>
          <w:p w:rsidR="000C3872" w:rsidRDefault="000C3872" w:rsidP="000C3872">
            <w:pPr>
              <w:rPr>
                <w:sz w:val="18"/>
                <w:szCs w:val="18"/>
              </w:rPr>
            </w:pPr>
            <w:r>
              <w:rPr>
                <w:sz w:val="18"/>
                <w:szCs w:val="18"/>
              </w:rPr>
              <w:t> </w:t>
            </w:r>
          </w:p>
        </w:tc>
        <w:tc>
          <w:tcPr>
            <w:tcW w:w="1106" w:type="dxa"/>
            <w:tcBorders>
              <w:top w:val="nil"/>
              <w:left w:val="nil"/>
              <w:bottom w:val="nil"/>
              <w:right w:val="nil"/>
            </w:tcBorders>
            <w:shd w:val="clear" w:color="000000" w:fill="FFFFFF"/>
            <w:noWrap/>
            <w:vAlign w:val="bottom"/>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0C3872" w:rsidRDefault="000C3872" w:rsidP="000C3872">
            <w:pPr>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125,300</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125,144</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10,018</w:t>
            </w:r>
          </w:p>
        </w:tc>
        <w:tc>
          <w:tcPr>
            <w:tcW w:w="2392" w:type="dxa"/>
            <w:tcBorders>
              <w:top w:val="nil"/>
              <w:left w:val="nil"/>
              <w:bottom w:val="nil"/>
              <w:right w:val="nil"/>
            </w:tcBorders>
            <w:shd w:val="clear" w:color="000000" w:fill="FFFFFF"/>
            <w:hideMark/>
          </w:tcPr>
          <w:p w:rsidR="000C3872" w:rsidRDefault="000C3872" w:rsidP="000C3872">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6,350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135,318</w:t>
            </w:r>
          </w:p>
        </w:tc>
        <w:tc>
          <w:tcPr>
            <w:tcW w:w="2392" w:type="dxa"/>
            <w:tcBorders>
              <w:top w:val="nil"/>
              <w:left w:val="nil"/>
              <w:bottom w:val="nil"/>
              <w:right w:val="nil"/>
            </w:tcBorders>
            <w:shd w:val="clear" w:color="000000" w:fill="FFFFFF"/>
            <w:hideMark/>
          </w:tcPr>
          <w:p w:rsidR="000C3872" w:rsidRDefault="000C3872" w:rsidP="000C3872">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131,494</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10,336</w:t>
            </w:r>
          </w:p>
        </w:tc>
        <w:tc>
          <w:tcPr>
            <w:tcW w:w="2392" w:type="dxa"/>
            <w:tcBorders>
              <w:top w:val="nil"/>
              <w:left w:val="nil"/>
              <w:bottom w:val="nil"/>
              <w:right w:val="nil"/>
            </w:tcBorders>
            <w:shd w:val="clear" w:color="000000" w:fill="FFFFFF"/>
            <w:hideMark/>
          </w:tcPr>
          <w:p w:rsidR="000C3872" w:rsidRDefault="000C3872" w:rsidP="000C3872">
            <w:pPr>
              <w:rPr>
                <w:sz w:val="18"/>
                <w:szCs w:val="18"/>
              </w:rPr>
            </w:pPr>
            <w:r>
              <w:rPr>
                <w:sz w:val="18"/>
                <w:szCs w:val="18"/>
              </w:rPr>
              <w:t>Inc/Dec in Asset Revaluation</w:t>
            </w:r>
            <w:r>
              <w:rPr>
                <w:sz w:val="18"/>
                <w:szCs w:val="18"/>
              </w:rPr>
              <w:br/>
              <w:t xml:space="preserve">   Reserve Surpluses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12,647</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0C3872" w:rsidRDefault="000C3872" w:rsidP="000C3872">
            <w:pPr>
              <w:ind w:left="-283"/>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10,336</w:t>
            </w:r>
          </w:p>
        </w:tc>
        <w:tc>
          <w:tcPr>
            <w:tcW w:w="2392" w:type="dxa"/>
            <w:tcBorders>
              <w:top w:val="nil"/>
              <w:left w:val="nil"/>
              <w:bottom w:val="nil"/>
              <w:right w:val="nil"/>
            </w:tcBorders>
            <w:shd w:val="clear" w:color="000000" w:fill="FFFFFF"/>
            <w:hideMark/>
          </w:tcPr>
          <w:p w:rsidR="000C3872" w:rsidRDefault="000C3872" w:rsidP="000C3872">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12,647</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0C3872" w:rsidRDefault="000C3872" w:rsidP="000C3872">
            <w:pPr>
              <w:rPr>
                <w:sz w:val="18"/>
                <w:szCs w:val="18"/>
              </w:rPr>
            </w:pPr>
            <w:r>
              <w:rPr>
                <w:sz w:val="18"/>
                <w:szCs w:val="18"/>
              </w:rPr>
              <w:t>Transfer to/from</w:t>
            </w:r>
            <w:r>
              <w:rPr>
                <w:sz w:val="18"/>
                <w:szCs w:val="18"/>
              </w:rPr>
              <w:br/>
              <w:t xml:space="preserve">   Accumulated Funds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18,997</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0C3872" w:rsidRDefault="000C3872" w:rsidP="000C3872">
            <w:pPr>
              <w:rPr>
                <w:sz w:val="18"/>
                <w:szCs w:val="18"/>
              </w:rPr>
            </w:pPr>
            <w:r>
              <w:rPr>
                <w:sz w:val="18"/>
                <w:szCs w:val="18"/>
              </w:rPr>
              <w:t>Movement in Asset</w:t>
            </w:r>
            <w:r>
              <w:rPr>
                <w:sz w:val="18"/>
                <w:szCs w:val="18"/>
              </w:rPr>
              <w:br/>
              <w:t xml:space="preserve">   Revaluation Reserve</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-18,997</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0C3872" w:rsidRDefault="000C3872" w:rsidP="000C3872">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0C3872" w:rsidRDefault="000C3872" w:rsidP="000C3872">
            <w:pPr>
              <w:rPr>
                <w:b/>
                <w:bCs/>
                <w:sz w:val="18"/>
                <w:szCs w:val="18"/>
              </w:rPr>
            </w:pPr>
            <w:r>
              <w:rPr>
                <w:b/>
                <w:bCs/>
                <w:sz w:val="18"/>
                <w:szCs w:val="18"/>
              </w:rPr>
              <w:t>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72,300</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63,255</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0C3872" w:rsidRDefault="000C3872" w:rsidP="000C3872">
            <w:pPr>
              <w:rPr>
                <w:sz w:val="18"/>
                <w:szCs w:val="18"/>
              </w:rPr>
            </w:pPr>
            <w:r>
              <w:rPr>
                <w:sz w:val="18"/>
                <w:szCs w:val="18"/>
              </w:rPr>
              <w:t>Inc/Dec in Net Assets due to</w:t>
            </w:r>
            <w:r>
              <w:rPr>
                <w:sz w:val="18"/>
                <w:szCs w:val="18"/>
              </w:rPr>
              <w:br/>
              <w:t xml:space="preserve">   Admin Restructure</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-207,396</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72,300</w:t>
            </w:r>
          </w:p>
        </w:tc>
        <w:tc>
          <w:tcPr>
            <w:tcW w:w="2392" w:type="dxa"/>
            <w:tcBorders>
              <w:top w:val="nil"/>
              <w:left w:val="nil"/>
              <w:bottom w:val="nil"/>
              <w:right w:val="nil"/>
            </w:tcBorders>
            <w:shd w:val="clear" w:color="000000" w:fill="FFFFFF"/>
            <w:hideMark/>
          </w:tcPr>
          <w:p w:rsidR="000C3872" w:rsidRDefault="000C3872" w:rsidP="000C3872">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-144,141</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197,600</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20,354</w:t>
            </w:r>
          </w:p>
        </w:tc>
        <w:tc>
          <w:tcPr>
            <w:tcW w:w="2392" w:type="dxa"/>
            <w:tcBorders>
              <w:top w:val="nil"/>
              <w:left w:val="nil"/>
              <w:bottom w:val="nil"/>
              <w:right w:val="nil"/>
            </w:tcBorders>
            <w:shd w:val="clear" w:color="000000" w:fill="FFFFFF"/>
            <w:hideMark/>
          </w:tcPr>
          <w:p w:rsidR="000C3872" w:rsidRDefault="000C3872" w:rsidP="000C3872">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217,954</w:t>
            </w:r>
          </w:p>
        </w:tc>
        <w:tc>
          <w:tcPr>
            <w:tcW w:w="2392" w:type="dxa"/>
            <w:tcBorders>
              <w:top w:val="nil"/>
              <w:left w:val="nil"/>
              <w:bottom w:val="nil"/>
              <w:right w:val="nil"/>
            </w:tcBorders>
            <w:shd w:val="clear" w:color="000000" w:fill="FFFFFF"/>
            <w:hideMark/>
          </w:tcPr>
          <w:p w:rsidR="000C3872" w:rsidRDefault="000C3872" w:rsidP="000C3872">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r>
      <w:tr w:rsidR="000C3872" w:rsidTr="000C3872">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vAlign w:val="bottom"/>
            <w:hideMark/>
          </w:tcPr>
          <w:p w:rsidR="000C3872" w:rsidRDefault="000C3872" w:rsidP="000C3872">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vAlign w:val="bottom"/>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vAlign w:val="bottom"/>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rPr>
                <w:b/>
                <w:bCs/>
                <w:sz w:val="18"/>
                <w:szCs w:val="18"/>
              </w:rPr>
            </w:pPr>
            <w:r>
              <w:rPr>
                <w:b/>
                <w:bCs/>
                <w:sz w:val="18"/>
                <w:szCs w:val="18"/>
              </w:rPr>
              <w:t> </w:t>
            </w:r>
          </w:p>
        </w:tc>
      </w:tr>
    </w:tbl>
    <w:p w:rsidR="000C3872" w:rsidRDefault="00264F37">
      <w:r>
        <w:br w:type="page"/>
      </w:r>
    </w:p>
    <w:tbl>
      <w:tblPr>
        <w:tblW w:w="9392" w:type="dxa"/>
        <w:tblInd w:w="-283" w:type="dxa"/>
        <w:tblLook w:val="04A0"/>
      </w:tblPr>
      <w:tblGrid>
        <w:gridCol w:w="1054"/>
        <w:gridCol w:w="2392"/>
        <w:gridCol w:w="1106"/>
        <w:gridCol w:w="1054"/>
        <w:gridCol w:w="624"/>
        <w:gridCol w:w="1054"/>
        <w:gridCol w:w="1054"/>
        <w:gridCol w:w="1054"/>
      </w:tblGrid>
      <w:tr w:rsidR="000C3872" w:rsidTr="003A0BD2">
        <w:trPr>
          <w:tblHeader/>
        </w:trPr>
        <w:tc>
          <w:tcPr>
            <w:tcW w:w="9392" w:type="dxa"/>
            <w:gridSpan w:val="8"/>
            <w:tcBorders>
              <w:top w:val="nil"/>
              <w:left w:val="nil"/>
              <w:bottom w:val="nil"/>
              <w:right w:val="nil"/>
            </w:tcBorders>
            <w:shd w:val="clear" w:color="000000" w:fill="FFFFFF"/>
            <w:noWrap/>
            <w:vAlign w:val="bottom"/>
            <w:hideMark/>
          </w:tcPr>
          <w:p w:rsidR="000C3872" w:rsidRDefault="000C3872" w:rsidP="000C3872">
            <w:pPr>
              <w:jc w:val="center"/>
              <w:rPr>
                <w:rFonts w:ascii="Arial" w:hAnsi="Arial" w:cs="Arial"/>
                <w:b/>
                <w:bCs/>
                <w:szCs w:val="24"/>
              </w:rPr>
            </w:pPr>
            <w:bookmarkStart w:id="11" w:name="RANGE!A1:H54"/>
            <w:r>
              <w:rPr>
                <w:rFonts w:ascii="Arial" w:hAnsi="Arial" w:cs="Arial"/>
                <w:b/>
                <w:bCs/>
              </w:rPr>
              <w:lastRenderedPageBreak/>
              <w:t>Treasury Directorate</w:t>
            </w:r>
            <w:bookmarkEnd w:id="11"/>
          </w:p>
        </w:tc>
      </w:tr>
      <w:tr w:rsidR="000C3872" w:rsidTr="003A0BD2">
        <w:trPr>
          <w:tblHeader/>
        </w:trPr>
        <w:tc>
          <w:tcPr>
            <w:tcW w:w="9392" w:type="dxa"/>
            <w:gridSpan w:val="8"/>
            <w:tcBorders>
              <w:top w:val="nil"/>
              <w:left w:val="nil"/>
              <w:bottom w:val="nil"/>
              <w:right w:val="nil"/>
            </w:tcBorders>
            <w:shd w:val="clear" w:color="000000" w:fill="FFFFFF"/>
            <w:noWrap/>
            <w:vAlign w:val="bottom"/>
            <w:hideMark/>
          </w:tcPr>
          <w:p w:rsidR="000C3872" w:rsidRDefault="000C3872" w:rsidP="000C3872">
            <w:pPr>
              <w:jc w:val="center"/>
              <w:rPr>
                <w:rFonts w:ascii="Arial" w:hAnsi="Arial" w:cs="Arial"/>
                <w:b/>
                <w:bCs/>
                <w:szCs w:val="24"/>
              </w:rPr>
            </w:pPr>
            <w:r>
              <w:rPr>
                <w:rFonts w:ascii="Arial" w:hAnsi="Arial" w:cs="Arial"/>
                <w:b/>
                <w:bCs/>
              </w:rPr>
              <w:t>Statement of Cash Flows on Behalf of the Territory</w:t>
            </w:r>
          </w:p>
        </w:tc>
      </w:tr>
      <w:tr w:rsidR="000C3872" w:rsidTr="000C3872">
        <w:trPr>
          <w:tblHeader/>
        </w:trPr>
        <w:tc>
          <w:tcPr>
            <w:tcW w:w="1054" w:type="dxa"/>
            <w:tcBorders>
              <w:top w:val="single" w:sz="4" w:space="0" w:color="auto"/>
              <w:left w:val="nil"/>
              <w:bottom w:val="nil"/>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vAlign w:val="bottom"/>
            <w:hideMark/>
          </w:tcPr>
          <w:p w:rsidR="000C3872" w:rsidRDefault="000C3872" w:rsidP="000C387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2016-17</w:t>
            </w:r>
          </w:p>
        </w:tc>
      </w:tr>
      <w:tr w:rsidR="000C3872" w:rsidTr="000C3872">
        <w:trPr>
          <w:tblHeader/>
        </w:trPr>
        <w:tc>
          <w:tcPr>
            <w:tcW w:w="1054" w:type="dxa"/>
            <w:tcBorders>
              <w:top w:val="nil"/>
              <w:left w:val="nil"/>
              <w:bottom w:val="nil"/>
              <w:right w:val="nil"/>
            </w:tcBorders>
            <w:shd w:val="clear" w:color="000000" w:fill="FFFFFF"/>
            <w:hideMark/>
          </w:tcPr>
          <w:p w:rsidR="000C3872" w:rsidRDefault="000C3872" w:rsidP="000C3872">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vAlign w:val="bottom"/>
            <w:hideMark/>
          </w:tcPr>
          <w:p w:rsidR="000C3872" w:rsidRDefault="000C3872" w:rsidP="000C387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0C3872" w:rsidRDefault="000C3872" w:rsidP="000C3872">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0C3872" w:rsidRDefault="000C3872" w:rsidP="000C3872">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0C3872" w:rsidRDefault="000C3872" w:rsidP="000C3872">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Estimate</w:t>
            </w:r>
          </w:p>
        </w:tc>
      </w:tr>
      <w:tr w:rsidR="000C3872" w:rsidTr="000C3872">
        <w:trPr>
          <w:tblHeader/>
        </w:trPr>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0C3872" w:rsidRDefault="000C3872" w:rsidP="000C3872">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0C3872" w:rsidRDefault="000C3872" w:rsidP="000C3872">
            <w:pPr>
              <w:ind w:left="-283"/>
              <w:jc w:val="right"/>
              <w:rPr>
                <w:b/>
                <w:bCs/>
                <w:sz w:val="18"/>
                <w:szCs w:val="18"/>
              </w:rPr>
            </w:pPr>
            <w:r>
              <w:rPr>
                <w:b/>
                <w:bCs/>
                <w:sz w:val="18"/>
                <w:szCs w:val="18"/>
              </w:rPr>
              <w:t>$'000</w:t>
            </w:r>
          </w:p>
        </w:tc>
      </w:tr>
      <w:tr w:rsidR="003A0BD2" w:rsidTr="003A0BD2">
        <w:tc>
          <w:tcPr>
            <w:tcW w:w="1054" w:type="dxa"/>
            <w:tcBorders>
              <w:top w:val="nil"/>
              <w:left w:val="nil"/>
              <w:bottom w:val="nil"/>
              <w:right w:val="nil"/>
            </w:tcBorders>
            <w:shd w:val="clear" w:color="000000" w:fill="FFFFFF"/>
            <w:noWrap/>
            <w:vAlign w:val="bottom"/>
            <w:hideMark/>
          </w:tcPr>
          <w:p w:rsidR="003A0BD2" w:rsidRDefault="003A0BD2" w:rsidP="000C3872">
            <w:pPr>
              <w:ind w:left="-283"/>
              <w:rPr>
                <w:sz w:val="18"/>
                <w:szCs w:val="18"/>
              </w:rPr>
            </w:pPr>
          </w:p>
        </w:tc>
        <w:tc>
          <w:tcPr>
            <w:tcW w:w="3498" w:type="dxa"/>
            <w:gridSpan w:val="2"/>
            <w:tcBorders>
              <w:top w:val="nil"/>
              <w:left w:val="nil"/>
              <w:bottom w:val="nil"/>
              <w:right w:val="nil"/>
            </w:tcBorders>
            <w:shd w:val="clear" w:color="000000" w:fill="FFFFFF"/>
            <w:noWrap/>
            <w:hideMark/>
          </w:tcPr>
          <w:p w:rsidR="003A0BD2" w:rsidRDefault="003A0BD2" w:rsidP="003A0BD2">
            <w:pPr>
              <w:rPr>
                <w:sz w:val="18"/>
                <w:szCs w:val="18"/>
              </w:rPr>
            </w:pPr>
            <w:r>
              <w:rPr>
                <w:b/>
                <w:bCs/>
                <w:sz w:val="18"/>
                <w:szCs w:val="18"/>
              </w:rPr>
              <w:t>CASH FLOWS FROM OPERATING ACTIVITIES</w:t>
            </w:r>
          </w:p>
        </w:tc>
        <w:tc>
          <w:tcPr>
            <w:tcW w:w="1054" w:type="dxa"/>
            <w:tcBorders>
              <w:top w:val="nil"/>
              <w:left w:val="nil"/>
              <w:bottom w:val="nil"/>
              <w:right w:val="nil"/>
            </w:tcBorders>
            <w:shd w:val="clear" w:color="000000" w:fill="FFFFFF"/>
            <w:noWrap/>
            <w:vAlign w:val="bottom"/>
            <w:hideMark/>
          </w:tcPr>
          <w:p w:rsidR="003A0BD2" w:rsidRDefault="003A0BD2" w:rsidP="000C3872">
            <w:pPr>
              <w:ind w:left="-283"/>
              <w:rPr>
                <w:sz w:val="18"/>
                <w:szCs w:val="18"/>
              </w:rPr>
            </w:pPr>
          </w:p>
        </w:tc>
        <w:tc>
          <w:tcPr>
            <w:tcW w:w="624" w:type="dxa"/>
            <w:tcBorders>
              <w:top w:val="nil"/>
              <w:left w:val="nil"/>
              <w:bottom w:val="nil"/>
              <w:right w:val="nil"/>
            </w:tcBorders>
            <w:shd w:val="clear" w:color="000000" w:fill="FFFFFF"/>
            <w:noWrap/>
            <w:vAlign w:val="bottom"/>
            <w:hideMark/>
          </w:tcPr>
          <w:p w:rsidR="003A0BD2" w:rsidRDefault="003A0BD2" w:rsidP="000C387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0C387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0C387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0C3872">
            <w:pPr>
              <w:ind w:left="-283"/>
              <w:rPr>
                <w:sz w:val="18"/>
                <w:szCs w:val="18"/>
              </w:rPr>
            </w:pPr>
          </w:p>
        </w:tc>
      </w:tr>
      <w:tr w:rsidR="000C3872" w:rsidTr="000C3872">
        <w:tc>
          <w:tcPr>
            <w:tcW w:w="1054" w:type="dxa"/>
            <w:tcBorders>
              <w:top w:val="nil"/>
              <w:left w:val="nil"/>
              <w:bottom w:val="nil"/>
              <w:right w:val="nil"/>
            </w:tcBorders>
            <w:shd w:val="clear" w:color="000000" w:fill="FFFFFF"/>
            <w:noWrap/>
            <w:vAlign w:val="bottom"/>
            <w:hideMark/>
          </w:tcPr>
          <w:p w:rsidR="000C3872" w:rsidRDefault="000C3872" w:rsidP="000C387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0C3872" w:rsidRDefault="000C3872" w:rsidP="000C3872">
            <w:pPr>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17,782</w:t>
            </w:r>
          </w:p>
        </w:tc>
        <w:tc>
          <w:tcPr>
            <w:tcW w:w="2392" w:type="dxa"/>
            <w:tcBorders>
              <w:top w:val="nil"/>
              <w:left w:val="nil"/>
              <w:bottom w:val="nil"/>
              <w:right w:val="nil"/>
            </w:tcBorders>
            <w:shd w:val="clear" w:color="000000" w:fill="FFFFFF"/>
            <w:hideMark/>
          </w:tcPr>
          <w:p w:rsidR="000C3872" w:rsidRDefault="000C3872" w:rsidP="000C3872">
            <w:pPr>
              <w:rPr>
                <w:sz w:val="18"/>
                <w:szCs w:val="18"/>
              </w:rPr>
            </w:pPr>
            <w:r>
              <w:rPr>
                <w:sz w:val="18"/>
                <w:szCs w:val="18"/>
              </w:rPr>
              <w:t>Cash from Government for</w:t>
            </w:r>
            <w:r>
              <w:rPr>
                <w:sz w:val="18"/>
                <w:szCs w:val="18"/>
              </w:rPr>
              <w:br/>
              <w:t xml:space="preserve">   EBT</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7,857</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1,112,011</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Taxes, Fees and Fines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489,390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1,398,553</w:t>
            </w:r>
          </w:p>
        </w:tc>
        <w:tc>
          <w:tcPr>
            <w:tcW w:w="2392" w:type="dxa"/>
            <w:tcBorders>
              <w:top w:val="nil"/>
              <w:left w:val="nil"/>
              <w:bottom w:val="nil"/>
              <w:right w:val="nil"/>
            </w:tcBorders>
            <w:shd w:val="clear" w:color="000000" w:fill="FFFFFF"/>
            <w:hideMark/>
          </w:tcPr>
          <w:p w:rsidR="000C3872" w:rsidRDefault="000C3872" w:rsidP="000C3872">
            <w:pPr>
              <w:rPr>
                <w:sz w:val="18"/>
                <w:szCs w:val="18"/>
              </w:rPr>
            </w:pPr>
            <w:r>
              <w:rPr>
                <w:sz w:val="18"/>
                <w:szCs w:val="18"/>
              </w:rPr>
              <w:t>Grants Received from the</w:t>
            </w:r>
            <w:r>
              <w:rPr>
                <w:sz w:val="18"/>
                <w:szCs w:val="18"/>
              </w:rPr>
              <w:br/>
              <w:t xml:space="preserve">   Commonwealth</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587,794</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81,887</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58,140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171,852</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 xml:space="preserve">Dividends   </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18,736</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2,782,085</w:t>
            </w:r>
          </w:p>
        </w:tc>
        <w:tc>
          <w:tcPr>
            <w:tcW w:w="2392" w:type="dxa"/>
            <w:tcBorders>
              <w:top w:val="nil"/>
              <w:left w:val="nil"/>
              <w:bottom w:val="nil"/>
              <w:right w:val="nil"/>
            </w:tcBorders>
            <w:shd w:val="clear" w:color="000000" w:fill="FFFFFF"/>
            <w:noWrap/>
            <w:hideMark/>
          </w:tcPr>
          <w:p w:rsidR="000C3872" w:rsidRDefault="000C3872" w:rsidP="003A0BD2">
            <w:pPr>
              <w:spacing w:after="80"/>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1,161,917</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11,058</w:t>
            </w:r>
          </w:p>
        </w:tc>
        <w:tc>
          <w:tcPr>
            <w:tcW w:w="2392" w:type="dxa"/>
            <w:tcBorders>
              <w:top w:val="nil"/>
              <w:left w:val="nil"/>
              <w:bottom w:val="nil"/>
              <w:right w:val="nil"/>
            </w:tcBorders>
            <w:shd w:val="clear" w:color="000000" w:fill="FFFFFF"/>
            <w:hideMark/>
          </w:tcPr>
          <w:p w:rsidR="000C3872" w:rsidRDefault="000C3872" w:rsidP="000C3872">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7,626</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17,547</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Grants and Purchased Services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7,445</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895</w:t>
            </w:r>
          </w:p>
        </w:tc>
        <w:tc>
          <w:tcPr>
            <w:tcW w:w="2392" w:type="dxa"/>
            <w:tcBorders>
              <w:top w:val="nil"/>
              <w:left w:val="nil"/>
              <w:bottom w:val="nil"/>
              <w:right w:val="nil"/>
            </w:tcBorders>
            <w:shd w:val="clear" w:color="000000" w:fill="FFFFFF"/>
            <w:noWrap/>
            <w:hideMark/>
          </w:tcPr>
          <w:p w:rsidR="000C3872" w:rsidRDefault="000C3872" w:rsidP="000C3872">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528</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2,756,815</w:t>
            </w:r>
          </w:p>
        </w:tc>
        <w:tc>
          <w:tcPr>
            <w:tcW w:w="2392" w:type="dxa"/>
            <w:tcBorders>
              <w:top w:val="nil"/>
              <w:left w:val="nil"/>
              <w:bottom w:val="nil"/>
              <w:right w:val="nil"/>
            </w:tcBorders>
            <w:shd w:val="clear" w:color="000000" w:fill="FFFFFF"/>
            <w:hideMark/>
          </w:tcPr>
          <w:p w:rsidR="000C3872" w:rsidRDefault="000C3872" w:rsidP="000C3872">
            <w:pPr>
              <w:rPr>
                <w:sz w:val="18"/>
                <w:szCs w:val="18"/>
              </w:rPr>
            </w:pPr>
            <w:r>
              <w:rPr>
                <w:sz w:val="18"/>
                <w:szCs w:val="18"/>
              </w:rPr>
              <w:t>Territory Receipts to</w:t>
            </w:r>
            <w:r>
              <w:rPr>
                <w:sz w:val="18"/>
                <w:szCs w:val="18"/>
              </w:rPr>
              <w:br/>
              <w:t xml:space="preserve">   Government</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1,204,350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2,786,315</w:t>
            </w:r>
          </w:p>
        </w:tc>
        <w:tc>
          <w:tcPr>
            <w:tcW w:w="2392" w:type="dxa"/>
            <w:tcBorders>
              <w:top w:val="nil"/>
              <w:left w:val="nil"/>
              <w:bottom w:val="nil"/>
              <w:right w:val="nil"/>
            </w:tcBorders>
            <w:shd w:val="clear" w:color="000000" w:fill="FFFFFF"/>
            <w:noWrap/>
            <w:hideMark/>
          </w:tcPr>
          <w:p w:rsidR="000C3872" w:rsidRDefault="000C3872" w:rsidP="003A0BD2">
            <w:pPr>
              <w:spacing w:after="80"/>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1,219,949</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-4,230</w:t>
            </w:r>
          </w:p>
        </w:tc>
        <w:tc>
          <w:tcPr>
            <w:tcW w:w="2392" w:type="dxa"/>
            <w:tcBorders>
              <w:top w:val="nil"/>
              <w:left w:val="nil"/>
              <w:bottom w:val="nil"/>
              <w:right w:val="nil"/>
            </w:tcBorders>
            <w:shd w:val="clear" w:color="000000" w:fill="FFFFFF"/>
            <w:hideMark/>
          </w:tcPr>
          <w:p w:rsidR="000C3872" w:rsidRDefault="000C3872" w:rsidP="003A0BD2">
            <w:pPr>
              <w:spacing w:after="80"/>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-58,032</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r>
      <w:tr w:rsidR="003A0BD2" w:rsidTr="003A0BD2">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3498" w:type="dxa"/>
            <w:gridSpan w:val="2"/>
            <w:tcBorders>
              <w:top w:val="nil"/>
              <w:left w:val="nil"/>
              <w:bottom w:val="nil"/>
              <w:right w:val="nil"/>
            </w:tcBorders>
            <w:shd w:val="clear" w:color="000000" w:fill="FFFFFF"/>
            <w:noWrap/>
            <w:hideMark/>
          </w:tcPr>
          <w:p w:rsidR="003A0BD2" w:rsidRDefault="003A0BD2" w:rsidP="003A0BD2">
            <w:pPr>
              <w:rPr>
                <w:sz w:val="18"/>
                <w:szCs w:val="18"/>
              </w:rPr>
            </w:pPr>
            <w:r>
              <w:rPr>
                <w:b/>
                <w:bCs/>
                <w:sz w:val="18"/>
                <w:szCs w:val="18"/>
              </w:rPr>
              <w:t>CASH FLOWS FROM INVESTING ACTIVITIES</w:t>
            </w: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62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4,230</w:t>
            </w:r>
          </w:p>
        </w:tc>
        <w:tc>
          <w:tcPr>
            <w:tcW w:w="2392" w:type="dxa"/>
            <w:tcBorders>
              <w:top w:val="nil"/>
              <w:left w:val="nil"/>
              <w:bottom w:val="nil"/>
              <w:right w:val="nil"/>
            </w:tcBorders>
            <w:shd w:val="clear" w:color="000000" w:fill="FFFFFF"/>
            <w:hideMark/>
          </w:tcPr>
          <w:p w:rsidR="000C3872" w:rsidRDefault="000C3872" w:rsidP="000C3872">
            <w:pPr>
              <w:rPr>
                <w:sz w:val="18"/>
                <w:szCs w:val="18"/>
              </w:rPr>
            </w:pPr>
            <w:r>
              <w:rPr>
                <w:sz w:val="18"/>
                <w:szCs w:val="18"/>
              </w:rPr>
              <w:t>Proceeds from Sale of</w:t>
            </w:r>
            <w:r>
              <w:rPr>
                <w:sz w:val="18"/>
                <w:szCs w:val="18"/>
              </w:rPr>
              <w:br/>
              <w:t xml:space="preserve">   Property, Plant</w:t>
            </w:r>
            <w:r>
              <w:rPr>
                <w:sz w:val="18"/>
                <w:szCs w:val="18"/>
              </w:rPr>
              <w:br/>
              <w:t xml:space="preserve">   and Equipment</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7,012</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4,230</w:t>
            </w:r>
          </w:p>
        </w:tc>
        <w:tc>
          <w:tcPr>
            <w:tcW w:w="2392" w:type="dxa"/>
            <w:tcBorders>
              <w:top w:val="nil"/>
              <w:left w:val="nil"/>
              <w:bottom w:val="nil"/>
              <w:right w:val="nil"/>
            </w:tcBorders>
            <w:shd w:val="clear" w:color="000000" w:fill="FFFFFF"/>
            <w:noWrap/>
            <w:hideMark/>
          </w:tcPr>
          <w:p w:rsidR="000C3872" w:rsidRDefault="000C3872" w:rsidP="003A0BD2">
            <w:pPr>
              <w:spacing w:after="80"/>
              <w:rPr>
                <w:b/>
                <w:bCs/>
                <w:sz w:val="18"/>
                <w:szCs w:val="18"/>
              </w:rPr>
            </w:pPr>
            <w:r>
              <w:rPr>
                <w:b/>
                <w:bCs/>
                <w:sz w:val="18"/>
                <w:szCs w:val="18"/>
              </w:rPr>
              <w:t>Investing Receipts</w:t>
            </w:r>
          </w:p>
        </w:tc>
        <w:tc>
          <w:tcPr>
            <w:tcW w:w="1106"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7,012</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Pr="00EB32D6" w:rsidRDefault="000C3872" w:rsidP="003A0BD2">
            <w:pPr>
              <w:spacing w:after="80"/>
              <w:ind w:left="-283"/>
              <w:jc w:val="right"/>
              <w:rPr>
                <w:b/>
                <w:sz w:val="18"/>
                <w:szCs w:val="18"/>
              </w:rPr>
            </w:pPr>
            <w:r w:rsidRPr="00EB32D6">
              <w:rPr>
                <w:b/>
                <w:sz w:val="18"/>
                <w:szCs w:val="18"/>
              </w:rPr>
              <w:t xml:space="preserve">-100 </w:t>
            </w:r>
          </w:p>
        </w:tc>
        <w:tc>
          <w:tcPr>
            <w:tcW w:w="1054" w:type="dxa"/>
            <w:tcBorders>
              <w:top w:val="nil"/>
              <w:left w:val="nil"/>
              <w:bottom w:val="nil"/>
              <w:right w:val="nil"/>
            </w:tcBorders>
            <w:shd w:val="clear" w:color="000000" w:fill="FFFFFF"/>
            <w:noWrap/>
            <w:hideMark/>
          </w:tcPr>
          <w:p w:rsidR="000C3872" w:rsidRPr="00EB32D6" w:rsidRDefault="000C3872" w:rsidP="003A0BD2">
            <w:pPr>
              <w:spacing w:after="80"/>
              <w:ind w:left="-283"/>
              <w:jc w:val="right"/>
              <w:rPr>
                <w:b/>
                <w:bCs/>
                <w:sz w:val="18"/>
                <w:szCs w:val="18"/>
              </w:rPr>
            </w:pPr>
            <w:r w:rsidRPr="00EB32D6">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0C3872" w:rsidRDefault="000C3872" w:rsidP="000C387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color w:val="0000FF"/>
                <w:sz w:val="18"/>
                <w:szCs w:val="18"/>
              </w:rPr>
            </w:pPr>
            <w:r>
              <w:rPr>
                <w:color w:val="0000FF"/>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72,300</w:t>
            </w:r>
          </w:p>
        </w:tc>
        <w:tc>
          <w:tcPr>
            <w:tcW w:w="2392" w:type="dxa"/>
            <w:tcBorders>
              <w:top w:val="nil"/>
              <w:left w:val="nil"/>
              <w:bottom w:val="nil"/>
              <w:right w:val="nil"/>
            </w:tcBorders>
            <w:shd w:val="clear" w:color="000000" w:fill="FFFFFF"/>
            <w:hideMark/>
          </w:tcPr>
          <w:p w:rsidR="000C3872" w:rsidRDefault="000C3872" w:rsidP="000C3872">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63,503</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72,300</w:t>
            </w:r>
          </w:p>
        </w:tc>
        <w:tc>
          <w:tcPr>
            <w:tcW w:w="2392" w:type="dxa"/>
            <w:tcBorders>
              <w:top w:val="nil"/>
              <w:left w:val="nil"/>
              <w:bottom w:val="nil"/>
              <w:right w:val="nil"/>
            </w:tcBorders>
            <w:shd w:val="clear" w:color="000000" w:fill="FFFFFF"/>
            <w:noWrap/>
            <w:hideMark/>
          </w:tcPr>
          <w:p w:rsidR="000C3872" w:rsidRDefault="000C3872" w:rsidP="003A0BD2">
            <w:pPr>
              <w:spacing w:after="80"/>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63,503</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-68,070</w:t>
            </w:r>
          </w:p>
        </w:tc>
        <w:tc>
          <w:tcPr>
            <w:tcW w:w="2392" w:type="dxa"/>
            <w:tcBorders>
              <w:top w:val="nil"/>
              <w:left w:val="nil"/>
              <w:bottom w:val="nil"/>
              <w:right w:val="nil"/>
            </w:tcBorders>
            <w:shd w:val="clear" w:color="000000" w:fill="FFFFFF"/>
            <w:hideMark/>
          </w:tcPr>
          <w:p w:rsidR="000C3872" w:rsidRDefault="000C3872" w:rsidP="003A0BD2">
            <w:pPr>
              <w:spacing w:after="80"/>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-56,491</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r>
      <w:tr w:rsidR="003A0BD2" w:rsidTr="003A0BD2">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3498" w:type="dxa"/>
            <w:gridSpan w:val="2"/>
            <w:tcBorders>
              <w:top w:val="nil"/>
              <w:left w:val="nil"/>
              <w:bottom w:val="nil"/>
              <w:right w:val="nil"/>
            </w:tcBorders>
            <w:shd w:val="clear" w:color="000000" w:fill="FFFFFF"/>
            <w:noWrap/>
            <w:hideMark/>
          </w:tcPr>
          <w:p w:rsidR="003A0BD2" w:rsidRDefault="003A0BD2" w:rsidP="003A0BD2">
            <w:pPr>
              <w:rPr>
                <w:sz w:val="18"/>
                <w:szCs w:val="18"/>
              </w:rPr>
            </w:pPr>
            <w:r>
              <w:rPr>
                <w:b/>
                <w:bCs/>
                <w:sz w:val="18"/>
                <w:szCs w:val="18"/>
              </w:rPr>
              <w:t>CASH FLOWS FROM FINANCING ACTIVITIES</w:t>
            </w: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62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c>
          <w:tcPr>
            <w:tcW w:w="1054" w:type="dxa"/>
            <w:tcBorders>
              <w:top w:val="nil"/>
              <w:left w:val="nil"/>
              <w:bottom w:val="nil"/>
              <w:right w:val="nil"/>
            </w:tcBorders>
            <w:shd w:val="clear" w:color="000000" w:fill="FFFFFF"/>
            <w:noWrap/>
            <w:vAlign w:val="bottom"/>
            <w:hideMark/>
          </w:tcPr>
          <w:p w:rsidR="003A0BD2" w:rsidRDefault="003A0BD2" w:rsidP="003A0BD2">
            <w:pPr>
              <w:ind w:left="-283"/>
              <w:rPr>
                <w:sz w:val="18"/>
                <w:szCs w:val="18"/>
              </w:rPr>
            </w:pP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3872" w:rsidRDefault="000C3872" w:rsidP="000C3872">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0C3872">
            <w:pPr>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72,300</w:t>
            </w:r>
          </w:p>
        </w:tc>
        <w:tc>
          <w:tcPr>
            <w:tcW w:w="2392" w:type="dxa"/>
            <w:tcBorders>
              <w:top w:val="nil"/>
              <w:left w:val="nil"/>
              <w:bottom w:val="nil"/>
              <w:right w:val="nil"/>
            </w:tcBorders>
            <w:shd w:val="clear" w:color="000000" w:fill="FFFFFF"/>
            <w:hideMark/>
          </w:tcPr>
          <w:p w:rsidR="000C3872" w:rsidRDefault="000C3872" w:rsidP="000C3872">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63,255</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72,300</w:t>
            </w:r>
          </w:p>
        </w:tc>
        <w:tc>
          <w:tcPr>
            <w:tcW w:w="2392" w:type="dxa"/>
            <w:tcBorders>
              <w:top w:val="nil"/>
              <w:left w:val="nil"/>
              <w:bottom w:val="nil"/>
              <w:right w:val="nil"/>
            </w:tcBorders>
            <w:shd w:val="clear" w:color="000000" w:fill="FFFFFF"/>
            <w:noWrap/>
            <w:hideMark/>
          </w:tcPr>
          <w:p w:rsidR="000C3872" w:rsidRDefault="000C3872" w:rsidP="000C3872">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63,255</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3A0BD2">
            <w:pPr>
              <w:spacing w:before="80"/>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0C3872" w:rsidRDefault="000C3872" w:rsidP="003A0BD2">
            <w:pPr>
              <w:spacing w:before="80"/>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0C3872" w:rsidRDefault="000C3872" w:rsidP="003A0BD2">
            <w:pPr>
              <w:spacing w:before="80"/>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3A0BD2">
            <w:pPr>
              <w:spacing w:before="80"/>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0C3872" w:rsidRDefault="000C3872" w:rsidP="003A0BD2">
            <w:pPr>
              <w:spacing w:before="80"/>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3A0BD2">
            <w:pPr>
              <w:spacing w:before="80"/>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3A0BD2">
            <w:pPr>
              <w:spacing w:before="80"/>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C3872" w:rsidRDefault="000C3872" w:rsidP="003A0BD2">
            <w:pPr>
              <w:spacing w:before="80"/>
              <w:ind w:left="-283"/>
              <w:rPr>
                <w:sz w:val="18"/>
                <w:szCs w:val="18"/>
              </w:rPr>
            </w:pPr>
            <w:r>
              <w:rPr>
                <w:sz w:val="18"/>
                <w:szCs w:val="18"/>
              </w:rPr>
              <w:t> </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2392" w:type="dxa"/>
            <w:tcBorders>
              <w:top w:val="nil"/>
              <w:left w:val="nil"/>
              <w:bottom w:val="nil"/>
              <w:right w:val="nil"/>
            </w:tcBorders>
            <w:shd w:val="clear" w:color="000000" w:fill="FFFFFF"/>
            <w:vAlign w:val="bottom"/>
            <w:hideMark/>
          </w:tcPr>
          <w:p w:rsidR="000C3872" w:rsidRDefault="000C3872" w:rsidP="000C3872">
            <w:pPr>
              <w:rPr>
                <w:sz w:val="18"/>
                <w:szCs w:val="18"/>
              </w:rPr>
            </w:pPr>
            <w:r>
              <w:rPr>
                <w:sz w:val="18"/>
                <w:szCs w:val="18"/>
              </w:rPr>
              <w:t>Payment of Transferred</w:t>
            </w:r>
            <w:r>
              <w:rPr>
                <w:sz w:val="18"/>
                <w:szCs w:val="18"/>
              </w:rPr>
              <w:br/>
              <w:t xml:space="preserve">   Cash Balances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14,404</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sz w:val="18"/>
                <w:szCs w:val="18"/>
              </w:rPr>
            </w:pPr>
            <w:r>
              <w:rPr>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0C3872" w:rsidRDefault="000C3872" w:rsidP="003A0BD2">
            <w:pPr>
              <w:spacing w:after="80"/>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14,404</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after="80"/>
              <w:ind w:left="-283"/>
              <w:jc w:val="right"/>
              <w:rPr>
                <w:b/>
                <w:bCs/>
                <w:sz w:val="18"/>
                <w:szCs w:val="18"/>
              </w:rPr>
            </w:pPr>
            <w:r>
              <w:rPr>
                <w:b/>
                <w:bCs/>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72,300</w:t>
            </w:r>
          </w:p>
        </w:tc>
        <w:tc>
          <w:tcPr>
            <w:tcW w:w="2392" w:type="dxa"/>
            <w:tcBorders>
              <w:top w:val="nil"/>
              <w:left w:val="nil"/>
              <w:bottom w:val="nil"/>
              <w:right w:val="nil"/>
            </w:tcBorders>
            <w:shd w:val="clear" w:color="000000" w:fill="FFFFFF"/>
            <w:hideMark/>
          </w:tcPr>
          <w:p w:rsidR="000C3872" w:rsidRDefault="000C3872" w:rsidP="000C3872">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48,851</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r>
      <w:tr w:rsidR="000C3872" w:rsidTr="000C3872">
        <w:tc>
          <w:tcPr>
            <w:tcW w:w="1054" w:type="dxa"/>
            <w:tcBorders>
              <w:top w:val="nil"/>
              <w:left w:val="nil"/>
              <w:bottom w:val="nil"/>
              <w:right w:val="nil"/>
            </w:tcBorders>
            <w:shd w:val="clear" w:color="000000" w:fill="FFFFFF"/>
            <w:noWrap/>
            <w:hideMark/>
          </w:tcPr>
          <w:p w:rsidR="000C3872" w:rsidRDefault="000C3872" w:rsidP="003A0BD2">
            <w:pPr>
              <w:spacing w:before="80"/>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0C3872" w:rsidRDefault="000C3872" w:rsidP="003A0BD2">
            <w:pPr>
              <w:spacing w:before="80"/>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0C3872" w:rsidRDefault="000C3872" w:rsidP="003A0BD2">
            <w:pPr>
              <w:spacing w:before="80"/>
              <w:ind w:left="-283"/>
              <w:jc w:val="right"/>
              <w:rPr>
                <w:b/>
                <w:bCs/>
                <w:sz w:val="18"/>
                <w:szCs w:val="18"/>
              </w:rPr>
            </w:pPr>
            <w:r>
              <w:rPr>
                <w:b/>
                <w:bCs/>
                <w:sz w:val="18"/>
                <w:szCs w:val="18"/>
              </w:rPr>
              <w:t>-65,672</w:t>
            </w:r>
          </w:p>
        </w:tc>
        <w:tc>
          <w:tcPr>
            <w:tcW w:w="1054" w:type="dxa"/>
            <w:tcBorders>
              <w:top w:val="nil"/>
              <w:left w:val="nil"/>
              <w:bottom w:val="nil"/>
              <w:right w:val="nil"/>
            </w:tcBorders>
            <w:shd w:val="clear" w:color="000000" w:fill="FFFFFF"/>
            <w:noWrap/>
            <w:hideMark/>
          </w:tcPr>
          <w:p w:rsidR="000C3872" w:rsidRDefault="000C3872" w:rsidP="003A0BD2">
            <w:pPr>
              <w:spacing w:before="8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0C3872" w:rsidRDefault="000C3872" w:rsidP="003A0BD2">
            <w:pPr>
              <w:spacing w:before="80"/>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0C3872" w:rsidRDefault="000C3872" w:rsidP="003A0BD2">
            <w:pPr>
              <w:spacing w:before="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before="8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0C3872" w:rsidRDefault="000C3872" w:rsidP="003A0BD2">
            <w:pPr>
              <w:spacing w:before="80"/>
              <w:ind w:left="-283"/>
              <w:jc w:val="right"/>
              <w:rPr>
                <w:b/>
                <w:bCs/>
                <w:sz w:val="18"/>
                <w:szCs w:val="18"/>
              </w:rPr>
            </w:pPr>
            <w:r>
              <w:rPr>
                <w:b/>
                <w:bCs/>
                <w:sz w:val="18"/>
                <w:szCs w:val="18"/>
              </w:rPr>
              <w:t>0</w:t>
            </w:r>
          </w:p>
        </w:tc>
      </w:tr>
      <w:tr w:rsidR="000C3872" w:rsidTr="00D638D3">
        <w:tc>
          <w:tcPr>
            <w:tcW w:w="1054" w:type="dxa"/>
            <w:tcBorders>
              <w:top w:val="nil"/>
              <w:left w:val="nil"/>
              <w:right w:val="nil"/>
            </w:tcBorders>
            <w:shd w:val="clear" w:color="000000" w:fill="FFFFFF"/>
            <w:noWrap/>
            <w:hideMark/>
          </w:tcPr>
          <w:p w:rsidR="000C3872" w:rsidRDefault="000C3872" w:rsidP="003A0BD2">
            <w:pPr>
              <w:spacing w:before="80"/>
              <w:ind w:left="-283"/>
              <w:jc w:val="right"/>
              <w:rPr>
                <w:b/>
                <w:bCs/>
                <w:sz w:val="18"/>
                <w:szCs w:val="18"/>
              </w:rPr>
            </w:pPr>
            <w:r>
              <w:rPr>
                <w:b/>
                <w:bCs/>
                <w:sz w:val="18"/>
                <w:szCs w:val="18"/>
              </w:rPr>
              <w:t>56,541</w:t>
            </w:r>
          </w:p>
        </w:tc>
        <w:tc>
          <w:tcPr>
            <w:tcW w:w="2392" w:type="dxa"/>
            <w:tcBorders>
              <w:top w:val="nil"/>
              <w:left w:val="nil"/>
              <w:right w:val="nil"/>
            </w:tcBorders>
            <w:shd w:val="clear" w:color="000000" w:fill="FFFFFF"/>
            <w:hideMark/>
          </w:tcPr>
          <w:p w:rsidR="000C3872" w:rsidRDefault="000C3872" w:rsidP="003A0BD2">
            <w:pPr>
              <w:spacing w:before="80"/>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right w:val="nil"/>
            </w:tcBorders>
            <w:shd w:val="clear" w:color="000000" w:fill="FFFFFF"/>
            <w:noWrap/>
            <w:hideMark/>
          </w:tcPr>
          <w:p w:rsidR="000C3872" w:rsidRDefault="000C3872" w:rsidP="003A0BD2">
            <w:pPr>
              <w:spacing w:before="80"/>
              <w:ind w:left="-283"/>
              <w:jc w:val="right"/>
              <w:rPr>
                <w:b/>
                <w:bCs/>
                <w:sz w:val="18"/>
                <w:szCs w:val="18"/>
              </w:rPr>
            </w:pPr>
            <w:r>
              <w:rPr>
                <w:b/>
                <w:bCs/>
                <w:sz w:val="18"/>
                <w:szCs w:val="18"/>
              </w:rPr>
              <w:t>65,672</w:t>
            </w:r>
          </w:p>
        </w:tc>
        <w:tc>
          <w:tcPr>
            <w:tcW w:w="1054" w:type="dxa"/>
            <w:tcBorders>
              <w:top w:val="nil"/>
              <w:left w:val="nil"/>
              <w:right w:val="nil"/>
            </w:tcBorders>
            <w:shd w:val="clear" w:color="000000" w:fill="FFFFFF"/>
            <w:noWrap/>
            <w:hideMark/>
          </w:tcPr>
          <w:p w:rsidR="000C3872" w:rsidRDefault="000C3872" w:rsidP="003A0BD2">
            <w:pPr>
              <w:spacing w:before="80"/>
              <w:ind w:left="-283"/>
              <w:jc w:val="right"/>
              <w:rPr>
                <w:b/>
                <w:bCs/>
                <w:sz w:val="18"/>
                <w:szCs w:val="18"/>
              </w:rPr>
            </w:pPr>
            <w:r>
              <w:rPr>
                <w:b/>
                <w:bCs/>
                <w:sz w:val="18"/>
                <w:szCs w:val="18"/>
              </w:rPr>
              <w:t>0</w:t>
            </w:r>
          </w:p>
        </w:tc>
        <w:tc>
          <w:tcPr>
            <w:tcW w:w="624" w:type="dxa"/>
            <w:tcBorders>
              <w:top w:val="nil"/>
              <w:left w:val="nil"/>
              <w:right w:val="nil"/>
            </w:tcBorders>
            <w:shd w:val="clear" w:color="000000" w:fill="FFFFFF"/>
            <w:noWrap/>
            <w:hideMark/>
          </w:tcPr>
          <w:p w:rsidR="000C3872" w:rsidRDefault="000C3872" w:rsidP="003A0BD2">
            <w:pPr>
              <w:spacing w:before="80"/>
              <w:ind w:left="-283"/>
              <w:jc w:val="right"/>
              <w:rPr>
                <w:b/>
                <w:bCs/>
                <w:sz w:val="18"/>
                <w:szCs w:val="18"/>
              </w:rPr>
            </w:pPr>
            <w:r>
              <w:rPr>
                <w:b/>
                <w:bCs/>
                <w:sz w:val="18"/>
                <w:szCs w:val="18"/>
              </w:rPr>
              <w:t xml:space="preserve">-100 </w:t>
            </w:r>
          </w:p>
        </w:tc>
        <w:tc>
          <w:tcPr>
            <w:tcW w:w="1054" w:type="dxa"/>
            <w:tcBorders>
              <w:top w:val="nil"/>
              <w:left w:val="nil"/>
              <w:right w:val="nil"/>
            </w:tcBorders>
            <w:shd w:val="clear" w:color="000000" w:fill="FFFFFF"/>
            <w:noWrap/>
            <w:hideMark/>
          </w:tcPr>
          <w:p w:rsidR="000C3872" w:rsidRDefault="000C3872" w:rsidP="003A0BD2">
            <w:pPr>
              <w:spacing w:before="80"/>
              <w:ind w:left="-283"/>
              <w:jc w:val="right"/>
              <w:rPr>
                <w:b/>
                <w:bCs/>
                <w:sz w:val="18"/>
                <w:szCs w:val="18"/>
              </w:rPr>
            </w:pPr>
            <w:r>
              <w:rPr>
                <w:b/>
                <w:bCs/>
                <w:sz w:val="18"/>
                <w:szCs w:val="18"/>
              </w:rPr>
              <w:t>0</w:t>
            </w:r>
          </w:p>
        </w:tc>
        <w:tc>
          <w:tcPr>
            <w:tcW w:w="1054" w:type="dxa"/>
            <w:tcBorders>
              <w:top w:val="nil"/>
              <w:left w:val="nil"/>
              <w:right w:val="nil"/>
            </w:tcBorders>
            <w:shd w:val="clear" w:color="000000" w:fill="FFFFFF"/>
            <w:noWrap/>
            <w:hideMark/>
          </w:tcPr>
          <w:p w:rsidR="000C3872" w:rsidRDefault="000C3872" w:rsidP="003A0BD2">
            <w:pPr>
              <w:spacing w:before="80"/>
              <w:ind w:left="-283"/>
              <w:jc w:val="right"/>
              <w:rPr>
                <w:b/>
                <w:bCs/>
                <w:sz w:val="18"/>
                <w:szCs w:val="18"/>
              </w:rPr>
            </w:pPr>
            <w:r>
              <w:rPr>
                <w:b/>
                <w:bCs/>
                <w:sz w:val="18"/>
                <w:szCs w:val="18"/>
              </w:rPr>
              <w:t>0</w:t>
            </w:r>
          </w:p>
        </w:tc>
        <w:tc>
          <w:tcPr>
            <w:tcW w:w="1054" w:type="dxa"/>
            <w:tcBorders>
              <w:top w:val="nil"/>
              <w:left w:val="nil"/>
              <w:right w:val="nil"/>
            </w:tcBorders>
            <w:shd w:val="clear" w:color="000000" w:fill="FFFFFF"/>
            <w:noWrap/>
            <w:hideMark/>
          </w:tcPr>
          <w:p w:rsidR="000C3872" w:rsidRDefault="000C3872" w:rsidP="003A0BD2">
            <w:pPr>
              <w:spacing w:before="80"/>
              <w:ind w:left="-283"/>
              <w:jc w:val="right"/>
              <w:rPr>
                <w:b/>
                <w:bCs/>
                <w:sz w:val="18"/>
                <w:szCs w:val="18"/>
              </w:rPr>
            </w:pPr>
            <w:r>
              <w:rPr>
                <w:b/>
                <w:bCs/>
                <w:sz w:val="18"/>
                <w:szCs w:val="18"/>
              </w:rPr>
              <w:t>0</w:t>
            </w:r>
          </w:p>
        </w:tc>
      </w:tr>
      <w:tr w:rsidR="000C3872" w:rsidTr="00D638D3">
        <w:tc>
          <w:tcPr>
            <w:tcW w:w="1054" w:type="dxa"/>
            <w:tcBorders>
              <w:top w:val="nil"/>
              <w:left w:val="nil"/>
              <w:bottom w:val="single" w:sz="4" w:space="0" w:color="auto"/>
              <w:right w:val="nil"/>
            </w:tcBorders>
            <w:shd w:val="clear" w:color="000000" w:fill="FFFFFF"/>
            <w:noWrap/>
            <w:hideMark/>
          </w:tcPr>
          <w:p w:rsidR="000C3872" w:rsidRDefault="000C3872" w:rsidP="000C3872">
            <w:pPr>
              <w:ind w:left="-283"/>
              <w:jc w:val="right"/>
              <w:rPr>
                <w:b/>
                <w:bCs/>
                <w:sz w:val="18"/>
                <w:szCs w:val="18"/>
              </w:rPr>
            </w:pPr>
            <w:r>
              <w:rPr>
                <w:b/>
                <w:bCs/>
                <w:sz w:val="18"/>
                <w:szCs w:val="18"/>
              </w:rPr>
              <w:t>56,541</w:t>
            </w:r>
          </w:p>
        </w:tc>
        <w:tc>
          <w:tcPr>
            <w:tcW w:w="2392" w:type="dxa"/>
            <w:tcBorders>
              <w:top w:val="nil"/>
              <w:left w:val="nil"/>
              <w:bottom w:val="single" w:sz="4" w:space="0" w:color="auto"/>
              <w:right w:val="nil"/>
            </w:tcBorders>
            <w:shd w:val="clear" w:color="000000" w:fill="FFFFFF"/>
            <w:hideMark/>
          </w:tcPr>
          <w:p w:rsidR="000C3872" w:rsidRDefault="000C3872" w:rsidP="000C3872">
            <w:pPr>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single" w:sz="4" w:space="0" w:color="auto"/>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single" w:sz="4" w:space="0" w:color="auto"/>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624" w:type="dxa"/>
            <w:tcBorders>
              <w:top w:val="nil"/>
              <w:left w:val="nil"/>
              <w:bottom w:val="single" w:sz="4" w:space="0" w:color="auto"/>
              <w:right w:val="nil"/>
            </w:tcBorders>
            <w:shd w:val="clear" w:color="000000" w:fill="FFFFFF"/>
            <w:noWrap/>
            <w:hideMark/>
          </w:tcPr>
          <w:p w:rsidR="000C3872" w:rsidRDefault="000C3872" w:rsidP="000C3872">
            <w:pPr>
              <w:ind w:left="-283"/>
              <w:jc w:val="right"/>
              <w:rPr>
                <w:b/>
                <w:bCs/>
                <w:sz w:val="18"/>
                <w:szCs w:val="18"/>
              </w:rPr>
            </w:pPr>
            <w:r>
              <w:rPr>
                <w:b/>
                <w:bCs/>
                <w:sz w:val="18"/>
                <w:szCs w:val="18"/>
              </w:rPr>
              <w:t xml:space="preserve">- </w:t>
            </w:r>
          </w:p>
        </w:tc>
        <w:tc>
          <w:tcPr>
            <w:tcW w:w="1054" w:type="dxa"/>
            <w:tcBorders>
              <w:top w:val="nil"/>
              <w:left w:val="nil"/>
              <w:bottom w:val="single" w:sz="4" w:space="0" w:color="auto"/>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single" w:sz="4" w:space="0" w:color="auto"/>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c>
          <w:tcPr>
            <w:tcW w:w="1054" w:type="dxa"/>
            <w:tcBorders>
              <w:top w:val="nil"/>
              <w:left w:val="nil"/>
              <w:bottom w:val="single" w:sz="4" w:space="0" w:color="auto"/>
              <w:right w:val="nil"/>
            </w:tcBorders>
            <w:shd w:val="clear" w:color="000000" w:fill="FFFFFF"/>
            <w:noWrap/>
            <w:hideMark/>
          </w:tcPr>
          <w:p w:rsidR="000C3872" w:rsidRDefault="000C3872" w:rsidP="000C3872">
            <w:pPr>
              <w:ind w:left="-283"/>
              <w:jc w:val="right"/>
              <w:rPr>
                <w:b/>
                <w:bCs/>
                <w:sz w:val="18"/>
                <w:szCs w:val="18"/>
              </w:rPr>
            </w:pPr>
            <w:r>
              <w:rPr>
                <w:b/>
                <w:bCs/>
                <w:sz w:val="18"/>
                <w:szCs w:val="18"/>
              </w:rPr>
              <w:t>0</w:t>
            </w:r>
          </w:p>
        </w:tc>
      </w:tr>
    </w:tbl>
    <w:p w:rsidR="005B1259" w:rsidRDefault="005B1259" w:rsidP="005B1259">
      <w:pPr>
        <w:pStyle w:val="Heading3"/>
      </w:pPr>
      <w:r>
        <w:lastRenderedPageBreak/>
        <w:t>Notes to the Budget Statements</w:t>
      </w:r>
    </w:p>
    <w:p w:rsidR="005B1259" w:rsidRDefault="005B1259" w:rsidP="005B1259">
      <w:pPr>
        <w:pStyle w:val="BodyText"/>
      </w:pPr>
      <w:r>
        <w:t>Treasury’s Territorial financial statements include grants received from the Commonwealth under the framework for Federal Financial Relations</w:t>
      </w:r>
      <w:r w:rsidR="00DA61AD">
        <w:t>.</w:t>
      </w:r>
    </w:p>
    <w:p w:rsidR="005B1259" w:rsidRDefault="005B1259" w:rsidP="005B1259">
      <w:pPr>
        <w:pStyle w:val="BodyText"/>
      </w:pPr>
      <w:r>
        <w:t>Treasury’s Territorial financial statements also include taxes, fees and fines collected on behalf of the Territory.</w:t>
      </w:r>
    </w:p>
    <w:p w:rsidR="00862E3A" w:rsidRDefault="00AE3A5F" w:rsidP="00AE3A5F">
      <w:pPr>
        <w:pStyle w:val="BodyText"/>
      </w:pPr>
      <w:r>
        <w:t>Variances in the Statements are mainly associated with the Administrative Arrangements of 9 November 2012 (the AAs).  As a result</w:t>
      </w:r>
      <w:r w:rsidR="003C04B6">
        <w:t>,</w:t>
      </w:r>
      <w:r>
        <w:t xml:space="preserve"> Treasury ceased operating as a separate directorate following the AAs, and its functions were transferred to CMTD and CWD, effective from 10 November 2012.</w:t>
      </w:r>
    </w:p>
    <w:p w:rsidR="006339DB" w:rsidRDefault="00862E3A">
      <w:r>
        <w:br w:type="page"/>
      </w:r>
      <w:r w:rsidR="006339DB">
        <w:lastRenderedPageBreak/>
        <w:br w:type="page"/>
      </w:r>
    </w:p>
    <w:p w:rsidR="006339DB" w:rsidRPr="00FA01D3" w:rsidRDefault="006339DB" w:rsidP="006339DB">
      <w:pPr>
        <w:pStyle w:val="Heading1"/>
        <w:spacing w:after="0"/>
      </w:pPr>
      <w:r>
        <w:lastRenderedPageBreak/>
        <w:t xml:space="preserve">appendix f:  discontinued agencies - </w:t>
      </w:r>
      <w:r w:rsidRPr="00FA01D3">
        <w:t>Shared Services Centre</w:t>
      </w:r>
    </w:p>
    <w:p w:rsidR="006339DB" w:rsidRPr="00FA01D3" w:rsidRDefault="006339DB" w:rsidP="006339DB">
      <w:pPr>
        <w:pStyle w:val="Heading3"/>
        <w:spacing w:after="120"/>
      </w:pPr>
      <w:r w:rsidRPr="00FA01D3">
        <w:t>Purpose</w:t>
      </w:r>
    </w:p>
    <w:p w:rsidR="006339DB" w:rsidRPr="00FA01D3" w:rsidRDefault="006339DB" w:rsidP="006339DB">
      <w:pPr>
        <w:pStyle w:val="BodyText"/>
      </w:pPr>
      <w:r w:rsidRPr="00FA01D3">
        <w:t>The Shared Services Centre (Shared Services) provides information and communication technology (ICT), procurement, publishing and records services, as well as tactical and transactional human resource</w:t>
      </w:r>
      <w:r>
        <w:t xml:space="preserve"> </w:t>
      </w:r>
      <w:r w:rsidRPr="00FA01D3">
        <w:t>and finance services to ACT Government agencies.</w:t>
      </w:r>
    </w:p>
    <w:p w:rsidR="006339DB" w:rsidRPr="00FA01D3" w:rsidRDefault="006339DB" w:rsidP="006339DB">
      <w:pPr>
        <w:pStyle w:val="BodyText"/>
      </w:pPr>
      <w:r w:rsidRPr="00FA01D3">
        <w:t>Shared Services consolidates these core administrative functions to achieve economies of scale, standardised and streamlined processes and an overall reduction in costs to the Territory.  This enables agencies to better focus on their core business of providing services to the community.</w:t>
      </w:r>
    </w:p>
    <w:p w:rsidR="006339DB" w:rsidRDefault="006339DB" w:rsidP="006339DB">
      <w:pPr>
        <w:pStyle w:val="BodyText"/>
      </w:pPr>
      <w:r w:rsidRPr="00FA01D3">
        <w:t>Shared Services achieves its objectives by working in partnership with its clients to identify appropriate services, agree on service standards and agree on mechanisms for delivery that are efficient and cost effective.</w:t>
      </w:r>
    </w:p>
    <w:p w:rsidR="006339DB" w:rsidRPr="00007294" w:rsidRDefault="006339DB" w:rsidP="006339DB">
      <w:pPr>
        <w:pStyle w:val="BodyText"/>
      </w:pPr>
      <w:r w:rsidRPr="00007294">
        <w:t xml:space="preserve">Under the </w:t>
      </w:r>
      <w:r w:rsidRPr="00007294">
        <w:rPr>
          <w:i/>
        </w:rPr>
        <w:t>Financial Management (Directorates) Guidelines 2013</w:t>
      </w:r>
      <w:r w:rsidRPr="00007294">
        <w:t>, Shared Services is no longer required to be a separate reporting entity from 1 July 2013.  As a result, the Shared Services functions will be reported as part of the Commerce and Works Directorate from 1</w:t>
      </w:r>
      <w:r>
        <w:t> </w:t>
      </w:r>
      <w:r w:rsidRPr="00007294">
        <w:t>July</w:t>
      </w:r>
      <w:r>
        <w:t> </w:t>
      </w:r>
      <w:r w:rsidRPr="00007294">
        <w:t xml:space="preserve">2013.  </w:t>
      </w:r>
    </w:p>
    <w:p w:rsidR="006339DB" w:rsidRPr="00FA01D3" w:rsidRDefault="006339DB" w:rsidP="006339DB">
      <w:pPr>
        <w:pStyle w:val="Heading3"/>
      </w:pPr>
      <w:r w:rsidRPr="00FA01D3">
        <w:t>Estimated Employment Level</w:t>
      </w:r>
    </w:p>
    <w:tbl>
      <w:tblPr>
        <w:tblW w:w="9100" w:type="dxa"/>
        <w:tblLayout w:type="fixed"/>
        <w:tblCellMar>
          <w:left w:w="0" w:type="dxa"/>
          <w:right w:w="0" w:type="dxa"/>
        </w:tblCellMar>
        <w:tblLook w:val="0000"/>
      </w:tblPr>
      <w:tblGrid>
        <w:gridCol w:w="1638"/>
        <w:gridCol w:w="2545"/>
        <w:gridCol w:w="1639"/>
        <w:gridCol w:w="1639"/>
        <w:gridCol w:w="1639"/>
      </w:tblGrid>
      <w:tr w:rsidR="006339DB" w:rsidTr="000A30C8">
        <w:trPr>
          <w:trHeight w:hRule="exact" w:val="556"/>
        </w:trPr>
        <w:tc>
          <w:tcPr>
            <w:tcW w:w="1638" w:type="dxa"/>
            <w:tcBorders>
              <w:top w:val="single" w:sz="4" w:space="0" w:color="auto"/>
              <w:left w:val="nil"/>
              <w:bottom w:val="single" w:sz="4" w:space="0" w:color="auto"/>
              <w:right w:val="nil"/>
            </w:tcBorders>
            <w:vAlign w:val="center"/>
          </w:tcPr>
          <w:p w:rsidR="006339DB" w:rsidRDefault="006339DB" w:rsidP="000A30C8">
            <w:pPr>
              <w:pStyle w:val="TableHeadingRight"/>
            </w:pPr>
            <w:r>
              <w:t>2011-12</w:t>
            </w:r>
          </w:p>
          <w:p w:rsidR="006339DB" w:rsidRDefault="006339DB" w:rsidP="000A30C8">
            <w:pPr>
              <w:pStyle w:val="TableHeadingRight"/>
            </w:pPr>
            <w:r>
              <w:t>Actual Outcome</w:t>
            </w:r>
          </w:p>
        </w:tc>
        <w:tc>
          <w:tcPr>
            <w:tcW w:w="2545"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6339DB" w:rsidRDefault="006339DB" w:rsidP="000A30C8">
            <w:pPr>
              <w:pStyle w:val="TableHeadingRight"/>
              <w:jc w:val="left"/>
              <w:rPr>
                <w:rFonts w:ascii="Arial" w:hAnsi="Arial" w:cs="Arial"/>
                <w:bCs/>
              </w:rPr>
            </w:pPr>
          </w:p>
        </w:tc>
        <w:tc>
          <w:tcPr>
            <w:tcW w:w="1639" w:type="dxa"/>
            <w:tcBorders>
              <w:top w:val="single" w:sz="4" w:space="0" w:color="auto"/>
              <w:left w:val="nil"/>
              <w:bottom w:val="single" w:sz="4" w:space="0" w:color="auto"/>
              <w:right w:val="nil"/>
            </w:tcBorders>
            <w:vAlign w:val="center"/>
          </w:tcPr>
          <w:p w:rsidR="006339DB" w:rsidRDefault="006339DB" w:rsidP="000A30C8">
            <w:pPr>
              <w:pStyle w:val="TableHeadingRight"/>
            </w:pPr>
            <w:r>
              <w:t>2012-13</w:t>
            </w:r>
          </w:p>
          <w:p w:rsidR="006339DB" w:rsidRDefault="006339DB" w:rsidP="000A30C8">
            <w:pPr>
              <w:pStyle w:val="TableHeadingRight"/>
            </w:pPr>
            <w:r>
              <w:t>Budget</w:t>
            </w:r>
          </w:p>
          <w:p w:rsidR="006339DB" w:rsidRDefault="006339DB" w:rsidP="000A30C8">
            <w:pPr>
              <w:pStyle w:val="TableHeadingRight"/>
            </w:pPr>
          </w:p>
        </w:tc>
        <w:tc>
          <w:tcPr>
            <w:tcW w:w="1639" w:type="dxa"/>
            <w:tcBorders>
              <w:top w:val="single" w:sz="4" w:space="0" w:color="auto"/>
              <w:left w:val="nil"/>
              <w:bottom w:val="single" w:sz="4" w:space="0" w:color="auto"/>
              <w:right w:val="nil"/>
            </w:tcBorders>
            <w:vAlign w:val="center"/>
          </w:tcPr>
          <w:p w:rsidR="006339DB" w:rsidRDefault="006339DB" w:rsidP="000A30C8">
            <w:pPr>
              <w:pStyle w:val="TableHeadingRight"/>
            </w:pPr>
            <w:r>
              <w:t>2012-13</w:t>
            </w:r>
          </w:p>
          <w:p w:rsidR="006339DB" w:rsidRDefault="006339DB" w:rsidP="000A30C8">
            <w:pPr>
              <w:pStyle w:val="TableHeadingRight"/>
            </w:pPr>
            <w:r>
              <w:t>Est. Outcome</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6339DB" w:rsidRDefault="006339DB" w:rsidP="000A30C8">
            <w:pPr>
              <w:pStyle w:val="TableHeadingRight"/>
            </w:pPr>
            <w:r>
              <w:t>2013-14</w:t>
            </w:r>
          </w:p>
          <w:p w:rsidR="006339DB" w:rsidRDefault="006339DB" w:rsidP="000A30C8">
            <w:pPr>
              <w:pStyle w:val="TableHeadingRight"/>
            </w:pPr>
            <w:r>
              <w:t>Budget</w:t>
            </w:r>
          </w:p>
          <w:p w:rsidR="006339DB" w:rsidRDefault="006339DB" w:rsidP="000A30C8">
            <w:pPr>
              <w:pStyle w:val="TableHeadingRight"/>
            </w:pPr>
          </w:p>
        </w:tc>
      </w:tr>
      <w:tr w:rsidR="006339DB" w:rsidTr="000A30C8">
        <w:trPr>
          <w:trHeight w:val="392"/>
        </w:trPr>
        <w:tc>
          <w:tcPr>
            <w:tcW w:w="1638" w:type="dxa"/>
            <w:tcBorders>
              <w:top w:val="single" w:sz="4" w:space="0" w:color="auto"/>
              <w:left w:val="nil"/>
              <w:bottom w:val="single" w:sz="4" w:space="0" w:color="auto"/>
              <w:right w:val="nil"/>
            </w:tcBorders>
            <w:vAlign w:val="center"/>
          </w:tcPr>
          <w:p w:rsidR="006339DB" w:rsidRDefault="006339DB" w:rsidP="000A30C8">
            <w:pPr>
              <w:pStyle w:val="TableNumbersRight"/>
            </w:pPr>
            <w:r>
              <w:t>912</w:t>
            </w:r>
          </w:p>
        </w:tc>
        <w:tc>
          <w:tcPr>
            <w:tcW w:w="2545" w:type="dxa"/>
            <w:tcBorders>
              <w:top w:val="single" w:sz="4" w:space="0" w:color="auto"/>
              <w:left w:val="nil"/>
              <w:bottom w:val="single" w:sz="4" w:space="0" w:color="auto"/>
              <w:right w:val="nil"/>
            </w:tcBorders>
            <w:tcMar>
              <w:top w:w="18" w:type="dxa"/>
              <w:left w:w="421" w:type="dxa"/>
              <w:bottom w:w="0" w:type="dxa"/>
              <w:right w:w="18" w:type="dxa"/>
            </w:tcMar>
            <w:vAlign w:val="center"/>
          </w:tcPr>
          <w:p w:rsidR="006339DB" w:rsidRDefault="006339DB" w:rsidP="000A30C8">
            <w:pPr>
              <w:pStyle w:val="TableTextLeftBold"/>
              <w:rPr>
                <w:vertAlign w:val="superscript"/>
              </w:rPr>
            </w:pPr>
            <w:r>
              <w:t>Staffing (FTE)</w:t>
            </w:r>
            <w:r w:rsidRPr="007C47E5">
              <w:rPr>
                <w:rFonts w:asciiTheme="minorHAnsi" w:hAnsiTheme="minorHAnsi"/>
                <w:b w:val="0"/>
                <w:vertAlign w:val="superscript"/>
              </w:rPr>
              <w:t>1</w:t>
            </w:r>
            <w:r w:rsidRPr="007252C9">
              <w:rPr>
                <w:b w:val="0"/>
              </w:rPr>
              <w:t xml:space="preserve"> </w:t>
            </w:r>
          </w:p>
        </w:tc>
        <w:tc>
          <w:tcPr>
            <w:tcW w:w="1639" w:type="dxa"/>
            <w:tcBorders>
              <w:top w:val="single" w:sz="4" w:space="0" w:color="auto"/>
              <w:left w:val="nil"/>
              <w:bottom w:val="single" w:sz="4" w:space="0" w:color="auto"/>
              <w:right w:val="nil"/>
            </w:tcBorders>
            <w:vAlign w:val="center"/>
          </w:tcPr>
          <w:p w:rsidR="006339DB" w:rsidRDefault="006339DB" w:rsidP="000A30C8">
            <w:pPr>
              <w:pStyle w:val="TableNumbersRight"/>
            </w:pPr>
            <w:r>
              <w:t>987</w:t>
            </w:r>
          </w:p>
        </w:tc>
        <w:tc>
          <w:tcPr>
            <w:tcW w:w="1639" w:type="dxa"/>
            <w:tcBorders>
              <w:top w:val="single" w:sz="4" w:space="0" w:color="auto"/>
              <w:left w:val="nil"/>
              <w:bottom w:val="single" w:sz="4" w:space="0" w:color="auto"/>
              <w:right w:val="nil"/>
            </w:tcBorders>
            <w:vAlign w:val="center"/>
          </w:tcPr>
          <w:p w:rsidR="006339DB" w:rsidRDefault="006339DB" w:rsidP="000A30C8">
            <w:pPr>
              <w:pStyle w:val="TableNumbersRight"/>
            </w:pPr>
            <w:r>
              <w:t>943</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6339DB" w:rsidRDefault="006339DB" w:rsidP="000A30C8">
            <w:pPr>
              <w:pStyle w:val="TableNumbersRight"/>
            </w:pPr>
            <w:r>
              <w:t>n/a</w:t>
            </w:r>
            <w:r>
              <w:rPr>
                <w:rFonts w:asciiTheme="minorHAnsi" w:hAnsiTheme="minorHAnsi"/>
                <w:b/>
                <w:vertAlign w:val="superscript"/>
              </w:rPr>
              <w:t>2</w:t>
            </w:r>
          </w:p>
        </w:tc>
      </w:tr>
    </w:tbl>
    <w:p w:rsidR="006339DB" w:rsidRDefault="006339DB" w:rsidP="006339DB">
      <w:pPr>
        <w:pStyle w:val="NoteHeading"/>
      </w:pPr>
      <w:r>
        <w:t>Notes:</w:t>
      </w:r>
    </w:p>
    <w:p w:rsidR="006339DB" w:rsidRPr="007C47E5" w:rsidRDefault="006339DB" w:rsidP="006339DB">
      <w:pPr>
        <w:pStyle w:val="AINotes"/>
      </w:pPr>
      <w:r w:rsidRPr="007C47E5">
        <w:t xml:space="preserve">The decrease in permanent staff in the 2012-13 estimated outcome from the original budget is mainly due to </w:t>
      </w:r>
      <w:r>
        <w:t xml:space="preserve">the transfer of the Injury Management and Safety team to the Chief Minister and Treasury Directorate as a result of the </w:t>
      </w:r>
      <w:r w:rsidRPr="00724C4E">
        <w:rPr>
          <w:i/>
        </w:rPr>
        <w:t>Administrative Arrangements 2012 (No 2)</w:t>
      </w:r>
      <w:r>
        <w:t>.</w:t>
      </w:r>
    </w:p>
    <w:p w:rsidR="006339DB" w:rsidRPr="00FA01D3" w:rsidRDefault="006339DB" w:rsidP="006339DB">
      <w:pPr>
        <w:pStyle w:val="AINotes"/>
      </w:pPr>
      <w:r>
        <w:t xml:space="preserve">The functions of Shared Services will be transferred to the </w:t>
      </w:r>
      <w:r w:rsidRPr="00C73091">
        <w:rPr>
          <w:bCs/>
        </w:rPr>
        <w:t>Commerce and Works</w:t>
      </w:r>
      <w:r>
        <w:rPr>
          <w:b/>
          <w:bCs/>
        </w:rPr>
        <w:t xml:space="preserve"> </w:t>
      </w:r>
      <w:r>
        <w:t>Directorate from 1 July 2013.</w:t>
      </w:r>
    </w:p>
    <w:p w:rsidR="006339DB" w:rsidRDefault="006339DB" w:rsidP="006339DB">
      <w:pPr>
        <w:pStyle w:val="Heading3"/>
      </w:pPr>
      <w:r>
        <w:br w:type="page"/>
      </w:r>
    </w:p>
    <w:p w:rsidR="006339DB" w:rsidRPr="00FA01D3" w:rsidRDefault="006339DB" w:rsidP="006339DB">
      <w:pPr>
        <w:pStyle w:val="Heading3"/>
      </w:pPr>
      <w:r w:rsidRPr="00FA01D3">
        <w:lastRenderedPageBreak/>
        <w:t>Output Classes</w:t>
      </w:r>
    </w:p>
    <w:tbl>
      <w:tblPr>
        <w:tblW w:w="9100" w:type="dxa"/>
        <w:tblLook w:val="0000"/>
      </w:tblPr>
      <w:tblGrid>
        <w:gridCol w:w="3588"/>
        <w:gridCol w:w="1378"/>
        <w:gridCol w:w="1378"/>
        <w:gridCol w:w="1378"/>
        <w:gridCol w:w="1378"/>
      </w:tblGrid>
      <w:tr w:rsidR="006339DB" w:rsidTr="000A30C8">
        <w:tc>
          <w:tcPr>
            <w:tcW w:w="3544" w:type="dxa"/>
            <w:tcBorders>
              <w:top w:val="single" w:sz="4" w:space="0" w:color="auto"/>
            </w:tcBorders>
          </w:tcPr>
          <w:p w:rsidR="006339DB" w:rsidRDefault="006339DB" w:rsidP="000A30C8">
            <w:pPr>
              <w:rPr>
                <w:rFonts w:ascii="Arial" w:hAnsi="Arial" w:cs="Arial"/>
                <w:b/>
                <w:bCs/>
                <w:color w:val="000000"/>
              </w:rPr>
            </w:pPr>
          </w:p>
        </w:tc>
        <w:tc>
          <w:tcPr>
            <w:tcW w:w="1361" w:type="dxa"/>
            <w:gridSpan w:val="2"/>
            <w:tcBorders>
              <w:top w:val="single" w:sz="4" w:space="0" w:color="auto"/>
              <w:bottom w:val="single" w:sz="4" w:space="0" w:color="auto"/>
            </w:tcBorders>
          </w:tcPr>
          <w:p w:rsidR="006339DB" w:rsidRDefault="006339DB" w:rsidP="000A30C8">
            <w:pPr>
              <w:pStyle w:val="Heading2"/>
            </w:pPr>
            <w:r>
              <w:t>Total Cost</w:t>
            </w:r>
            <w:r w:rsidRPr="002167DC">
              <w:rPr>
                <w:vertAlign w:val="superscript"/>
              </w:rPr>
              <w:t>1</w:t>
            </w:r>
          </w:p>
        </w:tc>
        <w:tc>
          <w:tcPr>
            <w:tcW w:w="1361" w:type="dxa"/>
            <w:gridSpan w:val="2"/>
            <w:tcBorders>
              <w:top w:val="single" w:sz="4" w:space="0" w:color="auto"/>
              <w:bottom w:val="single" w:sz="4" w:space="0" w:color="auto"/>
            </w:tcBorders>
          </w:tcPr>
          <w:p w:rsidR="006339DB" w:rsidRDefault="006339DB" w:rsidP="000A30C8">
            <w:pPr>
              <w:pStyle w:val="Heading2"/>
            </w:pPr>
            <w:r>
              <w:t>Government Payment for Outputs</w:t>
            </w:r>
          </w:p>
        </w:tc>
      </w:tr>
      <w:tr w:rsidR="006339DB" w:rsidTr="000A30C8">
        <w:tc>
          <w:tcPr>
            <w:tcW w:w="3544" w:type="dxa"/>
            <w:tcBorders>
              <w:bottom w:val="single" w:sz="4" w:space="0" w:color="auto"/>
            </w:tcBorders>
          </w:tcPr>
          <w:p w:rsidR="006339DB" w:rsidRDefault="006339DB" w:rsidP="000A30C8">
            <w:pPr>
              <w:rPr>
                <w:rFonts w:ascii="Arial" w:hAnsi="Arial" w:cs="Arial"/>
                <w:b/>
                <w:bCs/>
                <w:color w:val="000000"/>
                <w:sz w:val="20"/>
              </w:rPr>
            </w:pPr>
          </w:p>
        </w:tc>
        <w:tc>
          <w:tcPr>
            <w:tcW w:w="1361" w:type="dxa"/>
            <w:tcBorders>
              <w:top w:val="single" w:sz="4" w:space="0" w:color="auto"/>
              <w:bottom w:val="single" w:sz="4" w:space="0" w:color="auto"/>
            </w:tcBorders>
          </w:tcPr>
          <w:p w:rsidR="006339DB" w:rsidRDefault="006339DB" w:rsidP="000A30C8">
            <w:pPr>
              <w:pStyle w:val="Heading6"/>
            </w:pPr>
            <w:r>
              <w:t>2012-13</w:t>
            </w:r>
            <w:r>
              <w:br/>
              <w:t>Est. Outcome</w:t>
            </w:r>
            <w:r>
              <w:br/>
              <w:t xml:space="preserve">$’000 </w:t>
            </w:r>
          </w:p>
        </w:tc>
        <w:tc>
          <w:tcPr>
            <w:tcW w:w="1361" w:type="dxa"/>
            <w:tcBorders>
              <w:top w:val="single" w:sz="4" w:space="0" w:color="auto"/>
              <w:bottom w:val="single" w:sz="4" w:space="0" w:color="auto"/>
            </w:tcBorders>
          </w:tcPr>
          <w:p w:rsidR="006339DB" w:rsidRDefault="006339DB" w:rsidP="000A30C8">
            <w:pPr>
              <w:pStyle w:val="Heading6"/>
            </w:pPr>
            <w:r>
              <w:t>2013-14</w:t>
            </w:r>
            <w:r>
              <w:br/>
              <w:t>Budget</w:t>
            </w:r>
            <w:r>
              <w:br/>
              <w:t>$’000</w:t>
            </w:r>
          </w:p>
        </w:tc>
        <w:tc>
          <w:tcPr>
            <w:tcW w:w="1361" w:type="dxa"/>
            <w:tcBorders>
              <w:top w:val="single" w:sz="4" w:space="0" w:color="auto"/>
              <w:bottom w:val="single" w:sz="4" w:space="0" w:color="auto"/>
            </w:tcBorders>
          </w:tcPr>
          <w:p w:rsidR="006339DB" w:rsidRDefault="006339DB" w:rsidP="000A30C8">
            <w:pPr>
              <w:pStyle w:val="Heading6"/>
            </w:pPr>
            <w:r>
              <w:t>2012-13</w:t>
            </w:r>
            <w:r>
              <w:br/>
              <w:t>Est. Outcome</w:t>
            </w:r>
            <w:r>
              <w:br/>
              <w:t>$’000</w:t>
            </w:r>
          </w:p>
        </w:tc>
        <w:tc>
          <w:tcPr>
            <w:tcW w:w="1361" w:type="dxa"/>
            <w:tcBorders>
              <w:top w:val="single" w:sz="4" w:space="0" w:color="auto"/>
              <w:bottom w:val="single" w:sz="4" w:space="0" w:color="auto"/>
            </w:tcBorders>
          </w:tcPr>
          <w:p w:rsidR="006339DB" w:rsidRDefault="006339DB" w:rsidP="000A30C8">
            <w:pPr>
              <w:pStyle w:val="Heading6"/>
            </w:pPr>
            <w:r>
              <w:t>2013-14</w:t>
            </w:r>
            <w:r>
              <w:br/>
              <w:t>Budget</w:t>
            </w:r>
            <w:r>
              <w:br/>
              <w:t>$’000</w:t>
            </w:r>
          </w:p>
        </w:tc>
      </w:tr>
      <w:tr w:rsidR="006339DB" w:rsidTr="000A30C8">
        <w:tc>
          <w:tcPr>
            <w:tcW w:w="3544" w:type="dxa"/>
            <w:tcBorders>
              <w:top w:val="single" w:sz="4" w:space="0" w:color="auto"/>
              <w:bottom w:val="single" w:sz="4" w:space="0" w:color="auto"/>
            </w:tcBorders>
          </w:tcPr>
          <w:p w:rsidR="006339DB" w:rsidRDefault="006339DB" w:rsidP="000A30C8">
            <w:pPr>
              <w:pStyle w:val="Heading7"/>
              <w:rPr>
                <w:color w:val="000000"/>
              </w:rPr>
            </w:pPr>
            <w:r>
              <w:rPr>
                <w:color w:val="000000"/>
              </w:rPr>
              <w:t>Output Class 1</w:t>
            </w:r>
          </w:p>
          <w:p w:rsidR="006339DB" w:rsidRDefault="006339DB" w:rsidP="000A30C8">
            <w:pPr>
              <w:pStyle w:val="Heading7"/>
              <w:rPr>
                <w:color w:val="000000"/>
              </w:rPr>
            </w:pPr>
            <w:r>
              <w:rPr>
                <w:color w:val="000000"/>
              </w:rPr>
              <w:t xml:space="preserve">Shared Services ICT </w:t>
            </w:r>
          </w:p>
        </w:tc>
        <w:tc>
          <w:tcPr>
            <w:tcW w:w="1361" w:type="dxa"/>
            <w:tcBorders>
              <w:top w:val="single" w:sz="4" w:space="0" w:color="auto"/>
              <w:bottom w:val="single" w:sz="4" w:space="0" w:color="auto"/>
            </w:tcBorders>
            <w:vAlign w:val="bottom"/>
          </w:tcPr>
          <w:p w:rsidR="006339DB" w:rsidRPr="00DD4D4B" w:rsidRDefault="006339DB" w:rsidP="000A30C8">
            <w:pPr>
              <w:pStyle w:val="AITableText"/>
            </w:pPr>
            <w:r>
              <w:t>135,810</w:t>
            </w:r>
          </w:p>
        </w:tc>
        <w:tc>
          <w:tcPr>
            <w:tcW w:w="1361" w:type="dxa"/>
            <w:tcBorders>
              <w:top w:val="single" w:sz="4" w:space="0" w:color="auto"/>
              <w:bottom w:val="single" w:sz="4" w:space="0" w:color="auto"/>
            </w:tcBorders>
            <w:vAlign w:val="bottom"/>
          </w:tcPr>
          <w:p w:rsidR="006339DB" w:rsidRPr="00DD4D4B" w:rsidRDefault="006339DB" w:rsidP="000A30C8">
            <w:pPr>
              <w:pStyle w:val="AITableText"/>
            </w:pPr>
            <w:r>
              <w:t>n/a</w:t>
            </w:r>
          </w:p>
        </w:tc>
        <w:tc>
          <w:tcPr>
            <w:tcW w:w="1361" w:type="dxa"/>
            <w:tcBorders>
              <w:top w:val="single" w:sz="4" w:space="0" w:color="auto"/>
              <w:bottom w:val="single" w:sz="4" w:space="0" w:color="auto"/>
            </w:tcBorders>
            <w:vAlign w:val="bottom"/>
          </w:tcPr>
          <w:p w:rsidR="006339DB" w:rsidRPr="00DD4D4B" w:rsidRDefault="006339DB" w:rsidP="000A30C8">
            <w:pPr>
              <w:pStyle w:val="AITableText"/>
            </w:pPr>
            <w:r>
              <w:t>5,481</w:t>
            </w:r>
          </w:p>
        </w:tc>
        <w:tc>
          <w:tcPr>
            <w:tcW w:w="1361" w:type="dxa"/>
            <w:tcBorders>
              <w:top w:val="single" w:sz="4" w:space="0" w:color="auto"/>
              <w:bottom w:val="single" w:sz="4" w:space="0" w:color="auto"/>
            </w:tcBorders>
            <w:vAlign w:val="bottom"/>
          </w:tcPr>
          <w:p w:rsidR="006339DB" w:rsidRPr="00DD4D4B" w:rsidRDefault="006339DB" w:rsidP="000A30C8">
            <w:pPr>
              <w:pStyle w:val="AITableText"/>
            </w:pPr>
            <w:r>
              <w:t>n/a</w:t>
            </w:r>
          </w:p>
        </w:tc>
      </w:tr>
      <w:tr w:rsidR="006339DB" w:rsidTr="000A30C8">
        <w:tc>
          <w:tcPr>
            <w:tcW w:w="3544" w:type="dxa"/>
            <w:tcBorders>
              <w:top w:val="single" w:sz="4" w:space="0" w:color="auto"/>
              <w:bottom w:val="single" w:sz="4" w:space="0" w:color="auto"/>
            </w:tcBorders>
          </w:tcPr>
          <w:p w:rsidR="006339DB" w:rsidRDefault="006339DB" w:rsidP="000A30C8">
            <w:pPr>
              <w:pStyle w:val="Heading7"/>
              <w:rPr>
                <w:color w:val="000000"/>
              </w:rPr>
            </w:pPr>
            <w:r>
              <w:rPr>
                <w:color w:val="000000"/>
              </w:rPr>
              <w:t>Output 1.1:  Shared Services ICT</w:t>
            </w:r>
            <w:r w:rsidRPr="007678A3">
              <w:rPr>
                <w:color w:val="000000"/>
                <w:vertAlign w:val="superscript"/>
              </w:rPr>
              <w:t>2</w:t>
            </w:r>
          </w:p>
        </w:tc>
        <w:tc>
          <w:tcPr>
            <w:tcW w:w="1361" w:type="dxa"/>
            <w:tcBorders>
              <w:top w:val="single" w:sz="4" w:space="0" w:color="auto"/>
              <w:bottom w:val="single" w:sz="4" w:space="0" w:color="auto"/>
            </w:tcBorders>
            <w:vAlign w:val="bottom"/>
          </w:tcPr>
          <w:p w:rsidR="006339DB" w:rsidRPr="00DD4D4B" w:rsidRDefault="006339DB" w:rsidP="000A30C8">
            <w:pPr>
              <w:pStyle w:val="AITableText"/>
            </w:pPr>
            <w:r>
              <w:t>135,810</w:t>
            </w:r>
          </w:p>
        </w:tc>
        <w:tc>
          <w:tcPr>
            <w:tcW w:w="1361" w:type="dxa"/>
            <w:tcBorders>
              <w:top w:val="single" w:sz="4" w:space="0" w:color="auto"/>
              <w:bottom w:val="single" w:sz="4" w:space="0" w:color="auto"/>
            </w:tcBorders>
            <w:vAlign w:val="bottom"/>
          </w:tcPr>
          <w:p w:rsidR="006339DB" w:rsidRPr="00DD4D4B" w:rsidRDefault="006339DB" w:rsidP="000A30C8">
            <w:pPr>
              <w:pStyle w:val="AITableText"/>
            </w:pPr>
            <w:r>
              <w:t>n/a</w:t>
            </w:r>
          </w:p>
        </w:tc>
        <w:tc>
          <w:tcPr>
            <w:tcW w:w="1361" w:type="dxa"/>
            <w:tcBorders>
              <w:top w:val="single" w:sz="4" w:space="0" w:color="auto"/>
              <w:bottom w:val="single" w:sz="4" w:space="0" w:color="auto"/>
            </w:tcBorders>
            <w:vAlign w:val="bottom"/>
          </w:tcPr>
          <w:p w:rsidR="006339DB" w:rsidRPr="00DD4D4B" w:rsidRDefault="006339DB" w:rsidP="000A30C8">
            <w:pPr>
              <w:pStyle w:val="AITableText"/>
            </w:pPr>
            <w:r>
              <w:t>5,481</w:t>
            </w:r>
          </w:p>
        </w:tc>
        <w:tc>
          <w:tcPr>
            <w:tcW w:w="1361" w:type="dxa"/>
            <w:tcBorders>
              <w:top w:val="single" w:sz="4" w:space="0" w:color="auto"/>
              <w:bottom w:val="single" w:sz="4" w:space="0" w:color="auto"/>
            </w:tcBorders>
            <w:vAlign w:val="bottom"/>
          </w:tcPr>
          <w:p w:rsidR="006339DB" w:rsidRPr="00DD4D4B" w:rsidRDefault="006339DB" w:rsidP="000A30C8">
            <w:pPr>
              <w:pStyle w:val="AITableText"/>
            </w:pPr>
            <w:r>
              <w:t>n/a</w:t>
            </w:r>
          </w:p>
        </w:tc>
      </w:tr>
    </w:tbl>
    <w:p w:rsidR="006339DB" w:rsidRPr="00FA01D3" w:rsidRDefault="006339DB" w:rsidP="006339DB">
      <w:pPr>
        <w:pStyle w:val="NoteHeading"/>
      </w:pPr>
      <w:r w:rsidRPr="00FA01D3">
        <w:t>Note</w:t>
      </w:r>
      <w:r>
        <w:t>s</w:t>
      </w:r>
      <w:r w:rsidRPr="00FA01D3">
        <w:t>:</w:t>
      </w:r>
    </w:p>
    <w:p w:rsidR="006339DB" w:rsidRDefault="006339DB" w:rsidP="006339DB">
      <w:pPr>
        <w:pStyle w:val="AINotes"/>
        <w:numPr>
          <w:ilvl w:val="0"/>
          <w:numId w:val="27"/>
        </w:numPr>
      </w:pPr>
      <w:r w:rsidRPr="00FA01D3">
        <w:t xml:space="preserve">Total cost includes depreciation and amortisation of </w:t>
      </w:r>
      <w:r w:rsidRPr="007C47E5">
        <w:t>$</w:t>
      </w:r>
      <w:r>
        <w:t>17.251</w:t>
      </w:r>
      <w:r w:rsidRPr="00FA01D3">
        <w:t xml:space="preserve"> million in </w:t>
      </w:r>
      <w:r>
        <w:t>2012-13.</w:t>
      </w:r>
    </w:p>
    <w:p w:rsidR="006339DB" w:rsidRPr="007C47E5" w:rsidRDefault="006339DB" w:rsidP="006339DB">
      <w:pPr>
        <w:pStyle w:val="AINotes"/>
        <w:numPr>
          <w:ilvl w:val="0"/>
          <w:numId w:val="27"/>
        </w:numPr>
      </w:pPr>
      <w:r w:rsidRPr="007C47E5">
        <w:t xml:space="preserve">This output has been transferred to the </w:t>
      </w:r>
      <w:r w:rsidRPr="007C47E5">
        <w:rPr>
          <w:bCs/>
        </w:rPr>
        <w:t>Commerce and Works</w:t>
      </w:r>
      <w:r w:rsidRPr="007C47E5">
        <w:rPr>
          <w:b/>
          <w:bCs/>
        </w:rPr>
        <w:t xml:space="preserve"> </w:t>
      </w:r>
      <w:r w:rsidRPr="007C47E5">
        <w:t xml:space="preserve">Directorate and is reported as Output Class 2.1 </w:t>
      </w:r>
      <w:r w:rsidRPr="007C47E5">
        <w:rPr>
          <w:color w:val="000000"/>
        </w:rPr>
        <w:t>Shared Services ICT</w:t>
      </w:r>
      <w:r w:rsidRPr="007C47E5">
        <w:t>.</w:t>
      </w:r>
    </w:p>
    <w:p w:rsidR="006339DB" w:rsidRPr="00B65DD2" w:rsidRDefault="006339DB" w:rsidP="006339DB">
      <w:pPr>
        <w:pStyle w:val="AINotes"/>
        <w:numPr>
          <w:ilvl w:val="0"/>
          <w:numId w:val="0"/>
        </w:numPr>
      </w:pPr>
    </w:p>
    <w:tbl>
      <w:tblPr>
        <w:tblW w:w="9100" w:type="dxa"/>
        <w:tblLook w:val="0000"/>
      </w:tblPr>
      <w:tblGrid>
        <w:gridCol w:w="3588"/>
        <w:gridCol w:w="1378"/>
        <w:gridCol w:w="1378"/>
        <w:gridCol w:w="1378"/>
        <w:gridCol w:w="1378"/>
      </w:tblGrid>
      <w:tr w:rsidR="006339DB" w:rsidTr="000A30C8">
        <w:tc>
          <w:tcPr>
            <w:tcW w:w="3544" w:type="dxa"/>
            <w:tcBorders>
              <w:top w:val="single" w:sz="4" w:space="0" w:color="auto"/>
            </w:tcBorders>
          </w:tcPr>
          <w:p w:rsidR="006339DB" w:rsidRDefault="006339DB" w:rsidP="000A30C8">
            <w:pPr>
              <w:rPr>
                <w:rFonts w:ascii="Arial" w:hAnsi="Arial" w:cs="Arial"/>
                <w:b/>
                <w:bCs/>
                <w:color w:val="000000"/>
                <w:sz w:val="20"/>
              </w:rPr>
            </w:pPr>
          </w:p>
        </w:tc>
        <w:tc>
          <w:tcPr>
            <w:tcW w:w="1361" w:type="dxa"/>
            <w:gridSpan w:val="2"/>
            <w:tcBorders>
              <w:top w:val="single" w:sz="4" w:space="0" w:color="auto"/>
              <w:bottom w:val="single" w:sz="4" w:space="0" w:color="auto"/>
            </w:tcBorders>
          </w:tcPr>
          <w:p w:rsidR="006339DB" w:rsidRDefault="006339DB" w:rsidP="000A30C8">
            <w:pPr>
              <w:pStyle w:val="Heading2"/>
            </w:pPr>
            <w:r>
              <w:t>Total Cost</w:t>
            </w:r>
            <w:r w:rsidRPr="002167DC">
              <w:rPr>
                <w:vertAlign w:val="superscript"/>
              </w:rPr>
              <w:t>1</w:t>
            </w:r>
          </w:p>
        </w:tc>
        <w:tc>
          <w:tcPr>
            <w:tcW w:w="1361" w:type="dxa"/>
            <w:gridSpan w:val="2"/>
            <w:tcBorders>
              <w:top w:val="single" w:sz="4" w:space="0" w:color="auto"/>
              <w:bottom w:val="single" w:sz="4" w:space="0" w:color="auto"/>
            </w:tcBorders>
          </w:tcPr>
          <w:p w:rsidR="006339DB" w:rsidRDefault="006339DB" w:rsidP="000A30C8">
            <w:pPr>
              <w:pStyle w:val="Heading2"/>
            </w:pPr>
            <w:r>
              <w:t>Government Payment for Outputs</w:t>
            </w:r>
          </w:p>
        </w:tc>
      </w:tr>
      <w:tr w:rsidR="006339DB" w:rsidTr="000A30C8">
        <w:tc>
          <w:tcPr>
            <w:tcW w:w="3544" w:type="dxa"/>
            <w:tcBorders>
              <w:bottom w:val="single" w:sz="4" w:space="0" w:color="auto"/>
            </w:tcBorders>
          </w:tcPr>
          <w:p w:rsidR="006339DB" w:rsidRDefault="006339DB" w:rsidP="000A30C8">
            <w:pPr>
              <w:rPr>
                <w:rFonts w:ascii="Arial" w:hAnsi="Arial" w:cs="Arial"/>
                <w:b/>
                <w:bCs/>
                <w:color w:val="000000"/>
                <w:sz w:val="20"/>
              </w:rPr>
            </w:pPr>
          </w:p>
        </w:tc>
        <w:tc>
          <w:tcPr>
            <w:tcW w:w="1361" w:type="dxa"/>
            <w:tcBorders>
              <w:top w:val="single" w:sz="4" w:space="0" w:color="auto"/>
              <w:bottom w:val="single" w:sz="4" w:space="0" w:color="auto"/>
            </w:tcBorders>
          </w:tcPr>
          <w:p w:rsidR="006339DB" w:rsidRDefault="006339DB" w:rsidP="000A30C8">
            <w:pPr>
              <w:pStyle w:val="Heading6"/>
            </w:pPr>
            <w:r>
              <w:t>2012-13</w:t>
            </w:r>
            <w:r>
              <w:br/>
              <w:t>Est. Outcome</w:t>
            </w:r>
            <w:r>
              <w:br/>
              <w:t xml:space="preserve">$’000 </w:t>
            </w:r>
          </w:p>
        </w:tc>
        <w:tc>
          <w:tcPr>
            <w:tcW w:w="1361" w:type="dxa"/>
            <w:tcBorders>
              <w:top w:val="single" w:sz="4" w:space="0" w:color="auto"/>
              <w:bottom w:val="single" w:sz="4" w:space="0" w:color="auto"/>
            </w:tcBorders>
          </w:tcPr>
          <w:p w:rsidR="006339DB" w:rsidRDefault="006339DB" w:rsidP="000A30C8">
            <w:pPr>
              <w:pStyle w:val="Heading6"/>
            </w:pPr>
            <w:r>
              <w:t>2013-14</w:t>
            </w:r>
            <w:r>
              <w:br/>
              <w:t>Budget</w:t>
            </w:r>
            <w:r>
              <w:br/>
              <w:t>$’000</w:t>
            </w:r>
          </w:p>
        </w:tc>
        <w:tc>
          <w:tcPr>
            <w:tcW w:w="1361" w:type="dxa"/>
            <w:tcBorders>
              <w:top w:val="single" w:sz="4" w:space="0" w:color="auto"/>
              <w:bottom w:val="single" w:sz="4" w:space="0" w:color="auto"/>
            </w:tcBorders>
          </w:tcPr>
          <w:p w:rsidR="006339DB" w:rsidRDefault="006339DB" w:rsidP="000A30C8">
            <w:pPr>
              <w:pStyle w:val="Heading6"/>
            </w:pPr>
            <w:r>
              <w:t>2012-13</w:t>
            </w:r>
            <w:r>
              <w:br/>
              <w:t>Est. Outcome</w:t>
            </w:r>
            <w:r>
              <w:br/>
              <w:t>$’000</w:t>
            </w:r>
          </w:p>
        </w:tc>
        <w:tc>
          <w:tcPr>
            <w:tcW w:w="1361" w:type="dxa"/>
            <w:tcBorders>
              <w:top w:val="single" w:sz="4" w:space="0" w:color="auto"/>
              <w:bottom w:val="single" w:sz="4" w:space="0" w:color="auto"/>
            </w:tcBorders>
          </w:tcPr>
          <w:p w:rsidR="006339DB" w:rsidRDefault="006339DB" w:rsidP="000A30C8">
            <w:pPr>
              <w:pStyle w:val="Heading6"/>
            </w:pPr>
            <w:r>
              <w:t>2013-14</w:t>
            </w:r>
            <w:r>
              <w:br/>
              <w:t>Budget</w:t>
            </w:r>
            <w:r>
              <w:br/>
              <w:t>$’000</w:t>
            </w:r>
          </w:p>
        </w:tc>
      </w:tr>
      <w:tr w:rsidR="006339DB" w:rsidTr="000A30C8">
        <w:tc>
          <w:tcPr>
            <w:tcW w:w="3544" w:type="dxa"/>
            <w:tcBorders>
              <w:top w:val="single" w:sz="4" w:space="0" w:color="auto"/>
              <w:bottom w:val="single" w:sz="4" w:space="0" w:color="auto"/>
            </w:tcBorders>
          </w:tcPr>
          <w:p w:rsidR="006339DB" w:rsidRDefault="006339DB" w:rsidP="000A30C8">
            <w:pPr>
              <w:pStyle w:val="Heading7"/>
              <w:rPr>
                <w:color w:val="000000"/>
              </w:rPr>
            </w:pPr>
            <w:r>
              <w:rPr>
                <w:color w:val="000000"/>
              </w:rPr>
              <w:t>Output Class 2</w:t>
            </w:r>
          </w:p>
          <w:p w:rsidR="006339DB" w:rsidRDefault="006339DB" w:rsidP="000A30C8">
            <w:pPr>
              <w:pStyle w:val="Heading7"/>
              <w:rPr>
                <w:color w:val="000000"/>
              </w:rPr>
            </w:pPr>
            <w:r>
              <w:rPr>
                <w:color w:val="000000"/>
              </w:rPr>
              <w:t xml:space="preserve"> Shared Services Procurement </w:t>
            </w:r>
          </w:p>
        </w:tc>
        <w:tc>
          <w:tcPr>
            <w:tcW w:w="1361" w:type="dxa"/>
            <w:tcBorders>
              <w:top w:val="single" w:sz="4" w:space="0" w:color="auto"/>
              <w:bottom w:val="single" w:sz="4" w:space="0" w:color="auto"/>
            </w:tcBorders>
            <w:vAlign w:val="bottom"/>
          </w:tcPr>
          <w:p w:rsidR="006339DB" w:rsidRPr="000D1594" w:rsidRDefault="006339DB" w:rsidP="000A30C8">
            <w:pPr>
              <w:pStyle w:val="AITableText"/>
            </w:pPr>
            <w:r>
              <w:t>21</w:t>
            </w:r>
            <w:r w:rsidRPr="000D1594">
              <w:t>,</w:t>
            </w:r>
            <w:r>
              <w:t>333</w:t>
            </w:r>
          </w:p>
        </w:tc>
        <w:tc>
          <w:tcPr>
            <w:tcW w:w="1361" w:type="dxa"/>
            <w:tcBorders>
              <w:top w:val="single" w:sz="4" w:space="0" w:color="auto"/>
              <w:bottom w:val="single" w:sz="4" w:space="0" w:color="auto"/>
            </w:tcBorders>
            <w:vAlign w:val="bottom"/>
          </w:tcPr>
          <w:p w:rsidR="006339DB" w:rsidRPr="000D1594" w:rsidRDefault="006339DB" w:rsidP="000A30C8">
            <w:pPr>
              <w:pStyle w:val="AITableText"/>
            </w:pPr>
            <w:r>
              <w:t>n/a</w:t>
            </w:r>
          </w:p>
        </w:tc>
        <w:tc>
          <w:tcPr>
            <w:tcW w:w="1361" w:type="dxa"/>
            <w:tcBorders>
              <w:top w:val="single" w:sz="4" w:space="0" w:color="auto"/>
              <w:bottom w:val="single" w:sz="4" w:space="0" w:color="auto"/>
            </w:tcBorders>
            <w:vAlign w:val="bottom"/>
          </w:tcPr>
          <w:p w:rsidR="006339DB" w:rsidRPr="000D1594" w:rsidRDefault="006339DB" w:rsidP="000A30C8">
            <w:pPr>
              <w:pStyle w:val="AITableText"/>
            </w:pPr>
            <w:r w:rsidRPr="000D1594">
              <w:t>1,6</w:t>
            </w:r>
            <w:r>
              <w:t>53</w:t>
            </w:r>
          </w:p>
        </w:tc>
        <w:tc>
          <w:tcPr>
            <w:tcW w:w="1361" w:type="dxa"/>
            <w:tcBorders>
              <w:top w:val="single" w:sz="4" w:space="0" w:color="auto"/>
              <w:bottom w:val="single" w:sz="4" w:space="0" w:color="auto"/>
            </w:tcBorders>
            <w:vAlign w:val="bottom"/>
          </w:tcPr>
          <w:p w:rsidR="006339DB" w:rsidRPr="000D1594" w:rsidRDefault="006339DB" w:rsidP="000A30C8">
            <w:pPr>
              <w:pStyle w:val="AITableText"/>
            </w:pPr>
            <w:r>
              <w:t>n/a</w:t>
            </w:r>
          </w:p>
        </w:tc>
      </w:tr>
      <w:tr w:rsidR="006339DB" w:rsidTr="000A30C8">
        <w:tc>
          <w:tcPr>
            <w:tcW w:w="3544" w:type="dxa"/>
            <w:tcBorders>
              <w:top w:val="single" w:sz="4" w:space="0" w:color="auto"/>
              <w:bottom w:val="single" w:sz="4" w:space="0" w:color="auto"/>
            </w:tcBorders>
          </w:tcPr>
          <w:p w:rsidR="006339DB" w:rsidRDefault="006339DB" w:rsidP="000A30C8">
            <w:pPr>
              <w:pStyle w:val="Heading7"/>
              <w:rPr>
                <w:color w:val="000000"/>
              </w:rPr>
            </w:pPr>
            <w:r>
              <w:rPr>
                <w:color w:val="000000"/>
              </w:rPr>
              <w:t>Output 2.1:  Shared Services Procurement</w:t>
            </w:r>
            <w:r w:rsidRPr="00A41777">
              <w:rPr>
                <w:color w:val="000000"/>
                <w:vertAlign w:val="superscript"/>
              </w:rPr>
              <w:t xml:space="preserve">2 </w:t>
            </w:r>
          </w:p>
        </w:tc>
        <w:tc>
          <w:tcPr>
            <w:tcW w:w="1361" w:type="dxa"/>
            <w:tcBorders>
              <w:top w:val="single" w:sz="4" w:space="0" w:color="auto"/>
              <w:bottom w:val="single" w:sz="4" w:space="0" w:color="auto"/>
            </w:tcBorders>
            <w:vAlign w:val="bottom"/>
          </w:tcPr>
          <w:p w:rsidR="006339DB" w:rsidRPr="000D1594" w:rsidRDefault="006339DB" w:rsidP="000A30C8">
            <w:pPr>
              <w:pStyle w:val="AITableText"/>
            </w:pPr>
            <w:r>
              <w:t>21</w:t>
            </w:r>
            <w:r w:rsidRPr="000D1594">
              <w:t>,</w:t>
            </w:r>
            <w:r>
              <w:t>333</w:t>
            </w:r>
          </w:p>
        </w:tc>
        <w:tc>
          <w:tcPr>
            <w:tcW w:w="1361" w:type="dxa"/>
            <w:tcBorders>
              <w:top w:val="single" w:sz="4" w:space="0" w:color="auto"/>
              <w:bottom w:val="single" w:sz="4" w:space="0" w:color="auto"/>
            </w:tcBorders>
            <w:vAlign w:val="bottom"/>
          </w:tcPr>
          <w:p w:rsidR="006339DB" w:rsidRPr="000D1594" w:rsidRDefault="006339DB" w:rsidP="000A30C8">
            <w:pPr>
              <w:pStyle w:val="AITableText"/>
            </w:pPr>
            <w:r>
              <w:t>n/a</w:t>
            </w:r>
          </w:p>
        </w:tc>
        <w:tc>
          <w:tcPr>
            <w:tcW w:w="1361" w:type="dxa"/>
            <w:tcBorders>
              <w:top w:val="single" w:sz="4" w:space="0" w:color="auto"/>
              <w:bottom w:val="single" w:sz="4" w:space="0" w:color="auto"/>
            </w:tcBorders>
            <w:vAlign w:val="bottom"/>
          </w:tcPr>
          <w:p w:rsidR="006339DB" w:rsidRPr="000D1594" w:rsidRDefault="006339DB" w:rsidP="000A30C8">
            <w:pPr>
              <w:pStyle w:val="AITableText"/>
            </w:pPr>
            <w:r w:rsidRPr="000D1594">
              <w:t>1,6</w:t>
            </w:r>
            <w:r>
              <w:t>53</w:t>
            </w:r>
          </w:p>
        </w:tc>
        <w:tc>
          <w:tcPr>
            <w:tcW w:w="1361" w:type="dxa"/>
            <w:tcBorders>
              <w:top w:val="single" w:sz="4" w:space="0" w:color="auto"/>
              <w:bottom w:val="single" w:sz="4" w:space="0" w:color="auto"/>
            </w:tcBorders>
            <w:vAlign w:val="bottom"/>
          </w:tcPr>
          <w:p w:rsidR="006339DB" w:rsidRPr="000D1594" w:rsidRDefault="006339DB" w:rsidP="000A30C8">
            <w:pPr>
              <w:pStyle w:val="AITableText"/>
            </w:pPr>
            <w:r>
              <w:t>n/a</w:t>
            </w:r>
          </w:p>
        </w:tc>
      </w:tr>
    </w:tbl>
    <w:p w:rsidR="006339DB" w:rsidRDefault="006339DB" w:rsidP="006339DB">
      <w:pPr>
        <w:pStyle w:val="NoteHeading"/>
        <w:rPr>
          <w:vertAlign w:val="superscript"/>
        </w:rPr>
      </w:pPr>
      <w:r>
        <w:t>Notes:</w:t>
      </w:r>
    </w:p>
    <w:p w:rsidR="006339DB" w:rsidRDefault="006339DB" w:rsidP="006339DB">
      <w:pPr>
        <w:pStyle w:val="AINotes"/>
        <w:numPr>
          <w:ilvl w:val="0"/>
          <w:numId w:val="27"/>
        </w:numPr>
      </w:pPr>
      <w:r>
        <w:t xml:space="preserve">Total cost includes depreciation and amortisation </w:t>
      </w:r>
      <w:r w:rsidRPr="007C47E5">
        <w:t>of $</w:t>
      </w:r>
      <w:r>
        <w:t>0.724 million in 2012-13.</w:t>
      </w:r>
    </w:p>
    <w:p w:rsidR="006339DB" w:rsidRDefault="006339DB" w:rsidP="006339DB">
      <w:pPr>
        <w:pStyle w:val="AINotes"/>
        <w:numPr>
          <w:ilvl w:val="0"/>
          <w:numId w:val="27"/>
        </w:numPr>
      </w:pPr>
      <w:r>
        <w:t xml:space="preserve">This output has been transferred to the </w:t>
      </w:r>
      <w:r w:rsidRPr="00C73091">
        <w:rPr>
          <w:bCs/>
        </w:rPr>
        <w:t>Commerce and Works</w:t>
      </w:r>
      <w:r>
        <w:rPr>
          <w:b/>
          <w:bCs/>
        </w:rPr>
        <w:t xml:space="preserve"> </w:t>
      </w:r>
      <w:r>
        <w:t xml:space="preserve">Directorate and is reported as </w:t>
      </w:r>
      <w:r w:rsidRPr="007C47E5">
        <w:t xml:space="preserve">Output Class 3.1 </w:t>
      </w:r>
      <w:r w:rsidRPr="007C47E5">
        <w:rPr>
          <w:color w:val="000000"/>
        </w:rPr>
        <w:t>Shared Services Procurement</w:t>
      </w:r>
      <w:r w:rsidRPr="007C47E5">
        <w:t>.</w:t>
      </w:r>
    </w:p>
    <w:p w:rsidR="006339DB" w:rsidRPr="007C47E5" w:rsidRDefault="006339DB" w:rsidP="006339DB">
      <w:pPr>
        <w:pStyle w:val="AINotes"/>
        <w:numPr>
          <w:ilvl w:val="0"/>
          <w:numId w:val="0"/>
        </w:numPr>
      </w:pPr>
    </w:p>
    <w:tbl>
      <w:tblPr>
        <w:tblW w:w="9100" w:type="dxa"/>
        <w:tblLook w:val="0000"/>
      </w:tblPr>
      <w:tblGrid>
        <w:gridCol w:w="3588"/>
        <w:gridCol w:w="1378"/>
        <w:gridCol w:w="1378"/>
        <w:gridCol w:w="1378"/>
        <w:gridCol w:w="1378"/>
      </w:tblGrid>
      <w:tr w:rsidR="006339DB" w:rsidTr="000A30C8">
        <w:tc>
          <w:tcPr>
            <w:tcW w:w="3544" w:type="dxa"/>
            <w:tcBorders>
              <w:top w:val="single" w:sz="4" w:space="0" w:color="auto"/>
            </w:tcBorders>
          </w:tcPr>
          <w:p w:rsidR="006339DB" w:rsidRDefault="006339DB" w:rsidP="000A30C8">
            <w:pPr>
              <w:rPr>
                <w:rFonts w:ascii="Arial" w:hAnsi="Arial" w:cs="Arial"/>
                <w:b/>
                <w:bCs/>
                <w:color w:val="000000"/>
                <w:sz w:val="20"/>
              </w:rPr>
            </w:pPr>
          </w:p>
        </w:tc>
        <w:tc>
          <w:tcPr>
            <w:tcW w:w="1361" w:type="dxa"/>
            <w:gridSpan w:val="2"/>
            <w:tcBorders>
              <w:top w:val="single" w:sz="4" w:space="0" w:color="auto"/>
              <w:bottom w:val="single" w:sz="4" w:space="0" w:color="auto"/>
            </w:tcBorders>
          </w:tcPr>
          <w:p w:rsidR="006339DB" w:rsidRDefault="006339DB" w:rsidP="000A30C8">
            <w:pPr>
              <w:pStyle w:val="Heading2"/>
            </w:pPr>
            <w:r>
              <w:t>Total Cost</w:t>
            </w:r>
            <w:r w:rsidRPr="002167DC">
              <w:rPr>
                <w:rFonts w:asciiTheme="minorHAnsi" w:hAnsiTheme="minorHAnsi"/>
                <w:vertAlign w:val="superscript"/>
              </w:rPr>
              <w:t>1</w:t>
            </w:r>
          </w:p>
        </w:tc>
        <w:tc>
          <w:tcPr>
            <w:tcW w:w="1361" w:type="dxa"/>
            <w:gridSpan w:val="2"/>
            <w:tcBorders>
              <w:top w:val="single" w:sz="4" w:space="0" w:color="auto"/>
              <w:bottom w:val="single" w:sz="4" w:space="0" w:color="auto"/>
            </w:tcBorders>
          </w:tcPr>
          <w:p w:rsidR="006339DB" w:rsidRDefault="006339DB" w:rsidP="000A30C8">
            <w:pPr>
              <w:pStyle w:val="Heading2"/>
            </w:pPr>
            <w:r>
              <w:t>Government Payment for Outputs</w:t>
            </w:r>
          </w:p>
        </w:tc>
      </w:tr>
      <w:tr w:rsidR="006339DB" w:rsidTr="000A30C8">
        <w:tc>
          <w:tcPr>
            <w:tcW w:w="3544" w:type="dxa"/>
            <w:tcBorders>
              <w:bottom w:val="single" w:sz="4" w:space="0" w:color="auto"/>
            </w:tcBorders>
          </w:tcPr>
          <w:p w:rsidR="006339DB" w:rsidRDefault="006339DB" w:rsidP="000A30C8">
            <w:pPr>
              <w:rPr>
                <w:rFonts w:ascii="Arial" w:hAnsi="Arial" w:cs="Arial"/>
                <w:b/>
                <w:bCs/>
                <w:color w:val="000000"/>
                <w:sz w:val="20"/>
              </w:rPr>
            </w:pPr>
          </w:p>
        </w:tc>
        <w:tc>
          <w:tcPr>
            <w:tcW w:w="1361" w:type="dxa"/>
            <w:tcBorders>
              <w:top w:val="single" w:sz="4" w:space="0" w:color="auto"/>
              <w:bottom w:val="single" w:sz="4" w:space="0" w:color="auto"/>
            </w:tcBorders>
          </w:tcPr>
          <w:p w:rsidR="006339DB" w:rsidRDefault="006339DB" w:rsidP="000A30C8">
            <w:pPr>
              <w:pStyle w:val="Heading6"/>
            </w:pPr>
            <w:r>
              <w:t>2012-13</w:t>
            </w:r>
            <w:r>
              <w:br/>
              <w:t>Est. Outcome</w:t>
            </w:r>
            <w:r>
              <w:br/>
              <w:t xml:space="preserve">$’000 </w:t>
            </w:r>
          </w:p>
        </w:tc>
        <w:tc>
          <w:tcPr>
            <w:tcW w:w="1361" w:type="dxa"/>
            <w:tcBorders>
              <w:top w:val="single" w:sz="4" w:space="0" w:color="auto"/>
              <w:bottom w:val="single" w:sz="4" w:space="0" w:color="auto"/>
            </w:tcBorders>
          </w:tcPr>
          <w:p w:rsidR="006339DB" w:rsidRDefault="006339DB" w:rsidP="000A30C8">
            <w:pPr>
              <w:pStyle w:val="Heading6"/>
            </w:pPr>
            <w:r>
              <w:t>2013-14</w:t>
            </w:r>
            <w:r>
              <w:br/>
              <w:t>Budget</w:t>
            </w:r>
            <w:r>
              <w:br/>
              <w:t>$’000</w:t>
            </w:r>
          </w:p>
        </w:tc>
        <w:tc>
          <w:tcPr>
            <w:tcW w:w="1361" w:type="dxa"/>
            <w:tcBorders>
              <w:top w:val="single" w:sz="4" w:space="0" w:color="auto"/>
              <w:bottom w:val="single" w:sz="4" w:space="0" w:color="auto"/>
            </w:tcBorders>
          </w:tcPr>
          <w:p w:rsidR="006339DB" w:rsidRDefault="006339DB" w:rsidP="000A30C8">
            <w:pPr>
              <w:pStyle w:val="Heading6"/>
            </w:pPr>
            <w:r>
              <w:t>2012-13</w:t>
            </w:r>
            <w:r>
              <w:br/>
              <w:t>Est. Outcome</w:t>
            </w:r>
            <w:r>
              <w:br/>
              <w:t>$’000</w:t>
            </w:r>
          </w:p>
        </w:tc>
        <w:tc>
          <w:tcPr>
            <w:tcW w:w="1361" w:type="dxa"/>
            <w:tcBorders>
              <w:top w:val="single" w:sz="4" w:space="0" w:color="auto"/>
              <w:bottom w:val="single" w:sz="4" w:space="0" w:color="auto"/>
            </w:tcBorders>
          </w:tcPr>
          <w:p w:rsidR="006339DB" w:rsidRDefault="006339DB" w:rsidP="000A30C8">
            <w:pPr>
              <w:pStyle w:val="Heading6"/>
            </w:pPr>
            <w:r>
              <w:t>2013-14</w:t>
            </w:r>
            <w:r>
              <w:br/>
              <w:t>Budget</w:t>
            </w:r>
            <w:r>
              <w:br/>
              <w:t>$’000</w:t>
            </w:r>
          </w:p>
        </w:tc>
      </w:tr>
      <w:tr w:rsidR="006339DB" w:rsidTr="000A30C8">
        <w:tc>
          <w:tcPr>
            <w:tcW w:w="3544" w:type="dxa"/>
            <w:tcBorders>
              <w:top w:val="single" w:sz="4" w:space="0" w:color="auto"/>
              <w:bottom w:val="single" w:sz="4" w:space="0" w:color="auto"/>
            </w:tcBorders>
          </w:tcPr>
          <w:p w:rsidR="006339DB" w:rsidRDefault="006339DB" w:rsidP="000A30C8">
            <w:pPr>
              <w:pStyle w:val="Heading7"/>
              <w:ind w:left="0" w:firstLine="0"/>
              <w:rPr>
                <w:color w:val="000000"/>
              </w:rPr>
            </w:pPr>
            <w:r>
              <w:rPr>
                <w:color w:val="000000"/>
              </w:rPr>
              <w:t>Output Class 3</w:t>
            </w:r>
            <w:r>
              <w:rPr>
                <w:color w:val="000000"/>
              </w:rPr>
              <w:br/>
              <w:t xml:space="preserve">Shared Services Human Resources </w:t>
            </w:r>
          </w:p>
        </w:tc>
        <w:tc>
          <w:tcPr>
            <w:tcW w:w="1361" w:type="dxa"/>
            <w:tcBorders>
              <w:top w:val="single" w:sz="4" w:space="0" w:color="auto"/>
              <w:bottom w:val="single" w:sz="4" w:space="0" w:color="auto"/>
            </w:tcBorders>
            <w:vAlign w:val="bottom"/>
          </w:tcPr>
          <w:p w:rsidR="006339DB" w:rsidRPr="00644007" w:rsidRDefault="006339DB" w:rsidP="000A30C8">
            <w:pPr>
              <w:pStyle w:val="AITableText"/>
            </w:pPr>
            <w:r>
              <w:t>25,868</w:t>
            </w:r>
          </w:p>
        </w:tc>
        <w:tc>
          <w:tcPr>
            <w:tcW w:w="1361" w:type="dxa"/>
            <w:tcBorders>
              <w:top w:val="single" w:sz="4" w:space="0" w:color="auto"/>
              <w:bottom w:val="single" w:sz="4" w:space="0" w:color="auto"/>
            </w:tcBorders>
            <w:vAlign w:val="bottom"/>
          </w:tcPr>
          <w:p w:rsidR="006339DB" w:rsidRPr="00644007" w:rsidRDefault="006339DB" w:rsidP="000A30C8">
            <w:pPr>
              <w:pStyle w:val="AITableText"/>
            </w:pPr>
            <w:r>
              <w:t>n/a</w:t>
            </w:r>
          </w:p>
        </w:tc>
        <w:tc>
          <w:tcPr>
            <w:tcW w:w="1361" w:type="dxa"/>
            <w:tcBorders>
              <w:top w:val="single" w:sz="4" w:space="0" w:color="auto"/>
              <w:bottom w:val="single" w:sz="4" w:space="0" w:color="auto"/>
            </w:tcBorders>
            <w:vAlign w:val="bottom"/>
          </w:tcPr>
          <w:p w:rsidR="006339DB" w:rsidRPr="00644007" w:rsidRDefault="006339DB" w:rsidP="000A30C8">
            <w:pPr>
              <w:pStyle w:val="AITableText"/>
            </w:pPr>
            <w:r>
              <w:t>2,193</w:t>
            </w:r>
          </w:p>
        </w:tc>
        <w:tc>
          <w:tcPr>
            <w:tcW w:w="1361" w:type="dxa"/>
            <w:tcBorders>
              <w:top w:val="single" w:sz="4" w:space="0" w:color="auto"/>
              <w:bottom w:val="single" w:sz="4" w:space="0" w:color="auto"/>
            </w:tcBorders>
            <w:vAlign w:val="bottom"/>
          </w:tcPr>
          <w:p w:rsidR="006339DB" w:rsidRPr="00644007" w:rsidRDefault="006339DB" w:rsidP="000A30C8">
            <w:pPr>
              <w:pStyle w:val="AITableText"/>
            </w:pPr>
            <w:r>
              <w:t>n/a</w:t>
            </w:r>
          </w:p>
        </w:tc>
      </w:tr>
      <w:tr w:rsidR="006339DB" w:rsidTr="000A30C8">
        <w:tc>
          <w:tcPr>
            <w:tcW w:w="3544" w:type="dxa"/>
            <w:tcBorders>
              <w:top w:val="single" w:sz="4" w:space="0" w:color="auto"/>
              <w:bottom w:val="single" w:sz="4" w:space="0" w:color="auto"/>
            </w:tcBorders>
          </w:tcPr>
          <w:p w:rsidR="006339DB" w:rsidRDefault="006339DB" w:rsidP="000A30C8">
            <w:pPr>
              <w:pStyle w:val="Heading7"/>
              <w:ind w:left="0" w:firstLine="0"/>
              <w:rPr>
                <w:color w:val="000000"/>
              </w:rPr>
            </w:pPr>
            <w:r>
              <w:rPr>
                <w:color w:val="000000"/>
              </w:rPr>
              <w:t>Output 3.1:  Shared Services Human Resources</w:t>
            </w:r>
            <w:r w:rsidRPr="00A41777">
              <w:rPr>
                <w:color w:val="000000"/>
                <w:vertAlign w:val="superscript"/>
              </w:rPr>
              <w:t>2</w:t>
            </w:r>
          </w:p>
        </w:tc>
        <w:tc>
          <w:tcPr>
            <w:tcW w:w="1361" w:type="dxa"/>
            <w:tcBorders>
              <w:top w:val="single" w:sz="4" w:space="0" w:color="auto"/>
              <w:bottom w:val="single" w:sz="4" w:space="0" w:color="auto"/>
            </w:tcBorders>
            <w:vAlign w:val="bottom"/>
          </w:tcPr>
          <w:p w:rsidR="006339DB" w:rsidRPr="00644007" w:rsidRDefault="006339DB" w:rsidP="000A30C8">
            <w:pPr>
              <w:pStyle w:val="AITableText"/>
            </w:pPr>
            <w:r>
              <w:t>25,868</w:t>
            </w:r>
          </w:p>
        </w:tc>
        <w:tc>
          <w:tcPr>
            <w:tcW w:w="1361" w:type="dxa"/>
            <w:tcBorders>
              <w:top w:val="single" w:sz="4" w:space="0" w:color="auto"/>
              <w:bottom w:val="single" w:sz="4" w:space="0" w:color="auto"/>
            </w:tcBorders>
            <w:vAlign w:val="bottom"/>
          </w:tcPr>
          <w:p w:rsidR="006339DB" w:rsidRPr="00644007" w:rsidRDefault="006339DB" w:rsidP="000A30C8">
            <w:pPr>
              <w:pStyle w:val="AITableText"/>
            </w:pPr>
            <w:r>
              <w:t>n/a</w:t>
            </w:r>
          </w:p>
        </w:tc>
        <w:tc>
          <w:tcPr>
            <w:tcW w:w="1361" w:type="dxa"/>
            <w:tcBorders>
              <w:top w:val="single" w:sz="4" w:space="0" w:color="auto"/>
              <w:bottom w:val="single" w:sz="4" w:space="0" w:color="auto"/>
            </w:tcBorders>
            <w:vAlign w:val="bottom"/>
          </w:tcPr>
          <w:p w:rsidR="006339DB" w:rsidRPr="00644007" w:rsidRDefault="006339DB" w:rsidP="000A30C8">
            <w:pPr>
              <w:pStyle w:val="AITableText"/>
            </w:pPr>
            <w:r>
              <w:t>2,193</w:t>
            </w:r>
          </w:p>
        </w:tc>
        <w:tc>
          <w:tcPr>
            <w:tcW w:w="1361" w:type="dxa"/>
            <w:tcBorders>
              <w:top w:val="single" w:sz="4" w:space="0" w:color="auto"/>
              <w:bottom w:val="single" w:sz="4" w:space="0" w:color="auto"/>
            </w:tcBorders>
            <w:vAlign w:val="bottom"/>
          </w:tcPr>
          <w:p w:rsidR="006339DB" w:rsidRPr="00644007" w:rsidRDefault="006339DB" w:rsidP="000A30C8">
            <w:pPr>
              <w:pStyle w:val="AITableText"/>
            </w:pPr>
            <w:r>
              <w:t>n/a</w:t>
            </w:r>
          </w:p>
        </w:tc>
      </w:tr>
    </w:tbl>
    <w:p w:rsidR="006339DB" w:rsidRPr="00FA01D3" w:rsidRDefault="006339DB" w:rsidP="006339DB">
      <w:pPr>
        <w:pStyle w:val="NoteHeading"/>
      </w:pPr>
      <w:r w:rsidRPr="00FA01D3">
        <w:t>Note</w:t>
      </w:r>
      <w:r>
        <w:t>s</w:t>
      </w:r>
      <w:r w:rsidRPr="00FA01D3">
        <w:t>:</w:t>
      </w:r>
    </w:p>
    <w:p w:rsidR="006339DB" w:rsidRDefault="006339DB" w:rsidP="006339DB">
      <w:pPr>
        <w:pStyle w:val="AINotes"/>
        <w:numPr>
          <w:ilvl w:val="0"/>
          <w:numId w:val="27"/>
        </w:numPr>
      </w:pPr>
      <w:r w:rsidRPr="00FA01D3">
        <w:t>Total cost includes depreciation and amortisation of $</w:t>
      </w:r>
      <w:r>
        <w:t>0.778</w:t>
      </w:r>
      <w:r w:rsidRPr="00FA01D3">
        <w:t xml:space="preserve"> million in </w:t>
      </w:r>
      <w:r>
        <w:t>2012-13</w:t>
      </w:r>
      <w:r w:rsidRPr="00FA01D3">
        <w:t>.</w:t>
      </w:r>
    </w:p>
    <w:p w:rsidR="006339DB" w:rsidRDefault="006339DB" w:rsidP="006339DB">
      <w:pPr>
        <w:pStyle w:val="AINotes"/>
        <w:numPr>
          <w:ilvl w:val="0"/>
          <w:numId w:val="27"/>
        </w:numPr>
      </w:pPr>
      <w:r>
        <w:t xml:space="preserve">This output has been transferred to the </w:t>
      </w:r>
      <w:r w:rsidRPr="00C73091">
        <w:rPr>
          <w:bCs/>
        </w:rPr>
        <w:t>Commerce and Works</w:t>
      </w:r>
      <w:r>
        <w:rPr>
          <w:b/>
          <w:bCs/>
        </w:rPr>
        <w:t xml:space="preserve"> </w:t>
      </w:r>
      <w:r>
        <w:t xml:space="preserve">Directorate and is reported as </w:t>
      </w:r>
      <w:r w:rsidRPr="007C47E5">
        <w:t xml:space="preserve">Output Class 4.1 </w:t>
      </w:r>
      <w:r w:rsidRPr="007C47E5">
        <w:rPr>
          <w:color w:val="000000"/>
        </w:rPr>
        <w:t>Shared Services Human Resources</w:t>
      </w:r>
      <w:r w:rsidRPr="007C47E5">
        <w:t>.</w:t>
      </w:r>
    </w:p>
    <w:p w:rsidR="006339DB" w:rsidRPr="007C47E5" w:rsidRDefault="006339DB" w:rsidP="006339DB">
      <w:pPr>
        <w:pStyle w:val="AINotes"/>
        <w:numPr>
          <w:ilvl w:val="0"/>
          <w:numId w:val="0"/>
        </w:numPr>
      </w:pPr>
    </w:p>
    <w:tbl>
      <w:tblPr>
        <w:tblW w:w="9100" w:type="dxa"/>
        <w:tblLook w:val="0000"/>
      </w:tblPr>
      <w:tblGrid>
        <w:gridCol w:w="3588"/>
        <w:gridCol w:w="1378"/>
        <w:gridCol w:w="1378"/>
        <w:gridCol w:w="1378"/>
        <w:gridCol w:w="1378"/>
      </w:tblGrid>
      <w:tr w:rsidR="006339DB" w:rsidTr="000A30C8">
        <w:tc>
          <w:tcPr>
            <w:tcW w:w="3588" w:type="dxa"/>
            <w:tcBorders>
              <w:top w:val="single" w:sz="4" w:space="0" w:color="auto"/>
            </w:tcBorders>
          </w:tcPr>
          <w:p w:rsidR="006339DB" w:rsidRDefault="006339DB" w:rsidP="000A30C8">
            <w:pPr>
              <w:rPr>
                <w:rFonts w:ascii="Arial" w:hAnsi="Arial" w:cs="Arial"/>
                <w:b/>
                <w:bCs/>
                <w:color w:val="000000"/>
                <w:sz w:val="20"/>
              </w:rPr>
            </w:pPr>
          </w:p>
        </w:tc>
        <w:tc>
          <w:tcPr>
            <w:tcW w:w="2756" w:type="dxa"/>
            <w:gridSpan w:val="2"/>
            <w:tcBorders>
              <w:top w:val="single" w:sz="4" w:space="0" w:color="auto"/>
              <w:bottom w:val="single" w:sz="4" w:space="0" w:color="auto"/>
            </w:tcBorders>
          </w:tcPr>
          <w:p w:rsidR="006339DB" w:rsidRDefault="006339DB" w:rsidP="000A30C8">
            <w:pPr>
              <w:pStyle w:val="Heading2"/>
            </w:pPr>
            <w:r>
              <w:t>Total Cost</w:t>
            </w:r>
            <w:r w:rsidRPr="002167DC">
              <w:rPr>
                <w:rFonts w:asciiTheme="minorHAnsi" w:hAnsiTheme="minorHAnsi"/>
                <w:vertAlign w:val="superscript"/>
              </w:rPr>
              <w:t>1</w:t>
            </w:r>
          </w:p>
        </w:tc>
        <w:tc>
          <w:tcPr>
            <w:tcW w:w="2756" w:type="dxa"/>
            <w:gridSpan w:val="2"/>
            <w:tcBorders>
              <w:top w:val="single" w:sz="4" w:space="0" w:color="auto"/>
              <w:bottom w:val="single" w:sz="4" w:space="0" w:color="auto"/>
            </w:tcBorders>
          </w:tcPr>
          <w:p w:rsidR="006339DB" w:rsidRDefault="006339DB" w:rsidP="000A30C8">
            <w:pPr>
              <w:pStyle w:val="Heading2"/>
            </w:pPr>
            <w:r>
              <w:t>Government Payment for Outputs</w:t>
            </w:r>
          </w:p>
        </w:tc>
      </w:tr>
      <w:tr w:rsidR="006339DB" w:rsidTr="000A30C8">
        <w:tc>
          <w:tcPr>
            <w:tcW w:w="3588" w:type="dxa"/>
            <w:tcBorders>
              <w:bottom w:val="single" w:sz="4" w:space="0" w:color="auto"/>
            </w:tcBorders>
          </w:tcPr>
          <w:p w:rsidR="006339DB" w:rsidRDefault="006339DB" w:rsidP="000A30C8">
            <w:pPr>
              <w:rPr>
                <w:rFonts w:ascii="Arial" w:hAnsi="Arial" w:cs="Arial"/>
                <w:b/>
                <w:bCs/>
                <w:color w:val="000000"/>
                <w:sz w:val="20"/>
              </w:rPr>
            </w:pPr>
          </w:p>
        </w:tc>
        <w:tc>
          <w:tcPr>
            <w:tcW w:w="1378" w:type="dxa"/>
            <w:tcBorders>
              <w:top w:val="single" w:sz="4" w:space="0" w:color="auto"/>
              <w:bottom w:val="single" w:sz="4" w:space="0" w:color="auto"/>
            </w:tcBorders>
          </w:tcPr>
          <w:p w:rsidR="006339DB" w:rsidRDefault="006339DB" w:rsidP="000A30C8">
            <w:pPr>
              <w:pStyle w:val="Heading6"/>
            </w:pPr>
            <w:r>
              <w:t>2012-13</w:t>
            </w:r>
            <w:r>
              <w:br/>
              <w:t>Est. Outcome</w:t>
            </w:r>
            <w:r>
              <w:br/>
              <w:t xml:space="preserve">$’000 </w:t>
            </w:r>
          </w:p>
        </w:tc>
        <w:tc>
          <w:tcPr>
            <w:tcW w:w="1378" w:type="dxa"/>
            <w:tcBorders>
              <w:top w:val="single" w:sz="4" w:space="0" w:color="auto"/>
              <w:bottom w:val="single" w:sz="4" w:space="0" w:color="auto"/>
            </w:tcBorders>
          </w:tcPr>
          <w:p w:rsidR="006339DB" w:rsidRDefault="006339DB" w:rsidP="000A30C8">
            <w:pPr>
              <w:pStyle w:val="Heading6"/>
            </w:pPr>
            <w:r>
              <w:t>2013-14</w:t>
            </w:r>
            <w:r>
              <w:br/>
              <w:t>Budget</w:t>
            </w:r>
            <w:r>
              <w:br/>
              <w:t>$’000</w:t>
            </w:r>
          </w:p>
        </w:tc>
        <w:tc>
          <w:tcPr>
            <w:tcW w:w="1378" w:type="dxa"/>
            <w:tcBorders>
              <w:top w:val="single" w:sz="4" w:space="0" w:color="auto"/>
              <w:bottom w:val="single" w:sz="4" w:space="0" w:color="auto"/>
            </w:tcBorders>
          </w:tcPr>
          <w:p w:rsidR="006339DB" w:rsidRDefault="006339DB" w:rsidP="000A30C8">
            <w:pPr>
              <w:pStyle w:val="Heading6"/>
            </w:pPr>
            <w:r>
              <w:t>2012-13</w:t>
            </w:r>
            <w:r>
              <w:br/>
              <w:t>Est. Outcome</w:t>
            </w:r>
            <w:r>
              <w:br/>
              <w:t>$’000</w:t>
            </w:r>
          </w:p>
        </w:tc>
        <w:tc>
          <w:tcPr>
            <w:tcW w:w="1378" w:type="dxa"/>
            <w:tcBorders>
              <w:top w:val="single" w:sz="4" w:space="0" w:color="auto"/>
              <w:bottom w:val="single" w:sz="4" w:space="0" w:color="auto"/>
            </w:tcBorders>
          </w:tcPr>
          <w:p w:rsidR="006339DB" w:rsidRDefault="006339DB" w:rsidP="000A30C8">
            <w:pPr>
              <w:pStyle w:val="Heading6"/>
            </w:pPr>
            <w:r>
              <w:t>2013-14</w:t>
            </w:r>
            <w:r>
              <w:br/>
              <w:t>Budget</w:t>
            </w:r>
            <w:r>
              <w:br/>
              <w:t>$’000</w:t>
            </w:r>
          </w:p>
        </w:tc>
      </w:tr>
      <w:tr w:rsidR="006339DB" w:rsidTr="000A30C8">
        <w:tc>
          <w:tcPr>
            <w:tcW w:w="3588" w:type="dxa"/>
            <w:tcBorders>
              <w:top w:val="single" w:sz="4" w:space="0" w:color="auto"/>
              <w:bottom w:val="single" w:sz="4" w:space="0" w:color="auto"/>
            </w:tcBorders>
          </w:tcPr>
          <w:p w:rsidR="006339DB" w:rsidRDefault="006339DB" w:rsidP="000A30C8">
            <w:pPr>
              <w:pStyle w:val="Heading7"/>
              <w:rPr>
                <w:color w:val="000000"/>
              </w:rPr>
            </w:pPr>
            <w:r>
              <w:rPr>
                <w:color w:val="000000"/>
              </w:rPr>
              <w:t>Output Class 4</w:t>
            </w:r>
            <w:r>
              <w:rPr>
                <w:color w:val="000000"/>
              </w:rPr>
              <w:br/>
              <w:t xml:space="preserve">Shared Services Finance </w:t>
            </w:r>
          </w:p>
        </w:tc>
        <w:tc>
          <w:tcPr>
            <w:tcW w:w="1378" w:type="dxa"/>
            <w:tcBorders>
              <w:top w:val="single" w:sz="4" w:space="0" w:color="auto"/>
              <w:bottom w:val="single" w:sz="4" w:space="0" w:color="auto"/>
            </w:tcBorders>
            <w:vAlign w:val="bottom"/>
          </w:tcPr>
          <w:p w:rsidR="006339DB" w:rsidRPr="00644007" w:rsidRDefault="006339DB" w:rsidP="000A30C8">
            <w:pPr>
              <w:pStyle w:val="AITableText"/>
            </w:pPr>
            <w:r>
              <w:t>14,998</w:t>
            </w:r>
          </w:p>
        </w:tc>
        <w:tc>
          <w:tcPr>
            <w:tcW w:w="1378" w:type="dxa"/>
            <w:tcBorders>
              <w:top w:val="single" w:sz="4" w:space="0" w:color="auto"/>
              <w:bottom w:val="single" w:sz="4" w:space="0" w:color="auto"/>
            </w:tcBorders>
            <w:vAlign w:val="bottom"/>
          </w:tcPr>
          <w:p w:rsidR="006339DB" w:rsidRPr="00644007" w:rsidRDefault="006339DB" w:rsidP="000A30C8">
            <w:pPr>
              <w:pStyle w:val="AITableText"/>
            </w:pPr>
            <w:r>
              <w:t>n/a</w:t>
            </w:r>
          </w:p>
        </w:tc>
        <w:tc>
          <w:tcPr>
            <w:tcW w:w="1378" w:type="dxa"/>
            <w:tcBorders>
              <w:top w:val="single" w:sz="4" w:space="0" w:color="auto"/>
              <w:bottom w:val="single" w:sz="4" w:space="0" w:color="auto"/>
            </w:tcBorders>
            <w:vAlign w:val="bottom"/>
          </w:tcPr>
          <w:p w:rsidR="006339DB" w:rsidRPr="00644007" w:rsidRDefault="006339DB" w:rsidP="000A30C8">
            <w:pPr>
              <w:pStyle w:val="AITableText"/>
            </w:pPr>
            <w:r>
              <w:t>53</w:t>
            </w:r>
            <w:r w:rsidRPr="00644007">
              <w:t>8</w:t>
            </w:r>
          </w:p>
        </w:tc>
        <w:tc>
          <w:tcPr>
            <w:tcW w:w="1378" w:type="dxa"/>
            <w:tcBorders>
              <w:top w:val="single" w:sz="4" w:space="0" w:color="auto"/>
              <w:bottom w:val="single" w:sz="4" w:space="0" w:color="auto"/>
            </w:tcBorders>
            <w:vAlign w:val="bottom"/>
          </w:tcPr>
          <w:p w:rsidR="006339DB" w:rsidRPr="00644007" w:rsidRDefault="006339DB" w:rsidP="000A30C8">
            <w:pPr>
              <w:pStyle w:val="AITableText"/>
            </w:pPr>
            <w:r>
              <w:t>n/a</w:t>
            </w:r>
          </w:p>
        </w:tc>
      </w:tr>
      <w:tr w:rsidR="006339DB" w:rsidTr="000A30C8">
        <w:tc>
          <w:tcPr>
            <w:tcW w:w="3588" w:type="dxa"/>
            <w:tcBorders>
              <w:top w:val="single" w:sz="4" w:space="0" w:color="auto"/>
              <w:bottom w:val="single" w:sz="4" w:space="0" w:color="auto"/>
            </w:tcBorders>
          </w:tcPr>
          <w:p w:rsidR="006339DB" w:rsidRDefault="006339DB" w:rsidP="000A30C8">
            <w:pPr>
              <w:pStyle w:val="Heading7"/>
              <w:rPr>
                <w:color w:val="000000"/>
              </w:rPr>
            </w:pPr>
            <w:r>
              <w:rPr>
                <w:color w:val="000000"/>
              </w:rPr>
              <w:t>Output 4.1:  Shared Service Finance</w:t>
            </w:r>
            <w:r w:rsidRPr="00A41777">
              <w:rPr>
                <w:color w:val="000000"/>
                <w:vertAlign w:val="superscript"/>
              </w:rPr>
              <w:t>2</w:t>
            </w:r>
          </w:p>
        </w:tc>
        <w:tc>
          <w:tcPr>
            <w:tcW w:w="1378" w:type="dxa"/>
            <w:tcBorders>
              <w:top w:val="single" w:sz="4" w:space="0" w:color="auto"/>
              <w:bottom w:val="single" w:sz="4" w:space="0" w:color="auto"/>
            </w:tcBorders>
            <w:vAlign w:val="bottom"/>
          </w:tcPr>
          <w:p w:rsidR="006339DB" w:rsidRPr="00644007" w:rsidRDefault="006339DB" w:rsidP="000A30C8">
            <w:pPr>
              <w:pStyle w:val="AITableText"/>
            </w:pPr>
            <w:r>
              <w:t>14,998</w:t>
            </w:r>
          </w:p>
        </w:tc>
        <w:tc>
          <w:tcPr>
            <w:tcW w:w="1378" w:type="dxa"/>
            <w:tcBorders>
              <w:top w:val="single" w:sz="4" w:space="0" w:color="auto"/>
              <w:bottom w:val="single" w:sz="4" w:space="0" w:color="auto"/>
            </w:tcBorders>
            <w:vAlign w:val="bottom"/>
          </w:tcPr>
          <w:p w:rsidR="006339DB" w:rsidRPr="00644007" w:rsidRDefault="006339DB" w:rsidP="000A30C8">
            <w:pPr>
              <w:pStyle w:val="AITableText"/>
            </w:pPr>
            <w:r>
              <w:t>n/a</w:t>
            </w:r>
          </w:p>
        </w:tc>
        <w:tc>
          <w:tcPr>
            <w:tcW w:w="1378" w:type="dxa"/>
            <w:tcBorders>
              <w:top w:val="single" w:sz="4" w:space="0" w:color="auto"/>
              <w:bottom w:val="single" w:sz="4" w:space="0" w:color="auto"/>
            </w:tcBorders>
            <w:vAlign w:val="bottom"/>
          </w:tcPr>
          <w:p w:rsidR="006339DB" w:rsidRPr="00644007" w:rsidRDefault="006339DB" w:rsidP="000A30C8">
            <w:pPr>
              <w:pStyle w:val="AITableText"/>
            </w:pPr>
            <w:r>
              <w:t>53</w:t>
            </w:r>
            <w:r w:rsidRPr="00644007">
              <w:t>8</w:t>
            </w:r>
          </w:p>
        </w:tc>
        <w:tc>
          <w:tcPr>
            <w:tcW w:w="1378" w:type="dxa"/>
            <w:tcBorders>
              <w:top w:val="single" w:sz="4" w:space="0" w:color="auto"/>
              <w:bottom w:val="single" w:sz="4" w:space="0" w:color="auto"/>
            </w:tcBorders>
            <w:vAlign w:val="bottom"/>
          </w:tcPr>
          <w:p w:rsidR="006339DB" w:rsidRPr="00644007" w:rsidRDefault="006339DB" w:rsidP="000A30C8">
            <w:pPr>
              <w:pStyle w:val="AITableText"/>
            </w:pPr>
            <w:r>
              <w:t>n/a</w:t>
            </w:r>
          </w:p>
        </w:tc>
      </w:tr>
    </w:tbl>
    <w:p w:rsidR="006339DB" w:rsidRPr="00FA01D3" w:rsidRDefault="006339DB" w:rsidP="006339DB">
      <w:pPr>
        <w:pStyle w:val="NoteHeading"/>
      </w:pPr>
      <w:r w:rsidRPr="00FA01D3">
        <w:t>Note</w:t>
      </w:r>
      <w:r>
        <w:t>s</w:t>
      </w:r>
      <w:r w:rsidRPr="00FA01D3">
        <w:t>:</w:t>
      </w:r>
    </w:p>
    <w:p w:rsidR="006339DB" w:rsidRDefault="006339DB" w:rsidP="006339DB">
      <w:pPr>
        <w:pStyle w:val="AINotes"/>
        <w:numPr>
          <w:ilvl w:val="0"/>
          <w:numId w:val="27"/>
        </w:numPr>
      </w:pPr>
      <w:r w:rsidRPr="00FA01D3">
        <w:t>Total cost includes depreciation and amortisation of $</w:t>
      </w:r>
      <w:r>
        <w:t>0.273</w:t>
      </w:r>
      <w:r w:rsidRPr="00FA01D3">
        <w:t xml:space="preserve"> million in </w:t>
      </w:r>
      <w:r>
        <w:t>2012-13</w:t>
      </w:r>
      <w:r w:rsidRPr="00FA01D3">
        <w:t>.</w:t>
      </w:r>
    </w:p>
    <w:p w:rsidR="006339DB" w:rsidRDefault="006339DB" w:rsidP="006339DB">
      <w:pPr>
        <w:pStyle w:val="AINotes"/>
        <w:numPr>
          <w:ilvl w:val="0"/>
          <w:numId w:val="27"/>
        </w:numPr>
      </w:pPr>
      <w:r w:rsidRPr="007C47E5">
        <w:t xml:space="preserve">This output has been transferred to the </w:t>
      </w:r>
      <w:r w:rsidRPr="007C47E5">
        <w:rPr>
          <w:bCs/>
        </w:rPr>
        <w:t>Commerce and Works</w:t>
      </w:r>
      <w:r w:rsidRPr="007C47E5">
        <w:rPr>
          <w:b/>
          <w:bCs/>
        </w:rPr>
        <w:t xml:space="preserve"> </w:t>
      </w:r>
      <w:r w:rsidRPr="007C47E5">
        <w:t xml:space="preserve">Directorate and is reported as </w:t>
      </w:r>
      <w:r>
        <w:t>Output Class 5</w:t>
      </w:r>
      <w:r w:rsidRPr="007C47E5">
        <w:t xml:space="preserve">.1 </w:t>
      </w:r>
      <w:r w:rsidRPr="007C47E5">
        <w:rPr>
          <w:color w:val="000000"/>
        </w:rPr>
        <w:t>Shared Services Finance</w:t>
      </w:r>
      <w:r w:rsidRPr="007C47E5">
        <w:t>.</w:t>
      </w:r>
    </w:p>
    <w:p w:rsidR="006339DB" w:rsidRPr="00FA01D3" w:rsidRDefault="006339DB" w:rsidP="006339DB">
      <w:pPr>
        <w:pStyle w:val="Heading3"/>
        <w:spacing w:after="120"/>
      </w:pPr>
      <w:r w:rsidRPr="00FA01D3">
        <w:lastRenderedPageBreak/>
        <w:t>Accountability Indicators</w:t>
      </w:r>
    </w:p>
    <w:tbl>
      <w:tblPr>
        <w:tblW w:w="9356" w:type="dxa"/>
        <w:tblLook w:val="0000"/>
      </w:tblPr>
      <w:tblGrid>
        <w:gridCol w:w="5058"/>
        <w:gridCol w:w="1428"/>
        <w:gridCol w:w="1428"/>
        <w:gridCol w:w="1442"/>
      </w:tblGrid>
      <w:tr w:rsidR="006339DB" w:rsidRPr="00FA01D3" w:rsidTr="000A30C8">
        <w:trPr>
          <w:trHeight w:val="315"/>
        </w:trPr>
        <w:tc>
          <w:tcPr>
            <w:tcW w:w="5058" w:type="dxa"/>
            <w:tcBorders>
              <w:top w:val="single" w:sz="4" w:space="0" w:color="auto"/>
              <w:left w:val="nil"/>
              <w:right w:val="nil"/>
            </w:tcBorders>
          </w:tcPr>
          <w:p w:rsidR="006339DB" w:rsidRPr="00FA01D3" w:rsidRDefault="006339DB" w:rsidP="000A30C8">
            <w:pPr>
              <w:pStyle w:val="Heading6"/>
              <w:rPr>
                <w:rFonts w:cs="Calibri"/>
              </w:rPr>
            </w:pPr>
            <w:r w:rsidRPr="00FA01D3">
              <w:rPr>
                <w:rFonts w:cs="Calibri"/>
              </w:rPr>
              <w:t> </w:t>
            </w:r>
          </w:p>
        </w:tc>
        <w:tc>
          <w:tcPr>
            <w:tcW w:w="1428" w:type="dxa"/>
            <w:tcBorders>
              <w:top w:val="single" w:sz="4" w:space="0" w:color="auto"/>
              <w:left w:val="nil"/>
              <w:right w:val="nil"/>
            </w:tcBorders>
          </w:tcPr>
          <w:p w:rsidR="006339DB" w:rsidRPr="00FA01D3" w:rsidRDefault="006339DB" w:rsidP="000A30C8">
            <w:pPr>
              <w:pStyle w:val="Heading6"/>
              <w:rPr>
                <w:rFonts w:cs="Calibri"/>
                <w:bCs/>
              </w:rPr>
            </w:pPr>
            <w:r>
              <w:rPr>
                <w:rFonts w:cs="Calibri"/>
                <w:bCs/>
              </w:rPr>
              <w:t>2012-13</w:t>
            </w:r>
          </w:p>
        </w:tc>
        <w:tc>
          <w:tcPr>
            <w:tcW w:w="1428" w:type="dxa"/>
            <w:tcBorders>
              <w:top w:val="single" w:sz="4" w:space="0" w:color="auto"/>
              <w:left w:val="nil"/>
              <w:right w:val="nil"/>
            </w:tcBorders>
          </w:tcPr>
          <w:p w:rsidR="006339DB" w:rsidRPr="00FA01D3" w:rsidRDefault="006339DB" w:rsidP="000A30C8">
            <w:pPr>
              <w:pStyle w:val="Heading6"/>
              <w:rPr>
                <w:rFonts w:cs="Calibri"/>
                <w:bCs/>
              </w:rPr>
            </w:pPr>
            <w:r>
              <w:rPr>
                <w:rFonts w:cs="Calibri"/>
                <w:bCs/>
              </w:rPr>
              <w:t>2012-13</w:t>
            </w:r>
          </w:p>
        </w:tc>
        <w:tc>
          <w:tcPr>
            <w:tcW w:w="1442" w:type="dxa"/>
            <w:tcBorders>
              <w:top w:val="single" w:sz="4" w:space="0" w:color="auto"/>
              <w:left w:val="nil"/>
              <w:right w:val="nil"/>
            </w:tcBorders>
          </w:tcPr>
          <w:p w:rsidR="006339DB" w:rsidRPr="00FA01D3" w:rsidRDefault="006339DB" w:rsidP="000A30C8">
            <w:pPr>
              <w:pStyle w:val="Heading6"/>
              <w:rPr>
                <w:rFonts w:cs="Calibri"/>
                <w:bCs/>
              </w:rPr>
            </w:pPr>
            <w:r>
              <w:rPr>
                <w:rFonts w:cs="Calibri"/>
                <w:bCs/>
              </w:rPr>
              <w:t>2013-14</w:t>
            </w:r>
          </w:p>
        </w:tc>
      </w:tr>
      <w:tr w:rsidR="006339DB" w:rsidRPr="00FA01D3" w:rsidTr="000A30C8">
        <w:trPr>
          <w:trHeight w:val="330"/>
        </w:trPr>
        <w:tc>
          <w:tcPr>
            <w:tcW w:w="5058" w:type="dxa"/>
            <w:tcBorders>
              <w:left w:val="nil"/>
              <w:bottom w:val="single" w:sz="4" w:space="0" w:color="auto"/>
              <w:right w:val="nil"/>
            </w:tcBorders>
          </w:tcPr>
          <w:p w:rsidR="006339DB" w:rsidRPr="00FA01D3" w:rsidRDefault="006339DB" w:rsidP="000A30C8">
            <w:pPr>
              <w:pStyle w:val="Heading6"/>
              <w:rPr>
                <w:rFonts w:cs="Calibri"/>
              </w:rPr>
            </w:pPr>
            <w:r w:rsidRPr="00FA01D3">
              <w:rPr>
                <w:rFonts w:cs="Calibri"/>
              </w:rPr>
              <w:t> </w:t>
            </w:r>
          </w:p>
        </w:tc>
        <w:tc>
          <w:tcPr>
            <w:tcW w:w="1428" w:type="dxa"/>
            <w:tcBorders>
              <w:left w:val="nil"/>
              <w:bottom w:val="single" w:sz="4" w:space="0" w:color="auto"/>
              <w:right w:val="nil"/>
            </w:tcBorders>
          </w:tcPr>
          <w:p w:rsidR="006339DB" w:rsidRPr="00FA01D3" w:rsidRDefault="006339DB" w:rsidP="000A30C8">
            <w:pPr>
              <w:pStyle w:val="Heading6"/>
              <w:rPr>
                <w:rFonts w:cs="Calibri"/>
                <w:bCs/>
              </w:rPr>
            </w:pPr>
            <w:r w:rsidRPr="00FA01D3">
              <w:rPr>
                <w:rFonts w:cs="Calibri"/>
                <w:bCs/>
              </w:rPr>
              <w:t>Targets</w:t>
            </w:r>
          </w:p>
        </w:tc>
        <w:tc>
          <w:tcPr>
            <w:tcW w:w="1428" w:type="dxa"/>
            <w:tcBorders>
              <w:left w:val="nil"/>
              <w:bottom w:val="single" w:sz="4" w:space="0" w:color="auto"/>
              <w:right w:val="nil"/>
            </w:tcBorders>
          </w:tcPr>
          <w:p w:rsidR="006339DB" w:rsidRPr="00FA01D3" w:rsidRDefault="006339DB" w:rsidP="000A30C8">
            <w:pPr>
              <w:pStyle w:val="Heading6"/>
              <w:rPr>
                <w:rFonts w:cs="Calibri"/>
                <w:bCs/>
              </w:rPr>
            </w:pPr>
            <w:r w:rsidRPr="00FA01D3">
              <w:rPr>
                <w:rFonts w:cs="Calibri"/>
                <w:bCs/>
              </w:rPr>
              <w:t>Est. Outcome</w:t>
            </w:r>
          </w:p>
        </w:tc>
        <w:tc>
          <w:tcPr>
            <w:tcW w:w="1442" w:type="dxa"/>
            <w:tcBorders>
              <w:left w:val="nil"/>
              <w:bottom w:val="single" w:sz="4" w:space="0" w:color="auto"/>
              <w:right w:val="nil"/>
            </w:tcBorders>
          </w:tcPr>
          <w:p w:rsidR="006339DB" w:rsidRPr="00FA01D3" w:rsidRDefault="006339DB" w:rsidP="000A30C8">
            <w:pPr>
              <w:pStyle w:val="Heading6"/>
              <w:rPr>
                <w:rFonts w:cs="Calibri"/>
                <w:bCs/>
              </w:rPr>
            </w:pPr>
            <w:r w:rsidRPr="00FA01D3">
              <w:rPr>
                <w:rFonts w:cs="Calibri"/>
                <w:bCs/>
              </w:rPr>
              <w:t>Targets</w:t>
            </w:r>
          </w:p>
        </w:tc>
      </w:tr>
      <w:tr w:rsidR="006339DB" w:rsidRPr="00FA01D3" w:rsidTr="000A30C8">
        <w:trPr>
          <w:trHeight w:val="270"/>
        </w:trPr>
        <w:tc>
          <w:tcPr>
            <w:tcW w:w="5058"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Output Class 1:  Shared Services ICT</w:t>
            </w:r>
          </w:p>
        </w:tc>
        <w:tc>
          <w:tcPr>
            <w:tcW w:w="1428"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c>
          <w:tcPr>
            <w:tcW w:w="1428"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c>
          <w:tcPr>
            <w:tcW w:w="1442"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r>
      <w:tr w:rsidR="006339DB" w:rsidRPr="00FA01D3" w:rsidTr="000A30C8">
        <w:trPr>
          <w:trHeight w:val="270"/>
        </w:trPr>
        <w:tc>
          <w:tcPr>
            <w:tcW w:w="5058"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Output 1.1:  Shared Services ICT</w:t>
            </w:r>
            <w:r>
              <w:rPr>
                <w:rFonts w:cs="Calibri"/>
                <w:vertAlign w:val="superscript"/>
              </w:rPr>
              <w:t>1</w:t>
            </w:r>
          </w:p>
        </w:tc>
        <w:tc>
          <w:tcPr>
            <w:tcW w:w="1428"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c>
          <w:tcPr>
            <w:tcW w:w="1428"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c>
          <w:tcPr>
            <w:tcW w:w="1442"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r>
      <w:tr w:rsidR="006339DB" w:rsidRPr="00FA01D3" w:rsidTr="000A30C8">
        <w:trPr>
          <w:trHeight w:val="210"/>
        </w:trPr>
        <w:tc>
          <w:tcPr>
            <w:tcW w:w="5058" w:type="dxa"/>
            <w:tcBorders>
              <w:top w:val="single" w:sz="4" w:space="0" w:color="auto"/>
              <w:left w:val="nil"/>
              <w:bottom w:val="nil"/>
              <w:right w:val="nil"/>
            </w:tcBorders>
            <w:vAlign w:val="bottom"/>
          </w:tcPr>
          <w:p w:rsidR="006339DB" w:rsidRPr="00FA01D3" w:rsidRDefault="006339DB" w:rsidP="000A30C8">
            <w:pPr>
              <w:pStyle w:val="Tabletextindenta"/>
              <w:rPr>
                <w:rFonts w:cs="Calibri"/>
                <w:szCs w:val="20"/>
              </w:rPr>
            </w:pPr>
            <w:r w:rsidRPr="002167DC">
              <w:rPr>
                <w:rFonts w:asciiTheme="minorHAnsi" w:hAnsiTheme="minorHAnsi" w:cstheme="minorHAnsi"/>
                <w:szCs w:val="20"/>
              </w:rPr>
              <w:t>Costs compared to peer organisations’ costs, as benchmarked by an independent organisation</w:t>
            </w:r>
          </w:p>
        </w:tc>
        <w:tc>
          <w:tcPr>
            <w:tcW w:w="1428" w:type="dxa"/>
            <w:tcBorders>
              <w:top w:val="single" w:sz="4" w:space="0" w:color="auto"/>
              <w:left w:val="nil"/>
              <w:bottom w:val="nil"/>
              <w:right w:val="nil"/>
            </w:tcBorders>
            <w:vAlign w:val="bottom"/>
          </w:tcPr>
          <w:p w:rsidR="006339DB" w:rsidRPr="00FA01D3" w:rsidRDefault="006339DB" w:rsidP="000A30C8">
            <w:pPr>
              <w:pStyle w:val="TableTextRight"/>
              <w:rPr>
                <w:rFonts w:cs="Calibri"/>
              </w:rPr>
            </w:pPr>
            <w:r w:rsidRPr="00FA01D3">
              <w:rPr>
                <w:rFonts w:cs="Calibri"/>
              </w:rPr>
              <w:t>Within 5%</w:t>
            </w:r>
          </w:p>
        </w:tc>
        <w:tc>
          <w:tcPr>
            <w:tcW w:w="1428" w:type="dxa"/>
            <w:tcBorders>
              <w:top w:val="single" w:sz="4" w:space="0" w:color="auto"/>
              <w:left w:val="nil"/>
              <w:bottom w:val="nil"/>
              <w:right w:val="nil"/>
            </w:tcBorders>
            <w:vAlign w:val="bottom"/>
          </w:tcPr>
          <w:p w:rsidR="006339DB" w:rsidRPr="00FA01D3" w:rsidRDefault="006339DB" w:rsidP="000A30C8">
            <w:pPr>
              <w:pStyle w:val="TableTextRight"/>
              <w:rPr>
                <w:rFonts w:cs="Calibri"/>
              </w:rPr>
            </w:pPr>
            <w:r w:rsidRPr="00FA01D3">
              <w:rPr>
                <w:rFonts w:cs="Calibri"/>
              </w:rPr>
              <w:t>Within 5%</w:t>
            </w:r>
          </w:p>
        </w:tc>
        <w:tc>
          <w:tcPr>
            <w:tcW w:w="1442" w:type="dxa"/>
            <w:tcBorders>
              <w:top w:val="single" w:sz="4" w:space="0" w:color="auto"/>
              <w:left w:val="nil"/>
              <w:bottom w:val="nil"/>
              <w:right w:val="nil"/>
            </w:tcBorders>
            <w:vAlign w:val="bottom"/>
          </w:tcPr>
          <w:p w:rsidR="006339DB" w:rsidRPr="00FA01D3" w:rsidRDefault="006339DB" w:rsidP="000A30C8">
            <w:pPr>
              <w:pStyle w:val="TableTextRight"/>
              <w:rPr>
                <w:rFonts w:cs="Calibri"/>
              </w:rPr>
            </w:pPr>
            <w:r>
              <w:t>n/a</w:t>
            </w:r>
          </w:p>
        </w:tc>
      </w:tr>
      <w:tr w:rsidR="006339DB" w:rsidRPr="00FA01D3" w:rsidTr="000A30C8">
        <w:trPr>
          <w:trHeight w:val="510"/>
        </w:trPr>
        <w:tc>
          <w:tcPr>
            <w:tcW w:w="5058" w:type="dxa"/>
            <w:tcBorders>
              <w:top w:val="nil"/>
              <w:left w:val="nil"/>
              <w:bottom w:val="nil"/>
              <w:right w:val="nil"/>
            </w:tcBorders>
            <w:vAlign w:val="bottom"/>
          </w:tcPr>
          <w:p w:rsidR="006339DB" w:rsidRPr="00FA01D3" w:rsidRDefault="006339DB" w:rsidP="000A30C8">
            <w:pPr>
              <w:pStyle w:val="Tabletextindenta"/>
              <w:rPr>
                <w:rFonts w:cs="Calibri"/>
                <w:szCs w:val="20"/>
              </w:rPr>
            </w:pPr>
            <w:r w:rsidRPr="00FA01D3">
              <w:rPr>
                <w:rFonts w:cs="Calibri"/>
                <w:szCs w:val="20"/>
              </w:rPr>
              <w:t>Email availability across government during core business hours</w:t>
            </w:r>
            <w:r>
              <w:rPr>
                <w:rFonts w:cs="Calibri"/>
                <w:szCs w:val="20"/>
                <w:vertAlign w:val="superscript"/>
              </w:rPr>
              <w:t>2</w:t>
            </w:r>
          </w:p>
        </w:tc>
        <w:tc>
          <w:tcPr>
            <w:tcW w:w="1428" w:type="dxa"/>
            <w:tcBorders>
              <w:top w:val="nil"/>
              <w:left w:val="nil"/>
              <w:bottom w:val="nil"/>
              <w:right w:val="nil"/>
            </w:tcBorders>
            <w:vAlign w:val="bottom"/>
          </w:tcPr>
          <w:p w:rsidR="006339DB" w:rsidRPr="00FA01D3" w:rsidRDefault="006339DB" w:rsidP="000A30C8">
            <w:pPr>
              <w:pStyle w:val="TableTextRight"/>
              <w:rPr>
                <w:rFonts w:cs="Calibri"/>
              </w:rPr>
            </w:pPr>
            <w:r w:rsidRPr="00FA01D3">
              <w:rPr>
                <w:rFonts w:cs="Calibri"/>
              </w:rPr>
              <w:t>99%</w:t>
            </w:r>
          </w:p>
        </w:tc>
        <w:tc>
          <w:tcPr>
            <w:tcW w:w="1428" w:type="dxa"/>
            <w:tcBorders>
              <w:top w:val="nil"/>
              <w:left w:val="nil"/>
              <w:bottom w:val="nil"/>
              <w:right w:val="nil"/>
            </w:tcBorders>
            <w:vAlign w:val="bottom"/>
          </w:tcPr>
          <w:p w:rsidR="006339DB" w:rsidRPr="00FA01D3" w:rsidRDefault="006339DB" w:rsidP="000A30C8">
            <w:pPr>
              <w:pStyle w:val="TableTextRight"/>
              <w:rPr>
                <w:rFonts w:cs="Calibri"/>
              </w:rPr>
            </w:pPr>
            <w:r w:rsidRPr="00FA01D3">
              <w:rPr>
                <w:rFonts w:cs="Calibri"/>
              </w:rPr>
              <w:t>99%</w:t>
            </w:r>
          </w:p>
        </w:tc>
        <w:tc>
          <w:tcPr>
            <w:tcW w:w="1442" w:type="dxa"/>
            <w:tcBorders>
              <w:top w:val="nil"/>
              <w:left w:val="nil"/>
              <w:bottom w:val="nil"/>
              <w:right w:val="nil"/>
            </w:tcBorders>
            <w:vAlign w:val="bottom"/>
          </w:tcPr>
          <w:p w:rsidR="006339DB" w:rsidRPr="00FA01D3" w:rsidRDefault="006339DB" w:rsidP="000A30C8">
            <w:pPr>
              <w:pStyle w:val="TableTextRight"/>
              <w:rPr>
                <w:rFonts w:cs="Calibri"/>
              </w:rPr>
            </w:pPr>
            <w:r>
              <w:t>n/a</w:t>
            </w:r>
          </w:p>
        </w:tc>
      </w:tr>
      <w:tr w:rsidR="006339DB" w:rsidRPr="00FA01D3" w:rsidTr="000A30C8">
        <w:trPr>
          <w:trHeight w:val="510"/>
        </w:trPr>
        <w:tc>
          <w:tcPr>
            <w:tcW w:w="5058" w:type="dxa"/>
            <w:tcBorders>
              <w:top w:val="nil"/>
              <w:left w:val="nil"/>
              <w:bottom w:val="nil"/>
              <w:right w:val="nil"/>
            </w:tcBorders>
          </w:tcPr>
          <w:p w:rsidR="006339DB" w:rsidRPr="00FA01D3" w:rsidRDefault="006339DB" w:rsidP="000A30C8">
            <w:pPr>
              <w:pStyle w:val="Tabletextindenta"/>
              <w:rPr>
                <w:rFonts w:cs="Calibri"/>
                <w:szCs w:val="20"/>
              </w:rPr>
            </w:pPr>
            <w:r w:rsidRPr="00FA01D3">
              <w:rPr>
                <w:rFonts w:cs="Calibri"/>
                <w:szCs w:val="20"/>
              </w:rPr>
              <w:t>Service requests made via the Service Desk are resolved within Service Level Agreements timeframes</w:t>
            </w:r>
            <w:r>
              <w:rPr>
                <w:rFonts w:cs="Calibri"/>
                <w:szCs w:val="20"/>
                <w:vertAlign w:val="superscript"/>
              </w:rPr>
              <w:t>3</w:t>
            </w:r>
          </w:p>
        </w:tc>
        <w:tc>
          <w:tcPr>
            <w:tcW w:w="1428" w:type="dxa"/>
            <w:tcBorders>
              <w:top w:val="nil"/>
              <w:left w:val="nil"/>
              <w:bottom w:val="nil"/>
              <w:right w:val="nil"/>
            </w:tcBorders>
            <w:vAlign w:val="bottom"/>
          </w:tcPr>
          <w:p w:rsidR="006339DB" w:rsidRPr="00FA01D3" w:rsidRDefault="006339DB" w:rsidP="000A30C8">
            <w:pPr>
              <w:pStyle w:val="TableTextRight"/>
              <w:rPr>
                <w:rFonts w:cs="Calibri"/>
              </w:rPr>
            </w:pPr>
            <w:r>
              <w:rPr>
                <w:rFonts w:cs="Calibri"/>
              </w:rPr>
              <w:t>90</w:t>
            </w:r>
            <w:r w:rsidRPr="00FA01D3">
              <w:rPr>
                <w:rFonts w:cs="Calibri"/>
              </w:rPr>
              <w:t>%</w:t>
            </w:r>
          </w:p>
        </w:tc>
        <w:tc>
          <w:tcPr>
            <w:tcW w:w="1428" w:type="dxa"/>
            <w:tcBorders>
              <w:top w:val="nil"/>
              <w:left w:val="nil"/>
              <w:bottom w:val="nil"/>
              <w:right w:val="nil"/>
            </w:tcBorders>
            <w:vAlign w:val="bottom"/>
          </w:tcPr>
          <w:p w:rsidR="006339DB" w:rsidRPr="00FA01D3" w:rsidRDefault="006339DB" w:rsidP="000A30C8">
            <w:pPr>
              <w:pStyle w:val="TableTextRight"/>
              <w:rPr>
                <w:rFonts w:cs="Calibri"/>
              </w:rPr>
            </w:pPr>
            <w:r>
              <w:rPr>
                <w:rFonts w:cs="Calibri"/>
              </w:rPr>
              <w:t>90</w:t>
            </w:r>
            <w:r w:rsidRPr="00FA01D3">
              <w:rPr>
                <w:rFonts w:cs="Calibri"/>
              </w:rPr>
              <w:t>%</w:t>
            </w:r>
          </w:p>
        </w:tc>
        <w:tc>
          <w:tcPr>
            <w:tcW w:w="1442" w:type="dxa"/>
            <w:tcBorders>
              <w:top w:val="nil"/>
              <w:left w:val="nil"/>
              <w:bottom w:val="nil"/>
              <w:right w:val="nil"/>
            </w:tcBorders>
            <w:vAlign w:val="bottom"/>
          </w:tcPr>
          <w:p w:rsidR="006339DB" w:rsidRPr="00FA01D3" w:rsidRDefault="006339DB" w:rsidP="000A30C8">
            <w:pPr>
              <w:pStyle w:val="TableTextRight"/>
              <w:rPr>
                <w:rFonts w:cs="Calibri"/>
                <w:highlight w:val="yellow"/>
              </w:rPr>
            </w:pPr>
            <w:r>
              <w:t>n/a</w:t>
            </w:r>
          </w:p>
        </w:tc>
      </w:tr>
      <w:tr w:rsidR="006339DB" w:rsidRPr="00FA01D3" w:rsidTr="000A30C8">
        <w:trPr>
          <w:trHeight w:hRule="exact" w:val="539"/>
        </w:trPr>
        <w:tc>
          <w:tcPr>
            <w:tcW w:w="5058" w:type="dxa"/>
            <w:tcBorders>
              <w:top w:val="nil"/>
              <w:left w:val="nil"/>
              <w:right w:val="nil"/>
            </w:tcBorders>
          </w:tcPr>
          <w:p w:rsidR="006339DB" w:rsidRPr="00FA01D3" w:rsidRDefault="006339DB" w:rsidP="000A30C8">
            <w:pPr>
              <w:pStyle w:val="Tabletextindenta"/>
              <w:rPr>
                <w:rFonts w:cs="Calibri"/>
                <w:szCs w:val="20"/>
              </w:rPr>
            </w:pPr>
            <w:r w:rsidRPr="00FA01D3">
              <w:rPr>
                <w:rFonts w:cs="Calibri"/>
                <w:szCs w:val="20"/>
              </w:rPr>
              <w:t>Average time taken for telephone service requests to be answered by a Service Desk officer</w:t>
            </w:r>
          </w:p>
          <w:p w:rsidR="006339DB" w:rsidRPr="00FA01D3" w:rsidRDefault="006339DB" w:rsidP="000A30C8">
            <w:pPr>
              <w:pStyle w:val="Tabletextindenta"/>
              <w:rPr>
                <w:rFonts w:cs="Calibri"/>
                <w:szCs w:val="20"/>
              </w:rPr>
            </w:pPr>
          </w:p>
        </w:tc>
        <w:tc>
          <w:tcPr>
            <w:tcW w:w="1428" w:type="dxa"/>
            <w:tcBorders>
              <w:top w:val="nil"/>
              <w:left w:val="nil"/>
              <w:right w:val="nil"/>
            </w:tcBorders>
            <w:vAlign w:val="bottom"/>
          </w:tcPr>
          <w:p w:rsidR="006339DB" w:rsidRPr="00FA01D3" w:rsidRDefault="006339DB" w:rsidP="000A30C8">
            <w:pPr>
              <w:pStyle w:val="TableTextRight"/>
              <w:rPr>
                <w:rFonts w:cs="Calibri"/>
              </w:rPr>
            </w:pPr>
          </w:p>
          <w:p w:rsidR="006339DB" w:rsidRPr="00FA01D3" w:rsidRDefault="006339DB" w:rsidP="000A30C8">
            <w:pPr>
              <w:pStyle w:val="TableTextRight"/>
              <w:rPr>
                <w:rFonts w:cs="Calibri"/>
              </w:rPr>
            </w:pPr>
            <w:r w:rsidRPr="00FA01D3">
              <w:rPr>
                <w:rFonts w:cs="Calibri"/>
              </w:rPr>
              <w:t>20 seconds</w:t>
            </w:r>
          </w:p>
          <w:p w:rsidR="006339DB" w:rsidRPr="00FA01D3" w:rsidRDefault="006339DB" w:rsidP="000A30C8">
            <w:pPr>
              <w:pStyle w:val="TableTextRight"/>
              <w:rPr>
                <w:rFonts w:cs="Calibri"/>
              </w:rPr>
            </w:pPr>
          </w:p>
          <w:p w:rsidR="006339DB" w:rsidRPr="00FA01D3" w:rsidRDefault="006339DB" w:rsidP="000A30C8">
            <w:pPr>
              <w:pStyle w:val="TableTextRight"/>
              <w:rPr>
                <w:rFonts w:cs="Calibri"/>
              </w:rPr>
            </w:pPr>
          </w:p>
        </w:tc>
        <w:tc>
          <w:tcPr>
            <w:tcW w:w="1428" w:type="dxa"/>
            <w:tcBorders>
              <w:top w:val="nil"/>
              <w:left w:val="nil"/>
              <w:right w:val="nil"/>
            </w:tcBorders>
            <w:vAlign w:val="bottom"/>
          </w:tcPr>
          <w:p w:rsidR="006339DB" w:rsidRPr="00FA01D3" w:rsidRDefault="006339DB" w:rsidP="000A30C8">
            <w:pPr>
              <w:pStyle w:val="TableTextRight"/>
              <w:rPr>
                <w:rFonts w:cs="Calibri"/>
              </w:rPr>
            </w:pPr>
          </w:p>
          <w:p w:rsidR="006339DB" w:rsidRPr="00FA01D3" w:rsidRDefault="006339DB" w:rsidP="000A30C8">
            <w:pPr>
              <w:pStyle w:val="TableTextRight"/>
              <w:ind w:left="0" w:firstLine="0"/>
              <w:rPr>
                <w:rFonts w:cs="Calibri"/>
              </w:rPr>
            </w:pPr>
            <w:r w:rsidRPr="00FA01D3">
              <w:rPr>
                <w:rFonts w:cs="Calibri"/>
              </w:rPr>
              <w:t>20 seconds</w:t>
            </w:r>
          </w:p>
          <w:p w:rsidR="006339DB" w:rsidRPr="00FA01D3" w:rsidRDefault="006339DB" w:rsidP="000A30C8">
            <w:pPr>
              <w:pStyle w:val="TableTextRight"/>
              <w:rPr>
                <w:rFonts w:cs="Calibri"/>
              </w:rPr>
            </w:pPr>
          </w:p>
        </w:tc>
        <w:tc>
          <w:tcPr>
            <w:tcW w:w="1442" w:type="dxa"/>
            <w:tcBorders>
              <w:top w:val="nil"/>
              <w:left w:val="nil"/>
              <w:right w:val="nil"/>
            </w:tcBorders>
            <w:vAlign w:val="bottom"/>
          </w:tcPr>
          <w:p w:rsidR="006339DB" w:rsidRPr="00FA01D3" w:rsidRDefault="006339DB" w:rsidP="000A30C8">
            <w:pPr>
              <w:pStyle w:val="TableTextRight"/>
              <w:rPr>
                <w:rFonts w:cs="Calibri"/>
              </w:rPr>
            </w:pPr>
          </w:p>
          <w:p w:rsidR="006339DB" w:rsidRPr="00FA01D3" w:rsidRDefault="006339DB" w:rsidP="000A30C8">
            <w:pPr>
              <w:pStyle w:val="TableTextRight"/>
              <w:rPr>
                <w:rFonts w:cs="Calibri"/>
              </w:rPr>
            </w:pPr>
            <w:r>
              <w:t>n/a</w:t>
            </w:r>
          </w:p>
          <w:p w:rsidR="006339DB" w:rsidRPr="00FA01D3" w:rsidRDefault="006339DB" w:rsidP="000A30C8">
            <w:pPr>
              <w:pStyle w:val="TableTextRight"/>
              <w:rPr>
                <w:rFonts w:cs="Calibri"/>
              </w:rPr>
            </w:pPr>
          </w:p>
        </w:tc>
      </w:tr>
      <w:tr w:rsidR="006339DB" w:rsidRPr="00FA01D3" w:rsidTr="000A30C8">
        <w:trPr>
          <w:trHeight w:val="558"/>
        </w:trPr>
        <w:tc>
          <w:tcPr>
            <w:tcW w:w="5058" w:type="dxa"/>
            <w:tcBorders>
              <w:top w:val="nil"/>
              <w:left w:val="nil"/>
              <w:bottom w:val="single" w:sz="4" w:space="0" w:color="auto"/>
              <w:right w:val="nil"/>
            </w:tcBorders>
          </w:tcPr>
          <w:p w:rsidR="006339DB" w:rsidRPr="00FA01D3" w:rsidRDefault="006339DB" w:rsidP="000A30C8">
            <w:pPr>
              <w:pStyle w:val="Tabletextindenta"/>
              <w:rPr>
                <w:rFonts w:cs="Calibri"/>
                <w:szCs w:val="20"/>
              </w:rPr>
            </w:pPr>
            <w:r w:rsidRPr="00FA01D3">
              <w:rPr>
                <w:rFonts w:cs="Calibri"/>
                <w:szCs w:val="20"/>
              </w:rPr>
              <w:t>Number of successful attacks on internally hosted ACT Government web sites</w:t>
            </w:r>
          </w:p>
        </w:tc>
        <w:tc>
          <w:tcPr>
            <w:tcW w:w="1428" w:type="dxa"/>
            <w:tcBorders>
              <w:top w:val="nil"/>
              <w:left w:val="nil"/>
              <w:bottom w:val="single" w:sz="4" w:space="0" w:color="auto"/>
              <w:right w:val="nil"/>
            </w:tcBorders>
            <w:vAlign w:val="center"/>
          </w:tcPr>
          <w:p w:rsidR="006339DB" w:rsidRPr="00FA01D3" w:rsidRDefault="006339DB" w:rsidP="000A30C8">
            <w:pPr>
              <w:pStyle w:val="TableTextRight"/>
              <w:rPr>
                <w:rFonts w:cs="Calibri"/>
              </w:rPr>
            </w:pPr>
            <w:r w:rsidRPr="00FA01D3">
              <w:rPr>
                <w:rFonts w:cs="Calibri"/>
              </w:rPr>
              <w:t>0</w:t>
            </w:r>
          </w:p>
        </w:tc>
        <w:tc>
          <w:tcPr>
            <w:tcW w:w="1428" w:type="dxa"/>
            <w:tcBorders>
              <w:top w:val="nil"/>
              <w:left w:val="nil"/>
              <w:bottom w:val="single" w:sz="4" w:space="0" w:color="auto"/>
              <w:right w:val="nil"/>
            </w:tcBorders>
            <w:vAlign w:val="center"/>
          </w:tcPr>
          <w:p w:rsidR="006339DB" w:rsidRPr="00FA01D3" w:rsidRDefault="006339DB" w:rsidP="000A30C8">
            <w:pPr>
              <w:pStyle w:val="TableTextRight"/>
              <w:rPr>
                <w:rFonts w:cs="Calibri"/>
              </w:rPr>
            </w:pPr>
            <w:r w:rsidRPr="00FA01D3">
              <w:rPr>
                <w:rFonts w:cs="Calibri"/>
              </w:rPr>
              <w:t>0</w:t>
            </w:r>
          </w:p>
        </w:tc>
        <w:tc>
          <w:tcPr>
            <w:tcW w:w="1442" w:type="dxa"/>
            <w:tcBorders>
              <w:top w:val="nil"/>
              <w:left w:val="nil"/>
              <w:bottom w:val="single" w:sz="4" w:space="0" w:color="auto"/>
              <w:right w:val="nil"/>
            </w:tcBorders>
            <w:vAlign w:val="center"/>
          </w:tcPr>
          <w:p w:rsidR="006339DB" w:rsidRPr="00FA01D3" w:rsidRDefault="006339DB" w:rsidP="000A30C8">
            <w:pPr>
              <w:pStyle w:val="TableTextRight"/>
              <w:rPr>
                <w:rFonts w:cs="Calibri"/>
              </w:rPr>
            </w:pPr>
            <w:r>
              <w:t>n/a</w:t>
            </w:r>
            <w:r w:rsidRPr="00FA01D3">
              <w:rPr>
                <w:rFonts w:cs="Calibri"/>
              </w:rPr>
              <w:t xml:space="preserve"> </w:t>
            </w:r>
          </w:p>
        </w:tc>
      </w:tr>
    </w:tbl>
    <w:p w:rsidR="006339DB" w:rsidRDefault="006339DB" w:rsidP="006339DB">
      <w:pPr>
        <w:pStyle w:val="NoteHeading"/>
        <w:spacing w:before="40"/>
      </w:pPr>
      <w:r>
        <w:t>Notes:</w:t>
      </w:r>
    </w:p>
    <w:p w:rsidR="006339DB" w:rsidRPr="00867048" w:rsidRDefault="006339DB" w:rsidP="006339DB">
      <w:pPr>
        <w:pStyle w:val="AINotes"/>
        <w:numPr>
          <w:ilvl w:val="0"/>
          <w:numId w:val="27"/>
        </w:numPr>
      </w:pPr>
      <w:r>
        <w:t>These indicators have</w:t>
      </w:r>
      <w:r w:rsidRPr="007C47E5">
        <w:t xml:space="preserve"> been transferred to the </w:t>
      </w:r>
      <w:r w:rsidRPr="00146B06">
        <w:rPr>
          <w:bCs/>
        </w:rPr>
        <w:t>Commerce and Works</w:t>
      </w:r>
      <w:r w:rsidRPr="00146B06">
        <w:rPr>
          <w:b/>
          <w:bCs/>
        </w:rPr>
        <w:t xml:space="preserve"> </w:t>
      </w:r>
      <w:r w:rsidRPr="007C47E5">
        <w:t xml:space="preserve">Directorate and are reported as Output Class 2.1 </w:t>
      </w:r>
      <w:r w:rsidRPr="00146B06">
        <w:rPr>
          <w:color w:val="000000"/>
        </w:rPr>
        <w:t>Shared Services ICT</w:t>
      </w:r>
      <w:r w:rsidRPr="007C47E5">
        <w:t>.</w:t>
      </w:r>
    </w:p>
    <w:p w:rsidR="006339DB" w:rsidRDefault="006339DB" w:rsidP="006339DB">
      <w:pPr>
        <w:pStyle w:val="AINotes"/>
        <w:numPr>
          <w:ilvl w:val="0"/>
          <w:numId w:val="27"/>
        </w:numPr>
      </w:pPr>
      <w:r w:rsidRPr="00BD6205">
        <w:t>Established by determining up-time of each core component of the network across core business hour</w:t>
      </w:r>
      <w:r>
        <w:t xml:space="preserve">s (Monday to Friday 8am to 6pm).  </w:t>
      </w:r>
    </w:p>
    <w:p w:rsidR="006339DB" w:rsidRDefault="006339DB" w:rsidP="006339DB">
      <w:pPr>
        <w:pStyle w:val="AINotes"/>
        <w:spacing w:after="40"/>
      </w:pPr>
      <w:r w:rsidRPr="00BD6205">
        <w:t>Established by determining how quickly requests made to ICT Service Desk are resolved in comparison to agreed Serv</w:t>
      </w:r>
      <w:r>
        <w:t>ice Level Agreement timeframes.</w:t>
      </w:r>
    </w:p>
    <w:p w:rsidR="006339DB" w:rsidRPr="009F0E89" w:rsidRDefault="006339DB" w:rsidP="006339DB">
      <w:pPr>
        <w:rPr>
          <w:sz w:val="20"/>
        </w:rPr>
      </w:pPr>
    </w:p>
    <w:tbl>
      <w:tblPr>
        <w:tblW w:w="9356" w:type="dxa"/>
        <w:tblLook w:val="0000"/>
      </w:tblPr>
      <w:tblGrid>
        <w:gridCol w:w="5066"/>
        <w:gridCol w:w="1430"/>
        <w:gridCol w:w="1430"/>
        <w:gridCol w:w="1430"/>
      </w:tblGrid>
      <w:tr w:rsidR="006339DB" w:rsidRPr="00FA01D3" w:rsidTr="000A30C8">
        <w:trPr>
          <w:trHeight w:val="315"/>
        </w:trPr>
        <w:tc>
          <w:tcPr>
            <w:tcW w:w="5063" w:type="dxa"/>
            <w:tcBorders>
              <w:top w:val="single" w:sz="4" w:space="0" w:color="auto"/>
              <w:left w:val="nil"/>
              <w:bottom w:val="nil"/>
              <w:right w:val="nil"/>
            </w:tcBorders>
          </w:tcPr>
          <w:p w:rsidR="006339DB" w:rsidRPr="00FA01D3" w:rsidRDefault="006339DB" w:rsidP="000A30C8">
            <w:pPr>
              <w:tabs>
                <w:tab w:val="left" w:pos="330"/>
              </w:tabs>
              <w:rPr>
                <w:rFonts w:cs="Calibri"/>
                <w:sz w:val="20"/>
              </w:rPr>
            </w:pPr>
            <w:r w:rsidRPr="00FA01D3">
              <w:rPr>
                <w:rFonts w:cs="Calibri"/>
                <w:sz w:val="20"/>
              </w:rPr>
              <w:t> </w:t>
            </w:r>
          </w:p>
        </w:tc>
        <w:tc>
          <w:tcPr>
            <w:tcW w:w="1429" w:type="dxa"/>
            <w:tcBorders>
              <w:top w:val="single" w:sz="4" w:space="0" w:color="auto"/>
              <w:left w:val="nil"/>
              <w:bottom w:val="nil"/>
              <w:right w:val="nil"/>
            </w:tcBorders>
          </w:tcPr>
          <w:p w:rsidR="006339DB" w:rsidRPr="00FA01D3" w:rsidRDefault="006339DB" w:rsidP="000A30C8">
            <w:pPr>
              <w:pStyle w:val="Heading6"/>
              <w:rPr>
                <w:rFonts w:cs="Calibri"/>
                <w:bCs/>
              </w:rPr>
            </w:pPr>
            <w:r>
              <w:rPr>
                <w:rFonts w:cs="Calibri"/>
                <w:bCs/>
              </w:rPr>
              <w:t>2012-13</w:t>
            </w:r>
          </w:p>
        </w:tc>
        <w:tc>
          <w:tcPr>
            <w:tcW w:w="1429" w:type="dxa"/>
            <w:tcBorders>
              <w:top w:val="single" w:sz="4" w:space="0" w:color="auto"/>
              <w:left w:val="nil"/>
              <w:bottom w:val="nil"/>
              <w:right w:val="nil"/>
            </w:tcBorders>
          </w:tcPr>
          <w:p w:rsidR="006339DB" w:rsidRPr="00FA01D3" w:rsidRDefault="006339DB" w:rsidP="000A30C8">
            <w:pPr>
              <w:pStyle w:val="Heading6"/>
              <w:rPr>
                <w:rFonts w:cs="Calibri"/>
                <w:bCs/>
              </w:rPr>
            </w:pPr>
            <w:r>
              <w:rPr>
                <w:rFonts w:cs="Calibri"/>
                <w:bCs/>
              </w:rPr>
              <w:t>2012-13</w:t>
            </w:r>
          </w:p>
        </w:tc>
        <w:tc>
          <w:tcPr>
            <w:tcW w:w="1429" w:type="dxa"/>
            <w:tcBorders>
              <w:top w:val="single" w:sz="4" w:space="0" w:color="auto"/>
              <w:left w:val="nil"/>
              <w:bottom w:val="nil"/>
              <w:right w:val="nil"/>
            </w:tcBorders>
          </w:tcPr>
          <w:p w:rsidR="006339DB" w:rsidRPr="00FA01D3" w:rsidRDefault="006339DB" w:rsidP="000A30C8">
            <w:pPr>
              <w:pStyle w:val="Heading6"/>
              <w:rPr>
                <w:rFonts w:cs="Calibri"/>
                <w:bCs/>
              </w:rPr>
            </w:pPr>
            <w:r>
              <w:rPr>
                <w:rFonts w:cs="Calibri"/>
                <w:bCs/>
              </w:rPr>
              <w:t>2013-14</w:t>
            </w:r>
          </w:p>
        </w:tc>
      </w:tr>
      <w:tr w:rsidR="006339DB" w:rsidRPr="00FA01D3" w:rsidTr="000A30C8">
        <w:trPr>
          <w:trHeight w:val="330"/>
        </w:trPr>
        <w:tc>
          <w:tcPr>
            <w:tcW w:w="5063" w:type="dxa"/>
            <w:tcBorders>
              <w:top w:val="nil"/>
              <w:left w:val="nil"/>
              <w:bottom w:val="single" w:sz="4" w:space="0" w:color="auto"/>
              <w:right w:val="nil"/>
            </w:tcBorders>
          </w:tcPr>
          <w:p w:rsidR="006339DB" w:rsidRPr="00FA01D3" w:rsidRDefault="006339DB" w:rsidP="000A30C8">
            <w:pPr>
              <w:rPr>
                <w:rFonts w:cs="Calibri"/>
                <w:sz w:val="20"/>
              </w:rPr>
            </w:pPr>
            <w:r w:rsidRPr="00FA01D3">
              <w:rPr>
                <w:rFonts w:cs="Calibri"/>
                <w:sz w:val="20"/>
              </w:rPr>
              <w:t> </w:t>
            </w:r>
          </w:p>
        </w:tc>
        <w:tc>
          <w:tcPr>
            <w:tcW w:w="1429" w:type="dxa"/>
            <w:tcBorders>
              <w:top w:val="nil"/>
              <w:left w:val="nil"/>
              <w:bottom w:val="single" w:sz="4" w:space="0" w:color="auto"/>
              <w:right w:val="nil"/>
            </w:tcBorders>
          </w:tcPr>
          <w:p w:rsidR="006339DB" w:rsidRPr="00FA01D3" w:rsidRDefault="006339DB" w:rsidP="000A30C8">
            <w:pPr>
              <w:pStyle w:val="Heading6"/>
              <w:rPr>
                <w:rFonts w:cs="Calibri"/>
              </w:rPr>
            </w:pPr>
            <w:r w:rsidRPr="00FA01D3">
              <w:rPr>
                <w:rFonts w:cs="Calibri"/>
              </w:rPr>
              <w:t>Targets</w:t>
            </w:r>
          </w:p>
        </w:tc>
        <w:tc>
          <w:tcPr>
            <w:tcW w:w="1429" w:type="dxa"/>
            <w:tcBorders>
              <w:top w:val="nil"/>
              <w:left w:val="nil"/>
              <w:bottom w:val="single" w:sz="4" w:space="0" w:color="auto"/>
              <w:right w:val="nil"/>
            </w:tcBorders>
          </w:tcPr>
          <w:p w:rsidR="006339DB" w:rsidRPr="00FA01D3" w:rsidRDefault="006339DB" w:rsidP="000A30C8">
            <w:pPr>
              <w:pStyle w:val="Heading6"/>
              <w:rPr>
                <w:rFonts w:cs="Calibri"/>
              </w:rPr>
            </w:pPr>
            <w:r w:rsidRPr="00FA01D3">
              <w:rPr>
                <w:rFonts w:cs="Calibri"/>
              </w:rPr>
              <w:t>Est. Outcome</w:t>
            </w:r>
          </w:p>
        </w:tc>
        <w:tc>
          <w:tcPr>
            <w:tcW w:w="1429" w:type="dxa"/>
            <w:tcBorders>
              <w:top w:val="nil"/>
              <w:left w:val="nil"/>
              <w:bottom w:val="single" w:sz="4" w:space="0" w:color="auto"/>
              <w:right w:val="nil"/>
            </w:tcBorders>
          </w:tcPr>
          <w:p w:rsidR="006339DB" w:rsidRPr="00FA01D3" w:rsidRDefault="006339DB" w:rsidP="000A30C8">
            <w:pPr>
              <w:pStyle w:val="Heading6"/>
              <w:rPr>
                <w:rFonts w:cs="Calibri"/>
              </w:rPr>
            </w:pPr>
            <w:r w:rsidRPr="00FA01D3">
              <w:rPr>
                <w:rFonts w:cs="Calibri"/>
              </w:rPr>
              <w:t>Targets</w:t>
            </w:r>
          </w:p>
        </w:tc>
      </w:tr>
      <w:tr w:rsidR="006339DB" w:rsidRPr="00FA01D3" w:rsidTr="000A30C8">
        <w:trPr>
          <w:trHeight w:val="270"/>
        </w:trPr>
        <w:tc>
          <w:tcPr>
            <w:tcW w:w="5063"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xml:space="preserve">Output Class 2:  Shared Services Procurement </w:t>
            </w:r>
          </w:p>
        </w:tc>
        <w:tc>
          <w:tcPr>
            <w:tcW w:w="1429"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c>
          <w:tcPr>
            <w:tcW w:w="1429"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c>
          <w:tcPr>
            <w:tcW w:w="1429"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r>
      <w:tr w:rsidR="006339DB" w:rsidRPr="00FA01D3" w:rsidTr="000A30C8">
        <w:trPr>
          <w:trHeight w:val="270"/>
        </w:trPr>
        <w:tc>
          <w:tcPr>
            <w:tcW w:w="5063"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Output 2.1:  Shared Services Procurement</w:t>
            </w:r>
            <w:r>
              <w:rPr>
                <w:rFonts w:cs="Calibri"/>
                <w:vertAlign w:val="superscript"/>
              </w:rPr>
              <w:t>1</w:t>
            </w:r>
          </w:p>
        </w:tc>
        <w:tc>
          <w:tcPr>
            <w:tcW w:w="1429"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c>
          <w:tcPr>
            <w:tcW w:w="1429"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c>
          <w:tcPr>
            <w:tcW w:w="1429"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r>
      <w:tr w:rsidR="006339DB" w:rsidRPr="00FA01D3" w:rsidTr="000A30C8">
        <w:trPr>
          <w:trHeight w:val="434"/>
        </w:trPr>
        <w:tc>
          <w:tcPr>
            <w:tcW w:w="5063" w:type="dxa"/>
            <w:tcBorders>
              <w:top w:val="single" w:sz="4" w:space="0" w:color="auto"/>
              <w:left w:val="nil"/>
              <w:right w:val="nil"/>
            </w:tcBorders>
            <w:vAlign w:val="bottom"/>
          </w:tcPr>
          <w:p w:rsidR="006339DB" w:rsidRPr="00FA01D3" w:rsidRDefault="006339DB" w:rsidP="000A30C8">
            <w:pPr>
              <w:pStyle w:val="TableTextIndent"/>
              <w:rPr>
                <w:rFonts w:cs="Calibri"/>
                <w:szCs w:val="20"/>
              </w:rPr>
            </w:pPr>
            <w:r w:rsidRPr="00FA01D3">
              <w:rPr>
                <w:rFonts w:cs="Calibri"/>
                <w:szCs w:val="20"/>
              </w:rPr>
              <w:t>Proportion of Government funded annual capital works program supported with project procurement services</w:t>
            </w:r>
            <w:r>
              <w:rPr>
                <w:rFonts w:cs="Calibri"/>
                <w:szCs w:val="20"/>
                <w:vertAlign w:val="superscript"/>
              </w:rPr>
              <w:t>2</w:t>
            </w:r>
          </w:p>
        </w:tc>
        <w:tc>
          <w:tcPr>
            <w:tcW w:w="1429" w:type="dxa"/>
            <w:tcBorders>
              <w:top w:val="single" w:sz="4" w:space="0" w:color="auto"/>
              <w:left w:val="nil"/>
              <w:right w:val="nil"/>
            </w:tcBorders>
            <w:vAlign w:val="bottom"/>
          </w:tcPr>
          <w:p w:rsidR="006339DB" w:rsidRPr="00FA01D3" w:rsidRDefault="006339DB" w:rsidP="000A30C8">
            <w:pPr>
              <w:pStyle w:val="TableTextRight"/>
              <w:rPr>
                <w:rFonts w:cs="Calibri"/>
              </w:rPr>
            </w:pPr>
            <w:r w:rsidRPr="00FA01D3">
              <w:rPr>
                <w:rFonts w:cs="Calibri"/>
              </w:rPr>
              <w:t>90%</w:t>
            </w:r>
          </w:p>
        </w:tc>
        <w:tc>
          <w:tcPr>
            <w:tcW w:w="1429" w:type="dxa"/>
            <w:tcBorders>
              <w:top w:val="single" w:sz="4" w:space="0" w:color="auto"/>
              <w:left w:val="nil"/>
              <w:right w:val="nil"/>
            </w:tcBorders>
            <w:vAlign w:val="bottom"/>
          </w:tcPr>
          <w:p w:rsidR="006339DB" w:rsidRPr="00FA01D3" w:rsidRDefault="006339DB" w:rsidP="000A30C8">
            <w:pPr>
              <w:pStyle w:val="TableTextRight"/>
              <w:rPr>
                <w:rFonts w:cs="Calibri"/>
              </w:rPr>
            </w:pPr>
            <w:r w:rsidRPr="00FA01D3">
              <w:rPr>
                <w:rFonts w:cs="Calibri"/>
              </w:rPr>
              <w:t>90%</w:t>
            </w:r>
          </w:p>
        </w:tc>
        <w:tc>
          <w:tcPr>
            <w:tcW w:w="1429" w:type="dxa"/>
            <w:tcBorders>
              <w:top w:val="single" w:sz="4" w:space="0" w:color="auto"/>
              <w:left w:val="nil"/>
              <w:right w:val="nil"/>
            </w:tcBorders>
            <w:vAlign w:val="bottom"/>
          </w:tcPr>
          <w:p w:rsidR="006339DB" w:rsidRPr="00FA01D3" w:rsidRDefault="006339DB" w:rsidP="000A30C8">
            <w:pPr>
              <w:pStyle w:val="TableTextRight"/>
              <w:rPr>
                <w:rFonts w:cs="Calibri"/>
              </w:rPr>
            </w:pPr>
            <w:r>
              <w:t>n/a</w:t>
            </w:r>
          </w:p>
        </w:tc>
      </w:tr>
      <w:tr w:rsidR="006339DB" w:rsidRPr="00FA01D3" w:rsidTr="000A30C8">
        <w:trPr>
          <w:trHeight w:val="340"/>
        </w:trPr>
        <w:tc>
          <w:tcPr>
            <w:tcW w:w="5063" w:type="dxa"/>
            <w:tcBorders>
              <w:top w:val="nil"/>
              <w:left w:val="nil"/>
              <w:bottom w:val="single" w:sz="4" w:space="0" w:color="auto"/>
              <w:right w:val="nil"/>
            </w:tcBorders>
            <w:vAlign w:val="bottom"/>
          </w:tcPr>
          <w:p w:rsidR="006339DB" w:rsidRPr="00FA01D3" w:rsidRDefault="006339DB" w:rsidP="000A30C8">
            <w:pPr>
              <w:pStyle w:val="TableTextIndent"/>
              <w:rPr>
                <w:rFonts w:cs="Calibri"/>
                <w:szCs w:val="20"/>
              </w:rPr>
            </w:pPr>
            <w:r w:rsidRPr="00FA01D3">
              <w:rPr>
                <w:rFonts w:cs="Calibri"/>
                <w:szCs w:val="20"/>
              </w:rPr>
              <w:t xml:space="preserve">Proportion of tenders available to potential </w:t>
            </w:r>
            <w:proofErr w:type="spellStart"/>
            <w:r w:rsidRPr="00FA01D3">
              <w:rPr>
                <w:rFonts w:cs="Calibri"/>
                <w:szCs w:val="20"/>
              </w:rPr>
              <w:t>tenderers</w:t>
            </w:r>
            <w:proofErr w:type="spellEnd"/>
            <w:r w:rsidRPr="00FA01D3">
              <w:rPr>
                <w:rFonts w:cs="Calibri"/>
                <w:szCs w:val="20"/>
              </w:rPr>
              <w:t xml:space="preserve"> in electronic format</w:t>
            </w:r>
          </w:p>
        </w:tc>
        <w:tc>
          <w:tcPr>
            <w:tcW w:w="1429" w:type="dxa"/>
            <w:tcBorders>
              <w:top w:val="nil"/>
              <w:left w:val="nil"/>
              <w:bottom w:val="single" w:sz="4" w:space="0" w:color="auto"/>
              <w:right w:val="nil"/>
            </w:tcBorders>
            <w:vAlign w:val="bottom"/>
          </w:tcPr>
          <w:p w:rsidR="006339DB" w:rsidRPr="00FA01D3" w:rsidRDefault="006339DB" w:rsidP="000A30C8">
            <w:pPr>
              <w:pStyle w:val="TableTextRight"/>
              <w:rPr>
                <w:rFonts w:cs="Calibri"/>
              </w:rPr>
            </w:pPr>
            <w:r w:rsidRPr="00BD6205">
              <w:rPr>
                <w:rFonts w:cs="Calibri"/>
              </w:rPr>
              <w:t>&gt;50%</w:t>
            </w:r>
          </w:p>
        </w:tc>
        <w:tc>
          <w:tcPr>
            <w:tcW w:w="1429" w:type="dxa"/>
            <w:tcBorders>
              <w:top w:val="nil"/>
              <w:left w:val="nil"/>
              <w:bottom w:val="single" w:sz="4" w:space="0" w:color="auto"/>
              <w:right w:val="nil"/>
            </w:tcBorders>
            <w:vAlign w:val="bottom"/>
          </w:tcPr>
          <w:p w:rsidR="006339DB" w:rsidRPr="00FA01D3" w:rsidRDefault="006339DB" w:rsidP="000A30C8">
            <w:pPr>
              <w:pStyle w:val="TableTextRight"/>
              <w:rPr>
                <w:rFonts w:cs="Calibri"/>
              </w:rPr>
            </w:pPr>
            <w:r>
              <w:rPr>
                <w:rFonts w:cs="Calibri"/>
              </w:rPr>
              <w:t>&gt;50%</w:t>
            </w:r>
          </w:p>
        </w:tc>
        <w:tc>
          <w:tcPr>
            <w:tcW w:w="1429" w:type="dxa"/>
            <w:tcBorders>
              <w:top w:val="nil"/>
              <w:left w:val="nil"/>
              <w:bottom w:val="single" w:sz="4" w:space="0" w:color="auto"/>
              <w:right w:val="nil"/>
            </w:tcBorders>
            <w:vAlign w:val="bottom"/>
          </w:tcPr>
          <w:p w:rsidR="006339DB" w:rsidRPr="00FA01D3" w:rsidRDefault="006339DB" w:rsidP="000A30C8">
            <w:pPr>
              <w:pStyle w:val="TableTextRight"/>
              <w:ind w:left="720" w:firstLine="0"/>
              <w:rPr>
                <w:rFonts w:cs="Calibri"/>
                <w:highlight w:val="yellow"/>
              </w:rPr>
            </w:pPr>
            <w:r>
              <w:t>n/a</w:t>
            </w:r>
          </w:p>
        </w:tc>
      </w:tr>
    </w:tbl>
    <w:p w:rsidR="006339DB" w:rsidRDefault="006339DB" w:rsidP="006339DB">
      <w:pPr>
        <w:pStyle w:val="NoteHeading"/>
        <w:spacing w:before="40"/>
      </w:pPr>
      <w:r>
        <w:t>Notes:</w:t>
      </w:r>
    </w:p>
    <w:p w:rsidR="006339DB" w:rsidRDefault="006339DB" w:rsidP="006339DB">
      <w:pPr>
        <w:pStyle w:val="AINotes"/>
        <w:numPr>
          <w:ilvl w:val="0"/>
          <w:numId w:val="27"/>
        </w:numPr>
      </w:pPr>
      <w:r>
        <w:t xml:space="preserve">These indicators have been transferred to the </w:t>
      </w:r>
      <w:r w:rsidRPr="00A41777">
        <w:rPr>
          <w:bCs/>
        </w:rPr>
        <w:t>Commerce and Works</w:t>
      </w:r>
      <w:r w:rsidRPr="00A41777">
        <w:rPr>
          <w:b/>
          <w:bCs/>
        </w:rPr>
        <w:t xml:space="preserve"> </w:t>
      </w:r>
      <w:r>
        <w:t xml:space="preserve">Directorate and are reported as </w:t>
      </w:r>
      <w:r w:rsidRPr="007C47E5">
        <w:t xml:space="preserve">Output Class 3.1 </w:t>
      </w:r>
      <w:r w:rsidRPr="00A41777">
        <w:rPr>
          <w:color w:val="000000"/>
        </w:rPr>
        <w:t>Shared Services Procurement</w:t>
      </w:r>
      <w:r w:rsidRPr="007C47E5">
        <w:t>.</w:t>
      </w:r>
    </w:p>
    <w:p w:rsidR="006339DB" w:rsidRDefault="006339DB" w:rsidP="006339DB">
      <w:pPr>
        <w:pStyle w:val="AINotes"/>
        <w:numPr>
          <w:ilvl w:val="0"/>
          <w:numId w:val="27"/>
        </w:numPr>
      </w:pPr>
      <w:r>
        <w:t xml:space="preserve">This excludes capital works associated with land development, housing, capital upgrades, capital ICT works, capital grants and Property, Plant and Equipment due to the nature of these specific capital works activities.  Whilst individual projects may be completed during the year, the total proportion is measured annually.  </w:t>
      </w:r>
    </w:p>
    <w:p w:rsidR="006339DB" w:rsidRDefault="006339DB" w:rsidP="006339DB">
      <w:pPr>
        <w:pStyle w:val="Heading3"/>
        <w:spacing w:before="0"/>
      </w:pPr>
      <w:r>
        <w:br w:type="page"/>
      </w:r>
      <w:proofErr w:type="gramStart"/>
      <w:r>
        <w:lastRenderedPageBreak/>
        <w:t>Accountability Indicators cont.</w:t>
      </w:r>
      <w:proofErr w:type="gramEnd"/>
    </w:p>
    <w:tbl>
      <w:tblPr>
        <w:tblW w:w="9356" w:type="dxa"/>
        <w:tblLook w:val="0000"/>
      </w:tblPr>
      <w:tblGrid>
        <w:gridCol w:w="5066"/>
        <w:gridCol w:w="1430"/>
        <w:gridCol w:w="1430"/>
        <w:gridCol w:w="1430"/>
      </w:tblGrid>
      <w:tr w:rsidR="006339DB" w:rsidRPr="00FA01D3" w:rsidTr="000A30C8">
        <w:trPr>
          <w:trHeight w:val="315"/>
        </w:trPr>
        <w:tc>
          <w:tcPr>
            <w:tcW w:w="5063" w:type="dxa"/>
            <w:tcBorders>
              <w:top w:val="single" w:sz="4" w:space="0" w:color="auto"/>
              <w:left w:val="nil"/>
              <w:bottom w:val="nil"/>
              <w:right w:val="nil"/>
            </w:tcBorders>
          </w:tcPr>
          <w:p w:rsidR="006339DB" w:rsidRPr="00FA01D3" w:rsidRDefault="006339DB" w:rsidP="000A30C8">
            <w:pPr>
              <w:rPr>
                <w:rFonts w:cs="Calibri"/>
                <w:sz w:val="20"/>
              </w:rPr>
            </w:pPr>
            <w:r w:rsidRPr="00FA01D3">
              <w:rPr>
                <w:rFonts w:cs="Calibri"/>
                <w:sz w:val="20"/>
              </w:rPr>
              <w:t> </w:t>
            </w:r>
          </w:p>
        </w:tc>
        <w:tc>
          <w:tcPr>
            <w:tcW w:w="1429" w:type="dxa"/>
            <w:tcBorders>
              <w:top w:val="single" w:sz="4" w:space="0" w:color="auto"/>
              <w:left w:val="nil"/>
              <w:bottom w:val="nil"/>
              <w:right w:val="nil"/>
            </w:tcBorders>
          </w:tcPr>
          <w:p w:rsidR="006339DB" w:rsidRPr="00FA01D3" w:rsidRDefault="006339DB" w:rsidP="000A30C8">
            <w:pPr>
              <w:pStyle w:val="Heading6"/>
              <w:rPr>
                <w:rFonts w:cs="Calibri"/>
                <w:bCs/>
              </w:rPr>
            </w:pPr>
            <w:r>
              <w:rPr>
                <w:rFonts w:cs="Calibri"/>
                <w:bCs/>
              </w:rPr>
              <w:t>2012-13</w:t>
            </w:r>
          </w:p>
        </w:tc>
        <w:tc>
          <w:tcPr>
            <w:tcW w:w="1429" w:type="dxa"/>
            <w:tcBorders>
              <w:top w:val="single" w:sz="4" w:space="0" w:color="auto"/>
              <w:left w:val="nil"/>
              <w:bottom w:val="nil"/>
              <w:right w:val="nil"/>
            </w:tcBorders>
          </w:tcPr>
          <w:p w:rsidR="006339DB" w:rsidRPr="00FA01D3" w:rsidRDefault="006339DB" w:rsidP="000A30C8">
            <w:pPr>
              <w:pStyle w:val="Heading6"/>
              <w:rPr>
                <w:rFonts w:cs="Calibri"/>
                <w:bCs/>
              </w:rPr>
            </w:pPr>
            <w:r>
              <w:rPr>
                <w:rFonts w:cs="Calibri"/>
                <w:bCs/>
              </w:rPr>
              <w:t>2012-13</w:t>
            </w:r>
          </w:p>
        </w:tc>
        <w:tc>
          <w:tcPr>
            <w:tcW w:w="1429" w:type="dxa"/>
            <w:tcBorders>
              <w:top w:val="single" w:sz="4" w:space="0" w:color="auto"/>
              <w:left w:val="nil"/>
              <w:bottom w:val="nil"/>
              <w:right w:val="nil"/>
            </w:tcBorders>
          </w:tcPr>
          <w:p w:rsidR="006339DB" w:rsidRPr="00FA01D3" w:rsidRDefault="006339DB" w:rsidP="000A30C8">
            <w:pPr>
              <w:pStyle w:val="Heading6"/>
              <w:rPr>
                <w:rFonts w:cs="Calibri"/>
                <w:bCs/>
              </w:rPr>
            </w:pPr>
            <w:r>
              <w:rPr>
                <w:rFonts w:cs="Calibri"/>
                <w:bCs/>
              </w:rPr>
              <w:t>2013-14</w:t>
            </w:r>
          </w:p>
        </w:tc>
      </w:tr>
      <w:tr w:rsidR="006339DB" w:rsidRPr="00FA01D3" w:rsidTr="000A30C8">
        <w:trPr>
          <w:trHeight w:val="330"/>
        </w:trPr>
        <w:tc>
          <w:tcPr>
            <w:tcW w:w="5063" w:type="dxa"/>
            <w:tcBorders>
              <w:top w:val="nil"/>
              <w:left w:val="nil"/>
              <w:bottom w:val="single" w:sz="4" w:space="0" w:color="auto"/>
              <w:right w:val="nil"/>
            </w:tcBorders>
          </w:tcPr>
          <w:p w:rsidR="006339DB" w:rsidRPr="00FA01D3" w:rsidRDefault="006339DB" w:rsidP="000A30C8">
            <w:pPr>
              <w:rPr>
                <w:rFonts w:cs="Calibri"/>
                <w:sz w:val="20"/>
              </w:rPr>
            </w:pPr>
            <w:r w:rsidRPr="00FA01D3">
              <w:rPr>
                <w:rFonts w:cs="Calibri"/>
                <w:sz w:val="20"/>
              </w:rPr>
              <w:t> </w:t>
            </w:r>
          </w:p>
        </w:tc>
        <w:tc>
          <w:tcPr>
            <w:tcW w:w="1429" w:type="dxa"/>
            <w:tcBorders>
              <w:top w:val="nil"/>
              <w:left w:val="nil"/>
              <w:bottom w:val="single" w:sz="4" w:space="0" w:color="auto"/>
              <w:right w:val="nil"/>
            </w:tcBorders>
          </w:tcPr>
          <w:p w:rsidR="006339DB" w:rsidRPr="00FA01D3" w:rsidRDefault="006339DB" w:rsidP="000A30C8">
            <w:pPr>
              <w:pStyle w:val="Heading6"/>
              <w:rPr>
                <w:rFonts w:cs="Calibri"/>
              </w:rPr>
            </w:pPr>
            <w:r w:rsidRPr="00FA01D3">
              <w:rPr>
                <w:rFonts w:cs="Calibri"/>
              </w:rPr>
              <w:t>Targets</w:t>
            </w:r>
          </w:p>
        </w:tc>
        <w:tc>
          <w:tcPr>
            <w:tcW w:w="1429" w:type="dxa"/>
            <w:tcBorders>
              <w:top w:val="nil"/>
              <w:left w:val="nil"/>
              <w:bottom w:val="single" w:sz="4" w:space="0" w:color="auto"/>
              <w:right w:val="nil"/>
            </w:tcBorders>
          </w:tcPr>
          <w:p w:rsidR="006339DB" w:rsidRPr="00FA01D3" w:rsidRDefault="006339DB" w:rsidP="000A30C8">
            <w:pPr>
              <w:pStyle w:val="Heading6"/>
              <w:rPr>
                <w:rFonts w:cs="Calibri"/>
              </w:rPr>
            </w:pPr>
            <w:r w:rsidRPr="00FA01D3">
              <w:rPr>
                <w:rFonts w:cs="Calibri"/>
              </w:rPr>
              <w:t>Est. Outcome</w:t>
            </w:r>
          </w:p>
        </w:tc>
        <w:tc>
          <w:tcPr>
            <w:tcW w:w="1429" w:type="dxa"/>
            <w:tcBorders>
              <w:top w:val="nil"/>
              <w:left w:val="nil"/>
              <w:bottom w:val="single" w:sz="4" w:space="0" w:color="auto"/>
              <w:right w:val="nil"/>
            </w:tcBorders>
          </w:tcPr>
          <w:p w:rsidR="006339DB" w:rsidRPr="00FA01D3" w:rsidRDefault="006339DB" w:rsidP="000A30C8">
            <w:pPr>
              <w:pStyle w:val="Heading6"/>
              <w:rPr>
                <w:rFonts w:cs="Calibri"/>
              </w:rPr>
            </w:pPr>
            <w:r w:rsidRPr="00FA01D3">
              <w:rPr>
                <w:rFonts w:cs="Calibri"/>
              </w:rPr>
              <w:t>Targets</w:t>
            </w:r>
          </w:p>
        </w:tc>
      </w:tr>
      <w:tr w:rsidR="006339DB" w:rsidRPr="00FA01D3" w:rsidTr="000A30C8">
        <w:trPr>
          <w:trHeight w:val="270"/>
        </w:trPr>
        <w:tc>
          <w:tcPr>
            <w:tcW w:w="5063"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Output Class 3:  Shared Services Human Resources</w:t>
            </w:r>
          </w:p>
        </w:tc>
        <w:tc>
          <w:tcPr>
            <w:tcW w:w="1429"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c>
          <w:tcPr>
            <w:tcW w:w="1429"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c>
          <w:tcPr>
            <w:tcW w:w="1429"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r>
      <w:tr w:rsidR="006339DB" w:rsidRPr="00FA01D3" w:rsidTr="000A30C8">
        <w:trPr>
          <w:trHeight w:val="270"/>
        </w:trPr>
        <w:tc>
          <w:tcPr>
            <w:tcW w:w="5063"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xml:space="preserve">Output 3.1:  </w:t>
            </w:r>
            <w:r>
              <w:rPr>
                <w:rFonts w:cs="Calibri"/>
              </w:rPr>
              <w:t>Shared Services Human Resources</w:t>
            </w:r>
            <w:r>
              <w:rPr>
                <w:rFonts w:cs="Calibri"/>
                <w:vertAlign w:val="superscript"/>
              </w:rPr>
              <w:t>1</w:t>
            </w:r>
          </w:p>
        </w:tc>
        <w:tc>
          <w:tcPr>
            <w:tcW w:w="1429"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c>
          <w:tcPr>
            <w:tcW w:w="1429"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c>
          <w:tcPr>
            <w:tcW w:w="1429" w:type="dxa"/>
            <w:tcBorders>
              <w:top w:val="single" w:sz="4" w:space="0" w:color="auto"/>
              <w:left w:val="nil"/>
              <w:bottom w:val="single" w:sz="4" w:space="0" w:color="auto"/>
              <w:right w:val="nil"/>
            </w:tcBorders>
          </w:tcPr>
          <w:p w:rsidR="006339DB" w:rsidRPr="00FA01D3" w:rsidRDefault="006339DB" w:rsidP="000A30C8">
            <w:pPr>
              <w:pStyle w:val="Heading7"/>
              <w:rPr>
                <w:rFonts w:cs="Calibri"/>
              </w:rPr>
            </w:pPr>
            <w:r w:rsidRPr="00FA01D3">
              <w:rPr>
                <w:rFonts w:cs="Calibri"/>
              </w:rPr>
              <w:t> </w:t>
            </w:r>
          </w:p>
        </w:tc>
      </w:tr>
      <w:tr w:rsidR="006339DB" w:rsidRPr="00FA01D3" w:rsidTr="000A30C8">
        <w:trPr>
          <w:trHeight w:val="510"/>
        </w:trPr>
        <w:tc>
          <w:tcPr>
            <w:tcW w:w="5063" w:type="dxa"/>
            <w:tcBorders>
              <w:top w:val="single" w:sz="4" w:space="0" w:color="auto"/>
              <w:left w:val="nil"/>
              <w:bottom w:val="nil"/>
              <w:right w:val="nil"/>
            </w:tcBorders>
          </w:tcPr>
          <w:p w:rsidR="006339DB" w:rsidRPr="00FA01D3" w:rsidRDefault="006339DB" w:rsidP="006339DB">
            <w:pPr>
              <w:pStyle w:val="TableTextIndent"/>
              <w:numPr>
                <w:ilvl w:val="0"/>
                <w:numId w:val="36"/>
              </w:numPr>
              <w:rPr>
                <w:rFonts w:cs="Calibri"/>
                <w:szCs w:val="20"/>
              </w:rPr>
            </w:pPr>
            <w:r w:rsidRPr="00FA01D3">
              <w:rPr>
                <w:rFonts w:cs="Calibri"/>
                <w:szCs w:val="20"/>
              </w:rPr>
              <w:t>Service requests made via the Integrated Customer Service system resolved within 5 working days</w:t>
            </w:r>
          </w:p>
        </w:tc>
        <w:tc>
          <w:tcPr>
            <w:tcW w:w="1429" w:type="dxa"/>
            <w:tcBorders>
              <w:top w:val="single" w:sz="4" w:space="0" w:color="auto"/>
              <w:left w:val="nil"/>
              <w:bottom w:val="nil"/>
              <w:right w:val="nil"/>
            </w:tcBorders>
            <w:vAlign w:val="bottom"/>
          </w:tcPr>
          <w:p w:rsidR="006339DB" w:rsidRPr="00FA01D3" w:rsidRDefault="006339DB" w:rsidP="000A30C8">
            <w:pPr>
              <w:pStyle w:val="TableNumbersRight"/>
              <w:rPr>
                <w:rFonts w:cs="Calibri"/>
                <w:szCs w:val="20"/>
              </w:rPr>
            </w:pPr>
            <w:r w:rsidRPr="00FA01D3">
              <w:rPr>
                <w:rFonts w:cs="Calibri"/>
                <w:szCs w:val="20"/>
              </w:rPr>
              <w:t>90%</w:t>
            </w:r>
          </w:p>
        </w:tc>
        <w:tc>
          <w:tcPr>
            <w:tcW w:w="1429" w:type="dxa"/>
            <w:tcBorders>
              <w:top w:val="single" w:sz="4" w:space="0" w:color="auto"/>
              <w:left w:val="nil"/>
              <w:bottom w:val="nil"/>
              <w:right w:val="nil"/>
            </w:tcBorders>
            <w:vAlign w:val="bottom"/>
          </w:tcPr>
          <w:p w:rsidR="006339DB" w:rsidRPr="00FA01D3" w:rsidRDefault="006339DB" w:rsidP="000A30C8">
            <w:pPr>
              <w:pStyle w:val="TableNumbersRight"/>
              <w:rPr>
                <w:rFonts w:cs="Calibri"/>
                <w:szCs w:val="20"/>
              </w:rPr>
            </w:pPr>
            <w:r>
              <w:rPr>
                <w:rFonts w:cs="Calibri"/>
                <w:szCs w:val="20"/>
              </w:rPr>
              <w:t>97</w:t>
            </w:r>
            <w:r w:rsidRPr="00FA01D3">
              <w:rPr>
                <w:rFonts w:cs="Calibri"/>
                <w:szCs w:val="20"/>
              </w:rPr>
              <w:t>%</w:t>
            </w:r>
          </w:p>
        </w:tc>
        <w:tc>
          <w:tcPr>
            <w:tcW w:w="1429" w:type="dxa"/>
            <w:tcBorders>
              <w:top w:val="single" w:sz="4" w:space="0" w:color="auto"/>
              <w:left w:val="nil"/>
              <w:bottom w:val="nil"/>
              <w:right w:val="nil"/>
            </w:tcBorders>
            <w:vAlign w:val="bottom"/>
          </w:tcPr>
          <w:p w:rsidR="006339DB" w:rsidRPr="00FA01D3" w:rsidRDefault="006339DB" w:rsidP="000A30C8">
            <w:pPr>
              <w:pStyle w:val="TableNumbersRight"/>
              <w:rPr>
                <w:rFonts w:cs="Calibri"/>
                <w:szCs w:val="20"/>
              </w:rPr>
            </w:pPr>
            <w:r>
              <w:t>n/a</w:t>
            </w:r>
          </w:p>
        </w:tc>
      </w:tr>
      <w:tr w:rsidR="006339DB" w:rsidRPr="00FA01D3" w:rsidTr="000A30C8">
        <w:trPr>
          <w:trHeight w:val="765"/>
        </w:trPr>
        <w:tc>
          <w:tcPr>
            <w:tcW w:w="5063" w:type="dxa"/>
            <w:tcBorders>
              <w:top w:val="nil"/>
              <w:left w:val="nil"/>
              <w:right w:val="nil"/>
            </w:tcBorders>
          </w:tcPr>
          <w:p w:rsidR="006339DB" w:rsidRPr="00FA01D3" w:rsidRDefault="006339DB" w:rsidP="000A30C8">
            <w:pPr>
              <w:pStyle w:val="TableTextIndent"/>
              <w:rPr>
                <w:rFonts w:cs="Calibri"/>
                <w:szCs w:val="20"/>
              </w:rPr>
            </w:pPr>
            <w:r w:rsidRPr="00FA01D3">
              <w:rPr>
                <w:rFonts w:cs="Calibri"/>
                <w:szCs w:val="20"/>
              </w:rPr>
              <w:t xml:space="preserve">Data for Annual Reports and the Workforce Profile are </w:t>
            </w:r>
            <w:r>
              <w:rPr>
                <w:rFonts w:cs="Calibri"/>
                <w:szCs w:val="20"/>
              </w:rPr>
              <w:t>supplied to the Chief Minister and Treasury Directorate</w:t>
            </w:r>
            <w:r w:rsidRPr="00FA01D3">
              <w:rPr>
                <w:rFonts w:cs="Calibri"/>
                <w:szCs w:val="20"/>
              </w:rPr>
              <w:t xml:space="preserve"> in accordance with the agreed timeframe</w:t>
            </w:r>
          </w:p>
        </w:tc>
        <w:tc>
          <w:tcPr>
            <w:tcW w:w="1429" w:type="dxa"/>
            <w:tcBorders>
              <w:top w:val="nil"/>
              <w:left w:val="nil"/>
              <w:right w:val="nil"/>
            </w:tcBorders>
            <w:vAlign w:val="bottom"/>
          </w:tcPr>
          <w:p w:rsidR="006339DB" w:rsidRPr="00FA01D3" w:rsidRDefault="006339DB" w:rsidP="000A30C8">
            <w:pPr>
              <w:pStyle w:val="TableNumbersRight"/>
              <w:rPr>
                <w:rFonts w:cs="Calibri"/>
                <w:szCs w:val="20"/>
              </w:rPr>
            </w:pPr>
            <w:r w:rsidRPr="00FA01D3">
              <w:rPr>
                <w:rFonts w:cs="Calibri"/>
                <w:szCs w:val="20"/>
              </w:rPr>
              <w:t>100%</w:t>
            </w:r>
          </w:p>
        </w:tc>
        <w:tc>
          <w:tcPr>
            <w:tcW w:w="1429" w:type="dxa"/>
            <w:tcBorders>
              <w:top w:val="nil"/>
              <w:left w:val="nil"/>
              <w:right w:val="nil"/>
            </w:tcBorders>
            <w:vAlign w:val="bottom"/>
          </w:tcPr>
          <w:p w:rsidR="006339DB" w:rsidRPr="00FA01D3" w:rsidRDefault="006339DB" w:rsidP="000A30C8">
            <w:pPr>
              <w:pStyle w:val="TableNumbersRight"/>
              <w:rPr>
                <w:rFonts w:cs="Calibri"/>
                <w:szCs w:val="20"/>
              </w:rPr>
            </w:pPr>
            <w:r w:rsidRPr="00FA01D3">
              <w:rPr>
                <w:rFonts w:cs="Calibri"/>
                <w:szCs w:val="20"/>
              </w:rPr>
              <w:t>100%</w:t>
            </w:r>
          </w:p>
        </w:tc>
        <w:tc>
          <w:tcPr>
            <w:tcW w:w="1429" w:type="dxa"/>
            <w:tcBorders>
              <w:top w:val="nil"/>
              <w:left w:val="nil"/>
              <w:right w:val="nil"/>
            </w:tcBorders>
            <w:vAlign w:val="bottom"/>
          </w:tcPr>
          <w:p w:rsidR="006339DB" w:rsidRPr="00FA01D3" w:rsidRDefault="006339DB" w:rsidP="000A30C8">
            <w:pPr>
              <w:pStyle w:val="TableNumbersRight"/>
              <w:rPr>
                <w:rFonts w:cs="Calibri"/>
                <w:szCs w:val="20"/>
              </w:rPr>
            </w:pPr>
            <w:r>
              <w:t>n/a</w:t>
            </w:r>
          </w:p>
        </w:tc>
      </w:tr>
      <w:tr w:rsidR="006339DB" w:rsidRPr="00FA01D3" w:rsidTr="000A30C8">
        <w:trPr>
          <w:trHeight w:val="720"/>
        </w:trPr>
        <w:tc>
          <w:tcPr>
            <w:tcW w:w="5063" w:type="dxa"/>
            <w:tcBorders>
              <w:top w:val="nil"/>
              <w:left w:val="nil"/>
              <w:bottom w:val="single" w:sz="4" w:space="0" w:color="auto"/>
              <w:right w:val="nil"/>
            </w:tcBorders>
          </w:tcPr>
          <w:p w:rsidR="006339DB" w:rsidRPr="00FA01D3" w:rsidRDefault="006339DB" w:rsidP="000A30C8">
            <w:pPr>
              <w:pStyle w:val="TableTextIndent"/>
              <w:rPr>
                <w:rFonts w:cs="Calibri"/>
                <w:szCs w:val="20"/>
              </w:rPr>
            </w:pPr>
            <w:r w:rsidRPr="00FA01D3">
              <w:rPr>
                <w:rFonts w:cs="Calibri"/>
                <w:szCs w:val="20"/>
              </w:rPr>
              <w:t>Performance Standards in Recruitment Services for permanent and temporary vacancies service specifications achieved</w:t>
            </w:r>
            <w:r>
              <w:rPr>
                <w:rFonts w:cs="Calibri"/>
                <w:szCs w:val="20"/>
                <w:vertAlign w:val="superscript"/>
              </w:rPr>
              <w:t>2</w:t>
            </w:r>
          </w:p>
        </w:tc>
        <w:tc>
          <w:tcPr>
            <w:tcW w:w="1429" w:type="dxa"/>
            <w:tcBorders>
              <w:top w:val="nil"/>
              <w:left w:val="nil"/>
              <w:bottom w:val="single" w:sz="4" w:space="0" w:color="auto"/>
              <w:right w:val="nil"/>
            </w:tcBorders>
            <w:vAlign w:val="bottom"/>
          </w:tcPr>
          <w:p w:rsidR="006339DB" w:rsidRPr="00FA01D3" w:rsidRDefault="006339DB" w:rsidP="000A30C8">
            <w:pPr>
              <w:pStyle w:val="TableNumbersRight"/>
              <w:rPr>
                <w:rFonts w:cs="Calibri"/>
                <w:szCs w:val="20"/>
              </w:rPr>
            </w:pPr>
            <w:r w:rsidRPr="00FA01D3">
              <w:rPr>
                <w:rFonts w:cs="Calibri"/>
                <w:szCs w:val="20"/>
              </w:rPr>
              <w:t>95%</w:t>
            </w:r>
          </w:p>
        </w:tc>
        <w:tc>
          <w:tcPr>
            <w:tcW w:w="1429" w:type="dxa"/>
            <w:tcBorders>
              <w:top w:val="nil"/>
              <w:left w:val="nil"/>
              <w:bottom w:val="single" w:sz="4" w:space="0" w:color="auto"/>
              <w:right w:val="nil"/>
            </w:tcBorders>
            <w:vAlign w:val="bottom"/>
          </w:tcPr>
          <w:p w:rsidR="006339DB" w:rsidRPr="00FA01D3" w:rsidRDefault="006339DB" w:rsidP="000A30C8">
            <w:pPr>
              <w:pStyle w:val="TableNumbersRight"/>
              <w:rPr>
                <w:rFonts w:cs="Calibri"/>
                <w:szCs w:val="20"/>
              </w:rPr>
            </w:pPr>
            <w:r>
              <w:rPr>
                <w:rFonts w:cs="Calibri"/>
                <w:szCs w:val="20"/>
              </w:rPr>
              <w:t>98</w:t>
            </w:r>
            <w:r w:rsidRPr="00FA01D3">
              <w:rPr>
                <w:rFonts w:cs="Calibri"/>
                <w:szCs w:val="20"/>
              </w:rPr>
              <w:t>%</w:t>
            </w:r>
          </w:p>
        </w:tc>
        <w:tc>
          <w:tcPr>
            <w:tcW w:w="1429" w:type="dxa"/>
            <w:tcBorders>
              <w:top w:val="nil"/>
              <w:left w:val="nil"/>
              <w:bottom w:val="single" w:sz="4" w:space="0" w:color="auto"/>
              <w:right w:val="nil"/>
            </w:tcBorders>
            <w:vAlign w:val="bottom"/>
          </w:tcPr>
          <w:p w:rsidR="006339DB" w:rsidRPr="00FA01D3" w:rsidRDefault="006339DB" w:rsidP="000A30C8">
            <w:pPr>
              <w:pStyle w:val="TableNumbersRight"/>
              <w:rPr>
                <w:rFonts w:cs="Calibri"/>
                <w:szCs w:val="20"/>
              </w:rPr>
            </w:pPr>
            <w:r>
              <w:t>n/a</w:t>
            </w:r>
          </w:p>
        </w:tc>
      </w:tr>
    </w:tbl>
    <w:p w:rsidR="006339DB" w:rsidRDefault="006339DB" w:rsidP="006339DB">
      <w:pPr>
        <w:pStyle w:val="NoteHeading"/>
        <w:spacing w:before="40"/>
      </w:pPr>
      <w:r>
        <w:t>Note:</w:t>
      </w:r>
    </w:p>
    <w:p w:rsidR="006339DB" w:rsidRDefault="006339DB" w:rsidP="006339DB">
      <w:pPr>
        <w:pStyle w:val="AINotes"/>
        <w:numPr>
          <w:ilvl w:val="0"/>
          <w:numId w:val="27"/>
        </w:numPr>
      </w:pPr>
      <w:r>
        <w:t xml:space="preserve">These indicators have been transferred to the </w:t>
      </w:r>
      <w:r w:rsidRPr="00F852E9">
        <w:rPr>
          <w:bCs/>
        </w:rPr>
        <w:t>Commerce and Works</w:t>
      </w:r>
      <w:r w:rsidRPr="00F852E9">
        <w:rPr>
          <w:b/>
          <w:bCs/>
        </w:rPr>
        <w:t xml:space="preserve"> </w:t>
      </w:r>
      <w:r>
        <w:t xml:space="preserve">Directorate and are reported as </w:t>
      </w:r>
      <w:r w:rsidRPr="007C47E5">
        <w:t xml:space="preserve">Output Class 4.1 </w:t>
      </w:r>
      <w:r w:rsidRPr="00F852E9">
        <w:rPr>
          <w:color w:val="000000"/>
        </w:rPr>
        <w:t>Shared Services Human Resources</w:t>
      </w:r>
      <w:r w:rsidRPr="007C47E5">
        <w:t>.</w:t>
      </w:r>
    </w:p>
    <w:p w:rsidR="006339DB" w:rsidRDefault="006339DB" w:rsidP="006339DB">
      <w:pPr>
        <w:pStyle w:val="AINotes"/>
        <w:numPr>
          <w:ilvl w:val="0"/>
          <w:numId w:val="27"/>
        </w:numPr>
      </w:pPr>
      <w:r>
        <w:t>Represents the overall average of performance standards in recruitment service specifications being achieved.</w:t>
      </w:r>
    </w:p>
    <w:p w:rsidR="006339DB" w:rsidRDefault="006339DB" w:rsidP="006339DB">
      <w:pPr>
        <w:pStyle w:val="AINotes"/>
        <w:numPr>
          <w:ilvl w:val="0"/>
          <w:numId w:val="0"/>
        </w:numPr>
        <w:ind w:left="357"/>
      </w:pPr>
    </w:p>
    <w:tbl>
      <w:tblPr>
        <w:tblW w:w="9356" w:type="dxa"/>
        <w:tblLook w:val="0000"/>
      </w:tblPr>
      <w:tblGrid>
        <w:gridCol w:w="5066"/>
        <w:gridCol w:w="1430"/>
        <w:gridCol w:w="1430"/>
        <w:gridCol w:w="1430"/>
      </w:tblGrid>
      <w:tr w:rsidR="006339DB" w:rsidTr="000A30C8">
        <w:trPr>
          <w:trHeight w:val="315"/>
        </w:trPr>
        <w:tc>
          <w:tcPr>
            <w:tcW w:w="5066" w:type="dxa"/>
            <w:tcBorders>
              <w:top w:val="single" w:sz="4" w:space="0" w:color="auto"/>
              <w:left w:val="nil"/>
              <w:bottom w:val="nil"/>
              <w:right w:val="nil"/>
            </w:tcBorders>
          </w:tcPr>
          <w:p w:rsidR="006339DB" w:rsidRDefault="006339DB" w:rsidP="000A30C8">
            <w:r>
              <w:t> </w:t>
            </w:r>
          </w:p>
        </w:tc>
        <w:tc>
          <w:tcPr>
            <w:tcW w:w="1430" w:type="dxa"/>
            <w:tcBorders>
              <w:top w:val="single" w:sz="4" w:space="0" w:color="auto"/>
              <w:left w:val="nil"/>
              <w:bottom w:val="nil"/>
              <w:right w:val="nil"/>
            </w:tcBorders>
          </w:tcPr>
          <w:p w:rsidR="006339DB" w:rsidRDefault="006339DB" w:rsidP="000A30C8">
            <w:pPr>
              <w:pStyle w:val="Heading6"/>
              <w:rPr>
                <w:bCs/>
              </w:rPr>
            </w:pPr>
            <w:r>
              <w:rPr>
                <w:bCs/>
              </w:rPr>
              <w:t>2012-13</w:t>
            </w:r>
          </w:p>
        </w:tc>
        <w:tc>
          <w:tcPr>
            <w:tcW w:w="1430" w:type="dxa"/>
            <w:tcBorders>
              <w:top w:val="single" w:sz="4" w:space="0" w:color="auto"/>
              <w:left w:val="nil"/>
              <w:bottom w:val="nil"/>
              <w:right w:val="nil"/>
            </w:tcBorders>
          </w:tcPr>
          <w:p w:rsidR="006339DB" w:rsidRDefault="006339DB" w:rsidP="000A30C8">
            <w:pPr>
              <w:pStyle w:val="Heading6"/>
              <w:rPr>
                <w:bCs/>
              </w:rPr>
            </w:pPr>
            <w:r>
              <w:rPr>
                <w:bCs/>
              </w:rPr>
              <w:t>2012-13</w:t>
            </w:r>
          </w:p>
        </w:tc>
        <w:tc>
          <w:tcPr>
            <w:tcW w:w="1430" w:type="dxa"/>
            <w:tcBorders>
              <w:top w:val="single" w:sz="4" w:space="0" w:color="auto"/>
              <w:left w:val="nil"/>
              <w:bottom w:val="nil"/>
              <w:right w:val="nil"/>
            </w:tcBorders>
          </w:tcPr>
          <w:p w:rsidR="006339DB" w:rsidRDefault="006339DB" w:rsidP="000A30C8">
            <w:pPr>
              <w:pStyle w:val="Heading6"/>
              <w:rPr>
                <w:bCs/>
              </w:rPr>
            </w:pPr>
            <w:r>
              <w:rPr>
                <w:bCs/>
              </w:rPr>
              <w:t>2013-14</w:t>
            </w:r>
          </w:p>
        </w:tc>
      </w:tr>
      <w:tr w:rsidR="006339DB" w:rsidTr="000A30C8">
        <w:trPr>
          <w:trHeight w:val="330"/>
        </w:trPr>
        <w:tc>
          <w:tcPr>
            <w:tcW w:w="5066" w:type="dxa"/>
            <w:tcBorders>
              <w:top w:val="nil"/>
              <w:left w:val="nil"/>
              <w:bottom w:val="single" w:sz="4" w:space="0" w:color="auto"/>
              <w:right w:val="nil"/>
            </w:tcBorders>
          </w:tcPr>
          <w:p w:rsidR="006339DB" w:rsidRDefault="006339DB" w:rsidP="000A30C8">
            <w:r>
              <w:t> </w:t>
            </w:r>
          </w:p>
        </w:tc>
        <w:tc>
          <w:tcPr>
            <w:tcW w:w="1430" w:type="dxa"/>
            <w:tcBorders>
              <w:top w:val="nil"/>
              <w:left w:val="nil"/>
              <w:bottom w:val="single" w:sz="4" w:space="0" w:color="auto"/>
              <w:right w:val="nil"/>
            </w:tcBorders>
          </w:tcPr>
          <w:p w:rsidR="006339DB" w:rsidRDefault="006339DB" w:rsidP="000A30C8">
            <w:pPr>
              <w:pStyle w:val="Heading6"/>
            </w:pPr>
            <w:r>
              <w:t>Targets</w:t>
            </w:r>
          </w:p>
        </w:tc>
        <w:tc>
          <w:tcPr>
            <w:tcW w:w="1430" w:type="dxa"/>
            <w:tcBorders>
              <w:top w:val="nil"/>
              <w:left w:val="nil"/>
              <w:bottom w:val="single" w:sz="4" w:space="0" w:color="auto"/>
              <w:right w:val="nil"/>
            </w:tcBorders>
          </w:tcPr>
          <w:p w:rsidR="006339DB" w:rsidRDefault="006339DB" w:rsidP="000A30C8">
            <w:pPr>
              <w:pStyle w:val="Heading6"/>
            </w:pPr>
            <w:r>
              <w:t>Est. Outcome</w:t>
            </w:r>
          </w:p>
        </w:tc>
        <w:tc>
          <w:tcPr>
            <w:tcW w:w="1430" w:type="dxa"/>
            <w:tcBorders>
              <w:top w:val="nil"/>
              <w:left w:val="nil"/>
              <w:bottom w:val="single" w:sz="4" w:space="0" w:color="auto"/>
              <w:right w:val="nil"/>
            </w:tcBorders>
          </w:tcPr>
          <w:p w:rsidR="006339DB" w:rsidRDefault="006339DB" w:rsidP="000A30C8">
            <w:pPr>
              <w:pStyle w:val="Heading6"/>
            </w:pPr>
            <w:r>
              <w:t>Targets</w:t>
            </w:r>
          </w:p>
        </w:tc>
      </w:tr>
      <w:tr w:rsidR="006339DB" w:rsidTr="000A30C8">
        <w:trPr>
          <w:trHeight w:val="270"/>
        </w:trPr>
        <w:tc>
          <w:tcPr>
            <w:tcW w:w="5066" w:type="dxa"/>
            <w:tcBorders>
              <w:top w:val="single" w:sz="4" w:space="0" w:color="auto"/>
              <w:left w:val="nil"/>
              <w:bottom w:val="single" w:sz="4" w:space="0" w:color="auto"/>
              <w:right w:val="nil"/>
            </w:tcBorders>
          </w:tcPr>
          <w:p w:rsidR="006339DB" w:rsidRDefault="006339DB" w:rsidP="000A30C8">
            <w:pPr>
              <w:pStyle w:val="Heading7"/>
            </w:pPr>
            <w:r>
              <w:t xml:space="preserve">Output Class 4:  Shared Services Finance </w:t>
            </w:r>
          </w:p>
        </w:tc>
        <w:tc>
          <w:tcPr>
            <w:tcW w:w="1430" w:type="dxa"/>
            <w:tcBorders>
              <w:top w:val="single" w:sz="4" w:space="0" w:color="auto"/>
              <w:left w:val="nil"/>
              <w:bottom w:val="single" w:sz="4" w:space="0" w:color="auto"/>
              <w:right w:val="nil"/>
            </w:tcBorders>
          </w:tcPr>
          <w:p w:rsidR="006339DB" w:rsidRDefault="006339DB" w:rsidP="000A30C8">
            <w:pPr>
              <w:pStyle w:val="Heading7"/>
            </w:pPr>
            <w:r>
              <w:t> </w:t>
            </w:r>
          </w:p>
        </w:tc>
        <w:tc>
          <w:tcPr>
            <w:tcW w:w="1430" w:type="dxa"/>
            <w:tcBorders>
              <w:top w:val="single" w:sz="4" w:space="0" w:color="auto"/>
              <w:left w:val="nil"/>
              <w:bottom w:val="single" w:sz="4" w:space="0" w:color="auto"/>
              <w:right w:val="nil"/>
            </w:tcBorders>
          </w:tcPr>
          <w:p w:rsidR="006339DB" w:rsidRDefault="006339DB" w:rsidP="000A30C8">
            <w:pPr>
              <w:pStyle w:val="Heading7"/>
            </w:pPr>
            <w:r>
              <w:t> </w:t>
            </w:r>
          </w:p>
        </w:tc>
        <w:tc>
          <w:tcPr>
            <w:tcW w:w="1430" w:type="dxa"/>
            <w:tcBorders>
              <w:top w:val="single" w:sz="4" w:space="0" w:color="auto"/>
              <w:left w:val="nil"/>
              <w:bottom w:val="single" w:sz="4" w:space="0" w:color="auto"/>
              <w:right w:val="nil"/>
            </w:tcBorders>
          </w:tcPr>
          <w:p w:rsidR="006339DB" w:rsidRDefault="006339DB" w:rsidP="000A30C8">
            <w:pPr>
              <w:pStyle w:val="Heading7"/>
            </w:pPr>
            <w:r>
              <w:t> </w:t>
            </w:r>
          </w:p>
        </w:tc>
      </w:tr>
      <w:tr w:rsidR="006339DB" w:rsidTr="000A30C8">
        <w:trPr>
          <w:trHeight w:val="270"/>
        </w:trPr>
        <w:tc>
          <w:tcPr>
            <w:tcW w:w="5066" w:type="dxa"/>
            <w:tcBorders>
              <w:top w:val="single" w:sz="4" w:space="0" w:color="auto"/>
              <w:left w:val="nil"/>
              <w:bottom w:val="single" w:sz="4" w:space="0" w:color="auto"/>
              <w:right w:val="nil"/>
            </w:tcBorders>
          </w:tcPr>
          <w:p w:rsidR="006339DB" w:rsidRDefault="006339DB" w:rsidP="000A30C8">
            <w:pPr>
              <w:pStyle w:val="Heading7"/>
            </w:pPr>
            <w:r>
              <w:t>Output 4.1:  Shared Services Finance</w:t>
            </w:r>
            <w:r w:rsidRPr="00F852E9">
              <w:rPr>
                <w:vertAlign w:val="superscript"/>
              </w:rPr>
              <w:t xml:space="preserve">1 </w:t>
            </w:r>
          </w:p>
        </w:tc>
        <w:tc>
          <w:tcPr>
            <w:tcW w:w="1430" w:type="dxa"/>
            <w:tcBorders>
              <w:top w:val="single" w:sz="4" w:space="0" w:color="auto"/>
              <w:left w:val="nil"/>
              <w:bottom w:val="single" w:sz="4" w:space="0" w:color="auto"/>
              <w:right w:val="nil"/>
            </w:tcBorders>
          </w:tcPr>
          <w:p w:rsidR="006339DB" w:rsidRDefault="006339DB" w:rsidP="000A30C8">
            <w:pPr>
              <w:pStyle w:val="Heading7"/>
            </w:pPr>
            <w:r>
              <w:t> </w:t>
            </w:r>
          </w:p>
        </w:tc>
        <w:tc>
          <w:tcPr>
            <w:tcW w:w="1430" w:type="dxa"/>
            <w:tcBorders>
              <w:top w:val="single" w:sz="4" w:space="0" w:color="auto"/>
              <w:left w:val="nil"/>
              <w:bottom w:val="single" w:sz="4" w:space="0" w:color="auto"/>
              <w:right w:val="nil"/>
            </w:tcBorders>
          </w:tcPr>
          <w:p w:rsidR="006339DB" w:rsidRDefault="006339DB" w:rsidP="000A30C8">
            <w:pPr>
              <w:pStyle w:val="Heading7"/>
            </w:pPr>
            <w:r>
              <w:t> </w:t>
            </w:r>
          </w:p>
        </w:tc>
        <w:tc>
          <w:tcPr>
            <w:tcW w:w="1430" w:type="dxa"/>
            <w:tcBorders>
              <w:top w:val="single" w:sz="4" w:space="0" w:color="auto"/>
              <w:left w:val="nil"/>
              <w:bottom w:val="single" w:sz="4" w:space="0" w:color="auto"/>
              <w:right w:val="nil"/>
            </w:tcBorders>
          </w:tcPr>
          <w:p w:rsidR="006339DB" w:rsidRDefault="006339DB" w:rsidP="000A30C8">
            <w:pPr>
              <w:pStyle w:val="Heading7"/>
            </w:pPr>
            <w:r>
              <w:t> </w:t>
            </w:r>
          </w:p>
        </w:tc>
      </w:tr>
      <w:tr w:rsidR="006339DB" w:rsidTr="000A30C8">
        <w:trPr>
          <w:trHeight w:val="510"/>
        </w:trPr>
        <w:tc>
          <w:tcPr>
            <w:tcW w:w="5066" w:type="dxa"/>
            <w:tcBorders>
              <w:top w:val="single" w:sz="4" w:space="0" w:color="auto"/>
              <w:left w:val="nil"/>
              <w:bottom w:val="nil"/>
              <w:right w:val="nil"/>
            </w:tcBorders>
            <w:vAlign w:val="bottom"/>
          </w:tcPr>
          <w:p w:rsidR="006339DB" w:rsidRDefault="006339DB" w:rsidP="006339DB">
            <w:pPr>
              <w:pStyle w:val="TableTextIndent"/>
              <w:numPr>
                <w:ilvl w:val="0"/>
                <w:numId w:val="37"/>
              </w:numPr>
            </w:pPr>
            <w:r>
              <w:t>Business Activity Statements completed in accordance with ATO deadline</w:t>
            </w:r>
          </w:p>
        </w:tc>
        <w:tc>
          <w:tcPr>
            <w:tcW w:w="1430" w:type="dxa"/>
            <w:tcBorders>
              <w:top w:val="single" w:sz="4" w:space="0" w:color="auto"/>
              <w:left w:val="nil"/>
              <w:bottom w:val="nil"/>
              <w:right w:val="nil"/>
            </w:tcBorders>
            <w:vAlign w:val="bottom"/>
          </w:tcPr>
          <w:p w:rsidR="006339DB" w:rsidRDefault="006339DB" w:rsidP="000A30C8">
            <w:pPr>
              <w:pStyle w:val="AITableText"/>
            </w:pPr>
            <w:r>
              <w:t>95%</w:t>
            </w:r>
          </w:p>
        </w:tc>
        <w:tc>
          <w:tcPr>
            <w:tcW w:w="1430" w:type="dxa"/>
            <w:tcBorders>
              <w:top w:val="single" w:sz="4" w:space="0" w:color="auto"/>
              <w:left w:val="nil"/>
              <w:bottom w:val="nil"/>
              <w:right w:val="nil"/>
            </w:tcBorders>
            <w:vAlign w:val="bottom"/>
          </w:tcPr>
          <w:p w:rsidR="006339DB" w:rsidRDefault="006339DB" w:rsidP="000A30C8">
            <w:pPr>
              <w:pStyle w:val="AITableText"/>
            </w:pPr>
            <w:r>
              <w:t>95%</w:t>
            </w:r>
          </w:p>
        </w:tc>
        <w:tc>
          <w:tcPr>
            <w:tcW w:w="1430" w:type="dxa"/>
            <w:tcBorders>
              <w:top w:val="single" w:sz="4" w:space="0" w:color="auto"/>
              <w:left w:val="nil"/>
              <w:bottom w:val="nil"/>
              <w:right w:val="nil"/>
            </w:tcBorders>
            <w:vAlign w:val="bottom"/>
          </w:tcPr>
          <w:p w:rsidR="006339DB" w:rsidRDefault="006339DB" w:rsidP="000A30C8">
            <w:pPr>
              <w:pStyle w:val="AITableText"/>
            </w:pPr>
            <w:r>
              <w:t>n/a</w:t>
            </w:r>
          </w:p>
        </w:tc>
      </w:tr>
      <w:tr w:rsidR="006339DB" w:rsidTr="000A30C8">
        <w:trPr>
          <w:trHeight w:val="520"/>
        </w:trPr>
        <w:tc>
          <w:tcPr>
            <w:tcW w:w="5066" w:type="dxa"/>
            <w:tcBorders>
              <w:top w:val="nil"/>
              <w:left w:val="nil"/>
              <w:bottom w:val="nil"/>
              <w:right w:val="nil"/>
            </w:tcBorders>
            <w:vAlign w:val="bottom"/>
          </w:tcPr>
          <w:p w:rsidR="006339DB" w:rsidRDefault="006339DB" w:rsidP="000A30C8">
            <w:pPr>
              <w:pStyle w:val="TableTextIndent"/>
            </w:pPr>
            <w:r>
              <w:t>Fringe Benefits Tax Return submitted to the ATO in accordance with ATO deadline</w:t>
            </w:r>
          </w:p>
        </w:tc>
        <w:tc>
          <w:tcPr>
            <w:tcW w:w="1430" w:type="dxa"/>
            <w:tcBorders>
              <w:top w:val="nil"/>
              <w:left w:val="nil"/>
              <w:bottom w:val="nil"/>
              <w:right w:val="nil"/>
            </w:tcBorders>
            <w:vAlign w:val="bottom"/>
          </w:tcPr>
          <w:p w:rsidR="006339DB" w:rsidRDefault="006339DB" w:rsidP="000A30C8">
            <w:pPr>
              <w:pStyle w:val="AITableText"/>
            </w:pPr>
            <w:r>
              <w:t>95%</w:t>
            </w:r>
          </w:p>
        </w:tc>
        <w:tc>
          <w:tcPr>
            <w:tcW w:w="1430" w:type="dxa"/>
            <w:tcBorders>
              <w:top w:val="nil"/>
              <w:left w:val="nil"/>
              <w:bottom w:val="nil"/>
              <w:right w:val="nil"/>
            </w:tcBorders>
            <w:vAlign w:val="bottom"/>
          </w:tcPr>
          <w:p w:rsidR="006339DB" w:rsidRDefault="006339DB" w:rsidP="000A30C8">
            <w:pPr>
              <w:pStyle w:val="AITableText"/>
            </w:pPr>
            <w:r>
              <w:t>95%</w:t>
            </w:r>
          </w:p>
        </w:tc>
        <w:tc>
          <w:tcPr>
            <w:tcW w:w="1430" w:type="dxa"/>
            <w:tcBorders>
              <w:top w:val="nil"/>
              <w:left w:val="nil"/>
              <w:bottom w:val="nil"/>
              <w:right w:val="nil"/>
            </w:tcBorders>
            <w:vAlign w:val="bottom"/>
          </w:tcPr>
          <w:p w:rsidR="006339DB" w:rsidRDefault="006339DB" w:rsidP="000A30C8">
            <w:pPr>
              <w:pStyle w:val="AITableText"/>
            </w:pPr>
            <w:r>
              <w:t>n/a</w:t>
            </w:r>
          </w:p>
        </w:tc>
      </w:tr>
      <w:tr w:rsidR="006339DB" w:rsidTr="000A30C8">
        <w:trPr>
          <w:trHeight w:val="490"/>
        </w:trPr>
        <w:tc>
          <w:tcPr>
            <w:tcW w:w="5066" w:type="dxa"/>
            <w:tcBorders>
              <w:top w:val="nil"/>
              <w:left w:val="nil"/>
              <w:bottom w:val="nil"/>
              <w:right w:val="nil"/>
            </w:tcBorders>
            <w:vAlign w:val="bottom"/>
          </w:tcPr>
          <w:p w:rsidR="006339DB" w:rsidRDefault="006339DB" w:rsidP="000A30C8">
            <w:pPr>
              <w:pStyle w:val="TableTextIndent"/>
            </w:pPr>
            <w:r>
              <w:t>Monthly financial information available for use by agencies by 6</w:t>
            </w:r>
            <w:r>
              <w:rPr>
                <w:vertAlign w:val="superscript"/>
              </w:rPr>
              <w:t>th</w:t>
            </w:r>
            <w:r>
              <w:t xml:space="preserve"> working day of the month</w:t>
            </w:r>
          </w:p>
        </w:tc>
        <w:tc>
          <w:tcPr>
            <w:tcW w:w="1430" w:type="dxa"/>
            <w:tcBorders>
              <w:top w:val="nil"/>
              <w:left w:val="nil"/>
              <w:bottom w:val="nil"/>
              <w:right w:val="nil"/>
            </w:tcBorders>
            <w:vAlign w:val="bottom"/>
          </w:tcPr>
          <w:p w:rsidR="006339DB" w:rsidRDefault="006339DB" w:rsidP="000A30C8">
            <w:pPr>
              <w:pStyle w:val="AITableText"/>
            </w:pPr>
            <w:r>
              <w:t>95%</w:t>
            </w:r>
          </w:p>
        </w:tc>
        <w:tc>
          <w:tcPr>
            <w:tcW w:w="1430" w:type="dxa"/>
            <w:tcBorders>
              <w:top w:val="nil"/>
              <w:left w:val="nil"/>
              <w:bottom w:val="nil"/>
              <w:right w:val="nil"/>
            </w:tcBorders>
            <w:vAlign w:val="bottom"/>
          </w:tcPr>
          <w:p w:rsidR="006339DB" w:rsidRDefault="006339DB" w:rsidP="000A30C8">
            <w:pPr>
              <w:pStyle w:val="AITableText"/>
            </w:pPr>
            <w:r>
              <w:t>95%</w:t>
            </w:r>
          </w:p>
        </w:tc>
        <w:tc>
          <w:tcPr>
            <w:tcW w:w="1430" w:type="dxa"/>
            <w:tcBorders>
              <w:top w:val="nil"/>
              <w:left w:val="nil"/>
              <w:bottom w:val="nil"/>
              <w:right w:val="nil"/>
            </w:tcBorders>
            <w:vAlign w:val="bottom"/>
          </w:tcPr>
          <w:p w:rsidR="006339DB" w:rsidRDefault="006339DB" w:rsidP="000A30C8">
            <w:pPr>
              <w:pStyle w:val="AITableText"/>
            </w:pPr>
            <w:r>
              <w:t>n/a</w:t>
            </w:r>
          </w:p>
        </w:tc>
      </w:tr>
      <w:tr w:rsidR="006339DB" w:rsidTr="000A30C8">
        <w:trPr>
          <w:trHeight w:val="490"/>
        </w:trPr>
        <w:tc>
          <w:tcPr>
            <w:tcW w:w="5066" w:type="dxa"/>
            <w:tcBorders>
              <w:top w:val="nil"/>
              <w:left w:val="nil"/>
              <w:right w:val="nil"/>
            </w:tcBorders>
            <w:vAlign w:val="bottom"/>
          </w:tcPr>
          <w:p w:rsidR="006339DB" w:rsidRDefault="006339DB" w:rsidP="000A30C8">
            <w:pPr>
              <w:pStyle w:val="TableTextIndent"/>
            </w:pPr>
            <w:r>
              <w:t>Annual financial statements completed and sent to agencies by 9</w:t>
            </w:r>
            <w:r>
              <w:rPr>
                <w:vertAlign w:val="superscript"/>
              </w:rPr>
              <w:t>th</w:t>
            </w:r>
            <w:r>
              <w:t xml:space="preserve"> working day of July</w:t>
            </w:r>
          </w:p>
        </w:tc>
        <w:tc>
          <w:tcPr>
            <w:tcW w:w="1430" w:type="dxa"/>
            <w:tcBorders>
              <w:top w:val="nil"/>
              <w:left w:val="nil"/>
              <w:right w:val="nil"/>
            </w:tcBorders>
            <w:vAlign w:val="bottom"/>
          </w:tcPr>
          <w:p w:rsidR="006339DB" w:rsidRDefault="006339DB" w:rsidP="000A30C8">
            <w:pPr>
              <w:pStyle w:val="AITableText"/>
            </w:pPr>
            <w:r>
              <w:t>95%</w:t>
            </w:r>
          </w:p>
        </w:tc>
        <w:tc>
          <w:tcPr>
            <w:tcW w:w="1430" w:type="dxa"/>
            <w:tcBorders>
              <w:top w:val="nil"/>
              <w:left w:val="nil"/>
              <w:right w:val="nil"/>
            </w:tcBorders>
            <w:vAlign w:val="bottom"/>
          </w:tcPr>
          <w:p w:rsidR="006339DB" w:rsidRDefault="006339DB" w:rsidP="000A30C8">
            <w:pPr>
              <w:pStyle w:val="AITableText"/>
            </w:pPr>
            <w:r>
              <w:t>95%</w:t>
            </w:r>
          </w:p>
        </w:tc>
        <w:tc>
          <w:tcPr>
            <w:tcW w:w="1430" w:type="dxa"/>
            <w:tcBorders>
              <w:top w:val="nil"/>
              <w:left w:val="nil"/>
              <w:right w:val="nil"/>
            </w:tcBorders>
            <w:vAlign w:val="bottom"/>
          </w:tcPr>
          <w:p w:rsidR="006339DB" w:rsidRDefault="006339DB" w:rsidP="000A30C8">
            <w:pPr>
              <w:pStyle w:val="AITableText"/>
            </w:pPr>
            <w:r>
              <w:t>n/a</w:t>
            </w:r>
          </w:p>
        </w:tc>
      </w:tr>
      <w:tr w:rsidR="006339DB" w:rsidTr="000A30C8">
        <w:trPr>
          <w:trHeight w:val="496"/>
        </w:trPr>
        <w:tc>
          <w:tcPr>
            <w:tcW w:w="5066" w:type="dxa"/>
            <w:tcBorders>
              <w:top w:val="nil"/>
              <w:left w:val="nil"/>
              <w:bottom w:val="single" w:sz="4" w:space="0" w:color="auto"/>
              <w:right w:val="nil"/>
            </w:tcBorders>
            <w:vAlign w:val="bottom"/>
          </w:tcPr>
          <w:p w:rsidR="006339DB" w:rsidRDefault="006339DB" w:rsidP="000A30C8">
            <w:pPr>
              <w:pStyle w:val="TableTextIndent"/>
            </w:pPr>
            <w:r>
              <w:t>Average time (i.e. working days) taken to enter accounts payable invoices into Oracle following receipt at Shared Services Finance from agencies</w:t>
            </w:r>
          </w:p>
        </w:tc>
        <w:tc>
          <w:tcPr>
            <w:tcW w:w="1430" w:type="dxa"/>
            <w:tcBorders>
              <w:top w:val="nil"/>
              <w:left w:val="nil"/>
              <w:bottom w:val="single" w:sz="4" w:space="0" w:color="auto"/>
              <w:right w:val="nil"/>
            </w:tcBorders>
            <w:vAlign w:val="bottom"/>
          </w:tcPr>
          <w:p w:rsidR="006339DB" w:rsidRDefault="006339DB" w:rsidP="000A30C8">
            <w:pPr>
              <w:pStyle w:val="AITableText"/>
            </w:pPr>
            <w:r>
              <w:t>2</w:t>
            </w:r>
          </w:p>
        </w:tc>
        <w:tc>
          <w:tcPr>
            <w:tcW w:w="1430" w:type="dxa"/>
            <w:tcBorders>
              <w:top w:val="nil"/>
              <w:left w:val="nil"/>
              <w:bottom w:val="single" w:sz="4" w:space="0" w:color="auto"/>
              <w:right w:val="nil"/>
            </w:tcBorders>
            <w:vAlign w:val="bottom"/>
          </w:tcPr>
          <w:p w:rsidR="006339DB" w:rsidRDefault="006339DB" w:rsidP="000A30C8">
            <w:pPr>
              <w:pStyle w:val="AITableText"/>
            </w:pPr>
            <w:r>
              <w:t>2</w:t>
            </w:r>
          </w:p>
        </w:tc>
        <w:tc>
          <w:tcPr>
            <w:tcW w:w="1430" w:type="dxa"/>
            <w:tcBorders>
              <w:top w:val="nil"/>
              <w:left w:val="nil"/>
              <w:bottom w:val="single" w:sz="4" w:space="0" w:color="auto"/>
              <w:right w:val="nil"/>
            </w:tcBorders>
            <w:vAlign w:val="bottom"/>
          </w:tcPr>
          <w:p w:rsidR="006339DB" w:rsidRDefault="006339DB" w:rsidP="000A30C8">
            <w:pPr>
              <w:pStyle w:val="AITableText"/>
            </w:pPr>
            <w:r>
              <w:t>n/a</w:t>
            </w:r>
          </w:p>
        </w:tc>
      </w:tr>
    </w:tbl>
    <w:p w:rsidR="006339DB" w:rsidRDefault="006339DB" w:rsidP="006339DB">
      <w:pPr>
        <w:pStyle w:val="NoteHeading"/>
        <w:spacing w:before="40"/>
      </w:pPr>
      <w:r>
        <w:t>Note:</w:t>
      </w:r>
    </w:p>
    <w:p w:rsidR="006339DB" w:rsidRPr="007C47E5" w:rsidRDefault="006339DB" w:rsidP="006339DB">
      <w:pPr>
        <w:pStyle w:val="AINotes"/>
        <w:numPr>
          <w:ilvl w:val="0"/>
          <w:numId w:val="27"/>
        </w:numPr>
      </w:pPr>
      <w:r>
        <w:t>These indicators have</w:t>
      </w:r>
      <w:r w:rsidRPr="007C47E5">
        <w:t xml:space="preserve"> been transferred to the </w:t>
      </w:r>
      <w:r w:rsidRPr="00F852E9">
        <w:rPr>
          <w:bCs/>
        </w:rPr>
        <w:t>Commerce and Works</w:t>
      </w:r>
      <w:r w:rsidRPr="00F852E9">
        <w:rPr>
          <w:b/>
          <w:bCs/>
        </w:rPr>
        <w:t xml:space="preserve"> </w:t>
      </w:r>
      <w:r>
        <w:t>Directorate and are</w:t>
      </w:r>
      <w:r w:rsidRPr="007C47E5">
        <w:t xml:space="preserve"> reported as </w:t>
      </w:r>
      <w:r>
        <w:t>Output Class 5</w:t>
      </w:r>
      <w:r w:rsidRPr="007C47E5">
        <w:t xml:space="preserve">.1 </w:t>
      </w:r>
      <w:r w:rsidRPr="00F852E9">
        <w:rPr>
          <w:color w:val="000000"/>
        </w:rPr>
        <w:t>Shared Services Finance</w:t>
      </w:r>
      <w:r w:rsidRPr="007C47E5">
        <w:t>.</w:t>
      </w:r>
    </w:p>
    <w:p w:rsidR="006339DB" w:rsidRPr="00F852E9" w:rsidRDefault="006339DB" w:rsidP="006339DB">
      <w:pPr>
        <w:rPr>
          <w:sz w:val="2"/>
          <w:szCs w:val="2"/>
          <w:highlight w:val="yellow"/>
        </w:rPr>
      </w:pPr>
      <w:r>
        <w:br w:type="page"/>
      </w:r>
    </w:p>
    <w:p w:rsidR="006339DB" w:rsidRDefault="006339DB" w:rsidP="006339DB">
      <w:pPr>
        <w:pStyle w:val="Heading3"/>
        <w:spacing w:before="0"/>
      </w:pPr>
      <w:bookmarkStart w:id="12" w:name="RANGE!A1:H51"/>
      <w:r>
        <w:lastRenderedPageBreak/>
        <w:t>Changes to Appropriation</w:t>
      </w:r>
    </w:p>
    <w:tbl>
      <w:tblPr>
        <w:tblW w:w="9356" w:type="dxa"/>
        <w:tblLook w:val="04A0"/>
      </w:tblPr>
      <w:tblGrid>
        <w:gridCol w:w="4451"/>
        <w:gridCol w:w="981"/>
        <w:gridCol w:w="981"/>
        <w:gridCol w:w="981"/>
        <w:gridCol w:w="981"/>
        <w:gridCol w:w="981"/>
      </w:tblGrid>
      <w:tr w:rsidR="006339DB" w:rsidRPr="00636DD0" w:rsidTr="000A30C8">
        <w:trPr>
          <w:trHeight w:val="240"/>
        </w:trPr>
        <w:tc>
          <w:tcPr>
            <w:tcW w:w="4451" w:type="dxa"/>
            <w:tcBorders>
              <w:top w:val="nil"/>
              <w:left w:val="nil"/>
              <w:bottom w:val="nil"/>
              <w:right w:val="nil"/>
            </w:tcBorders>
            <w:shd w:val="clear" w:color="auto" w:fill="auto"/>
            <w:hideMark/>
          </w:tcPr>
          <w:p w:rsidR="006339DB" w:rsidRPr="00636DD0" w:rsidRDefault="006339DB" w:rsidP="000A30C8">
            <w:pPr>
              <w:rPr>
                <w:b/>
                <w:bCs/>
                <w:sz w:val="18"/>
                <w:szCs w:val="18"/>
                <w:lang w:eastAsia="en-AU"/>
              </w:rPr>
            </w:pPr>
            <w:r w:rsidRPr="00636DD0">
              <w:rPr>
                <w:b/>
                <w:bCs/>
                <w:sz w:val="18"/>
                <w:szCs w:val="18"/>
                <w:lang w:eastAsia="en-AU"/>
              </w:rPr>
              <w:t>Changes to Appropriation — Controlled</w:t>
            </w:r>
          </w:p>
        </w:tc>
        <w:tc>
          <w:tcPr>
            <w:tcW w:w="981" w:type="dxa"/>
            <w:tcBorders>
              <w:top w:val="nil"/>
              <w:left w:val="nil"/>
              <w:bottom w:val="nil"/>
              <w:right w:val="nil"/>
            </w:tcBorders>
            <w:shd w:val="clear" w:color="auto" w:fill="auto"/>
            <w:noWrap/>
            <w:hideMark/>
          </w:tcPr>
          <w:p w:rsidR="006339DB" w:rsidRPr="00636DD0" w:rsidRDefault="006339DB" w:rsidP="000A30C8">
            <w:pPr>
              <w:jc w:val="right"/>
              <w:rPr>
                <w:b/>
                <w:sz w:val="18"/>
                <w:szCs w:val="18"/>
                <w:lang w:eastAsia="en-AU"/>
              </w:rPr>
            </w:pPr>
          </w:p>
        </w:tc>
        <w:tc>
          <w:tcPr>
            <w:tcW w:w="981" w:type="dxa"/>
            <w:tcBorders>
              <w:top w:val="nil"/>
              <w:left w:val="nil"/>
              <w:bottom w:val="nil"/>
              <w:right w:val="nil"/>
            </w:tcBorders>
            <w:shd w:val="clear" w:color="auto" w:fill="auto"/>
            <w:noWrap/>
            <w:hideMark/>
          </w:tcPr>
          <w:p w:rsidR="006339DB" w:rsidRPr="00636DD0" w:rsidRDefault="006339DB" w:rsidP="000A30C8">
            <w:pPr>
              <w:jc w:val="right"/>
              <w:rPr>
                <w:b/>
                <w:sz w:val="18"/>
                <w:szCs w:val="18"/>
                <w:lang w:eastAsia="en-AU"/>
              </w:rPr>
            </w:pPr>
          </w:p>
        </w:tc>
        <w:tc>
          <w:tcPr>
            <w:tcW w:w="981" w:type="dxa"/>
            <w:tcBorders>
              <w:top w:val="nil"/>
              <w:left w:val="nil"/>
              <w:bottom w:val="nil"/>
              <w:right w:val="nil"/>
            </w:tcBorders>
            <w:shd w:val="clear" w:color="auto" w:fill="auto"/>
            <w:noWrap/>
            <w:hideMark/>
          </w:tcPr>
          <w:p w:rsidR="006339DB" w:rsidRPr="00636DD0" w:rsidRDefault="006339DB" w:rsidP="000A30C8">
            <w:pPr>
              <w:jc w:val="right"/>
              <w:rPr>
                <w:b/>
                <w:sz w:val="18"/>
                <w:szCs w:val="18"/>
                <w:lang w:eastAsia="en-AU"/>
              </w:rPr>
            </w:pPr>
          </w:p>
        </w:tc>
        <w:tc>
          <w:tcPr>
            <w:tcW w:w="981" w:type="dxa"/>
            <w:tcBorders>
              <w:top w:val="nil"/>
              <w:left w:val="nil"/>
              <w:bottom w:val="nil"/>
              <w:right w:val="nil"/>
            </w:tcBorders>
            <w:shd w:val="clear" w:color="auto" w:fill="auto"/>
            <w:noWrap/>
            <w:hideMark/>
          </w:tcPr>
          <w:p w:rsidR="006339DB" w:rsidRPr="00636DD0" w:rsidRDefault="006339DB" w:rsidP="000A30C8">
            <w:pPr>
              <w:jc w:val="right"/>
              <w:rPr>
                <w:b/>
                <w:sz w:val="18"/>
                <w:szCs w:val="18"/>
                <w:lang w:eastAsia="en-AU"/>
              </w:rPr>
            </w:pPr>
          </w:p>
        </w:tc>
        <w:tc>
          <w:tcPr>
            <w:tcW w:w="981" w:type="dxa"/>
            <w:tcBorders>
              <w:top w:val="nil"/>
              <w:left w:val="nil"/>
              <w:bottom w:val="nil"/>
              <w:right w:val="nil"/>
            </w:tcBorders>
            <w:shd w:val="clear" w:color="auto" w:fill="auto"/>
            <w:noWrap/>
            <w:hideMark/>
          </w:tcPr>
          <w:p w:rsidR="006339DB" w:rsidRPr="00636DD0" w:rsidRDefault="006339DB" w:rsidP="000A30C8">
            <w:pPr>
              <w:jc w:val="right"/>
              <w:rPr>
                <w:b/>
                <w:sz w:val="18"/>
                <w:szCs w:val="18"/>
                <w:lang w:eastAsia="en-AU"/>
              </w:rPr>
            </w:pPr>
          </w:p>
        </w:tc>
      </w:tr>
      <w:tr w:rsidR="006339DB" w:rsidRPr="00186BF7" w:rsidTr="000A30C8">
        <w:trPr>
          <w:trHeight w:val="240"/>
        </w:trPr>
        <w:tc>
          <w:tcPr>
            <w:tcW w:w="4451" w:type="dxa"/>
            <w:tcBorders>
              <w:top w:val="single" w:sz="4" w:space="0" w:color="auto"/>
              <w:left w:val="nil"/>
              <w:bottom w:val="nil"/>
              <w:right w:val="nil"/>
            </w:tcBorders>
            <w:shd w:val="clear" w:color="auto" w:fill="auto"/>
            <w:hideMark/>
          </w:tcPr>
          <w:p w:rsidR="006339DB" w:rsidRPr="00186BF7" w:rsidRDefault="006339DB" w:rsidP="000A30C8">
            <w:pPr>
              <w:rPr>
                <w:b/>
                <w:bCs/>
                <w:sz w:val="18"/>
                <w:szCs w:val="18"/>
                <w:lang w:eastAsia="en-AU"/>
              </w:rPr>
            </w:pPr>
            <w:r w:rsidRPr="00186BF7">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2016-17</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b/>
                <w:bCs/>
                <w:sz w:val="18"/>
                <w:szCs w:val="18"/>
                <w:lang w:eastAsia="en-AU"/>
              </w:rPr>
            </w:pPr>
            <w:r w:rsidRPr="00186BF7">
              <w:rPr>
                <w:b/>
                <w:bCs/>
                <w:sz w:val="18"/>
                <w:szCs w:val="18"/>
                <w:lang w:eastAsia="en-AU"/>
              </w:rPr>
              <w:t>Government Payment for Outputs</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Est. Out.</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Budget</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Estimate</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Estimate</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Estimate</w:t>
            </w:r>
          </w:p>
        </w:tc>
      </w:tr>
      <w:tr w:rsidR="006339DB" w:rsidRPr="00186BF7" w:rsidTr="000A30C8">
        <w:trPr>
          <w:trHeight w:val="240"/>
        </w:trPr>
        <w:tc>
          <w:tcPr>
            <w:tcW w:w="4451" w:type="dxa"/>
            <w:tcBorders>
              <w:top w:val="nil"/>
              <w:left w:val="nil"/>
              <w:bottom w:val="single" w:sz="4" w:space="0" w:color="auto"/>
              <w:right w:val="nil"/>
            </w:tcBorders>
            <w:shd w:val="clear" w:color="auto" w:fill="auto"/>
            <w:hideMark/>
          </w:tcPr>
          <w:p w:rsidR="006339DB" w:rsidRPr="00186BF7" w:rsidRDefault="006339DB" w:rsidP="000A30C8">
            <w:pPr>
              <w:rPr>
                <w:b/>
                <w:bCs/>
                <w:sz w:val="18"/>
                <w:szCs w:val="18"/>
                <w:lang w:eastAsia="en-AU"/>
              </w:rPr>
            </w:pPr>
            <w:r w:rsidRPr="00186BF7">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$'000</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b/>
                <w:bCs/>
                <w:sz w:val="18"/>
                <w:szCs w:val="18"/>
                <w:lang w:eastAsia="en-AU"/>
              </w:rPr>
            </w:pPr>
            <w:r w:rsidRPr="00186BF7">
              <w:rPr>
                <w:b/>
                <w:bCs/>
                <w:sz w:val="18"/>
                <w:szCs w:val="18"/>
                <w:lang w:eastAsia="en-AU"/>
              </w:rPr>
              <w:t>2012-13 Budget</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12,173</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13,599</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13,371</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12,259</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12,259</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b/>
                <w:bCs/>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b/>
                <w:bCs/>
                <w:sz w:val="18"/>
                <w:szCs w:val="18"/>
                <w:lang w:eastAsia="en-AU"/>
              </w:rPr>
            </w:pPr>
            <w:r w:rsidRPr="00186BF7">
              <w:rPr>
                <w:b/>
                <w:bCs/>
                <w:sz w:val="18"/>
                <w:szCs w:val="18"/>
                <w:lang w:eastAsia="en-AU"/>
              </w:rPr>
              <w:t>FMA Section 16B Rollovers from 2011-12</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r w:rsidRPr="00186BF7">
              <w:rPr>
                <w:sz w:val="18"/>
                <w:szCs w:val="18"/>
                <w:lang w:eastAsia="en-AU"/>
              </w:rPr>
              <w:t>Data Centre Infrastructure</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109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b/>
                <w:bCs/>
                <w:sz w:val="18"/>
                <w:szCs w:val="18"/>
                <w:lang w:eastAsia="en-AU"/>
              </w:rPr>
            </w:pPr>
            <w:r w:rsidRPr="00186BF7">
              <w:rPr>
                <w:b/>
                <w:bCs/>
                <w:sz w:val="18"/>
                <w:szCs w:val="18"/>
                <w:lang w:eastAsia="en-AU"/>
              </w:rPr>
              <w:t>2013-14 Budget Technical Adjustments</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r w:rsidRPr="00186BF7">
              <w:rPr>
                <w:sz w:val="18"/>
                <w:szCs w:val="18"/>
                <w:lang w:eastAsia="en-AU"/>
              </w:rPr>
              <w:t xml:space="preserve">Revised Indexation </w:t>
            </w:r>
            <w:r>
              <w:rPr>
                <w:sz w:val="18"/>
                <w:szCs w:val="18"/>
                <w:lang w:eastAsia="en-AU"/>
              </w:rPr>
              <w:t>Parameters</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213 </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r w:rsidRPr="00186BF7">
              <w:rPr>
                <w:sz w:val="18"/>
                <w:szCs w:val="18"/>
                <w:lang w:eastAsia="en-AU"/>
              </w:rPr>
              <w:t xml:space="preserve">Transfer </w:t>
            </w:r>
            <w:r w:rsidRPr="00636DD0">
              <w:rPr>
                <w:bCs/>
                <w:sz w:val="18"/>
                <w:szCs w:val="18"/>
                <w:lang w:eastAsia="en-AU"/>
              </w:rPr>
              <w:t>—</w:t>
            </w:r>
            <w:r>
              <w:rPr>
                <w:b/>
                <w:bCs/>
                <w:sz w:val="18"/>
                <w:szCs w:val="18"/>
                <w:lang w:eastAsia="en-AU"/>
              </w:rPr>
              <w:t xml:space="preserve"> </w:t>
            </w:r>
            <w:r w:rsidRPr="00186BF7">
              <w:rPr>
                <w:sz w:val="18"/>
                <w:szCs w:val="18"/>
                <w:lang w:eastAsia="en-AU"/>
              </w:rPr>
              <w:t>Injury Management and Safety Unit to CMTD</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(634)</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(814)</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r w:rsidRPr="00186BF7">
              <w:rPr>
                <w:sz w:val="18"/>
                <w:szCs w:val="18"/>
                <w:lang w:eastAsia="en-AU"/>
              </w:rPr>
              <w:t xml:space="preserve">Revised Funding Profile </w:t>
            </w:r>
            <w:r w:rsidRPr="00636DD0">
              <w:rPr>
                <w:bCs/>
                <w:sz w:val="18"/>
                <w:szCs w:val="18"/>
                <w:lang w:eastAsia="en-AU"/>
              </w:rPr>
              <w:t>—</w:t>
            </w:r>
            <w:r>
              <w:rPr>
                <w:b/>
                <w:bCs/>
                <w:sz w:val="18"/>
                <w:szCs w:val="18"/>
                <w:lang w:eastAsia="en-AU"/>
              </w:rPr>
              <w:t xml:space="preserve"> </w:t>
            </w:r>
            <w:r w:rsidRPr="00186BF7">
              <w:rPr>
                <w:sz w:val="18"/>
                <w:szCs w:val="18"/>
                <w:lang w:eastAsia="en-AU"/>
              </w:rPr>
              <w:t>Data Storage Infrastructure</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(704)</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704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r>
      <w:tr w:rsidR="006339DB" w:rsidRPr="00186BF7" w:rsidTr="000A30C8">
        <w:trPr>
          <w:trHeight w:val="48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r w:rsidRPr="00186BF7">
              <w:rPr>
                <w:sz w:val="18"/>
                <w:szCs w:val="18"/>
                <w:lang w:eastAsia="en-AU"/>
              </w:rPr>
              <w:t xml:space="preserve">Revised Funding Profile </w:t>
            </w:r>
            <w:r w:rsidRPr="00636DD0">
              <w:rPr>
                <w:bCs/>
                <w:sz w:val="18"/>
                <w:szCs w:val="18"/>
                <w:lang w:eastAsia="en-AU"/>
              </w:rPr>
              <w:t xml:space="preserve">— </w:t>
            </w:r>
            <w:r w:rsidRPr="00186BF7">
              <w:rPr>
                <w:sz w:val="18"/>
                <w:szCs w:val="18"/>
                <w:lang w:eastAsia="en-AU"/>
              </w:rPr>
              <w:t>Upgrade / Replacement of ACT Government HRIMS (Feasibility)</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(579)</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579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r w:rsidRPr="00186BF7">
              <w:rPr>
                <w:sz w:val="18"/>
                <w:szCs w:val="18"/>
                <w:lang w:eastAsia="en-AU"/>
              </w:rPr>
              <w:t xml:space="preserve">Revised Funding Profile </w:t>
            </w:r>
            <w:r w:rsidRPr="00636DD0">
              <w:rPr>
                <w:bCs/>
                <w:sz w:val="18"/>
                <w:szCs w:val="18"/>
                <w:lang w:eastAsia="en-AU"/>
              </w:rPr>
              <w:t xml:space="preserve">— </w:t>
            </w:r>
            <w:r w:rsidRPr="00186BF7">
              <w:rPr>
                <w:sz w:val="18"/>
                <w:szCs w:val="18"/>
                <w:lang w:eastAsia="en-AU"/>
              </w:rPr>
              <w:t>Service Monitoring and Reporting</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(500)</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500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r w:rsidRPr="00186BF7">
              <w:rPr>
                <w:sz w:val="18"/>
                <w:szCs w:val="18"/>
                <w:lang w:eastAsia="en-AU"/>
              </w:rPr>
              <w:t xml:space="preserve">Transfer </w:t>
            </w:r>
            <w:r w:rsidRPr="00636DD0">
              <w:rPr>
                <w:bCs/>
                <w:sz w:val="18"/>
                <w:szCs w:val="18"/>
                <w:lang w:eastAsia="en-AU"/>
              </w:rPr>
              <w:t xml:space="preserve">— </w:t>
            </w:r>
            <w:r w:rsidRPr="00186BF7">
              <w:rPr>
                <w:sz w:val="18"/>
                <w:szCs w:val="18"/>
                <w:lang w:eastAsia="en-AU"/>
              </w:rPr>
              <w:t>Functions of Shared Services to CWD</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(14,568)</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(13,371)</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(12,259)</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(12,472)</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r>
      <w:tr w:rsidR="006339DB" w:rsidRPr="00186BF7" w:rsidTr="000A30C8">
        <w:trPr>
          <w:trHeight w:val="240"/>
        </w:trPr>
        <w:tc>
          <w:tcPr>
            <w:tcW w:w="4451" w:type="dxa"/>
            <w:tcBorders>
              <w:top w:val="nil"/>
              <w:left w:val="nil"/>
              <w:bottom w:val="single" w:sz="4" w:space="0" w:color="auto"/>
              <w:right w:val="nil"/>
            </w:tcBorders>
            <w:shd w:val="clear" w:color="auto" w:fill="auto"/>
            <w:hideMark/>
          </w:tcPr>
          <w:p w:rsidR="006339DB" w:rsidRPr="00186BF7" w:rsidRDefault="006339DB" w:rsidP="000A30C8">
            <w:pPr>
              <w:rPr>
                <w:b/>
                <w:bCs/>
                <w:sz w:val="18"/>
                <w:szCs w:val="18"/>
                <w:lang w:eastAsia="en-AU"/>
              </w:rPr>
            </w:pPr>
            <w:r w:rsidRPr="00186BF7">
              <w:rPr>
                <w:b/>
                <w:bCs/>
                <w:sz w:val="18"/>
                <w:szCs w:val="18"/>
                <w:lang w:eastAsia="en-AU"/>
              </w:rPr>
              <w:t>2013-14 Budget</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9,865</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r>
      <w:tr w:rsidR="006339DB" w:rsidRPr="00636DD0" w:rsidTr="000A30C8">
        <w:trPr>
          <w:trHeight w:val="240"/>
        </w:trPr>
        <w:tc>
          <w:tcPr>
            <w:tcW w:w="4451" w:type="dxa"/>
            <w:tcBorders>
              <w:top w:val="nil"/>
              <w:left w:val="nil"/>
              <w:bottom w:val="nil"/>
              <w:right w:val="nil"/>
            </w:tcBorders>
            <w:shd w:val="clear" w:color="auto" w:fill="auto"/>
            <w:hideMark/>
          </w:tcPr>
          <w:p w:rsidR="006339DB" w:rsidRPr="00636DD0" w:rsidRDefault="006339DB" w:rsidP="000A30C8">
            <w:pPr>
              <w:rPr>
                <w:b/>
                <w:bCs/>
                <w:sz w:val="18"/>
                <w:szCs w:val="18"/>
                <w:lang w:eastAsia="en-AU"/>
              </w:rPr>
            </w:pPr>
            <w:r w:rsidRPr="00636DD0">
              <w:rPr>
                <w:b/>
                <w:bCs/>
                <w:sz w:val="18"/>
                <w:szCs w:val="18"/>
                <w:lang w:eastAsia="en-AU"/>
              </w:rPr>
              <w:t>Changes to Appropriation — Controlled</w:t>
            </w:r>
          </w:p>
        </w:tc>
        <w:tc>
          <w:tcPr>
            <w:tcW w:w="981" w:type="dxa"/>
            <w:tcBorders>
              <w:top w:val="nil"/>
              <w:left w:val="nil"/>
              <w:bottom w:val="nil"/>
              <w:right w:val="nil"/>
            </w:tcBorders>
            <w:shd w:val="clear" w:color="auto" w:fill="auto"/>
            <w:noWrap/>
            <w:hideMark/>
          </w:tcPr>
          <w:p w:rsidR="006339DB" w:rsidRPr="00636DD0" w:rsidRDefault="006339DB" w:rsidP="000A30C8">
            <w:pPr>
              <w:jc w:val="right"/>
              <w:rPr>
                <w:b/>
                <w:sz w:val="18"/>
                <w:szCs w:val="18"/>
                <w:lang w:eastAsia="en-AU"/>
              </w:rPr>
            </w:pPr>
          </w:p>
        </w:tc>
        <w:tc>
          <w:tcPr>
            <w:tcW w:w="981" w:type="dxa"/>
            <w:tcBorders>
              <w:top w:val="nil"/>
              <w:left w:val="nil"/>
              <w:bottom w:val="nil"/>
              <w:right w:val="nil"/>
            </w:tcBorders>
            <w:shd w:val="clear" w:color="auto" w:fill="auto"/>
            <w:noWrap/>
            <w:hideMark/>
          </w:tcPr>
          <w:p w:rsidR="006339DB" w:rsidRPr="00636DD0" w:rsidRDefault="006339DB" w:rsidP="000A30C8">
            <w:pPr>
              <w:jc w:val="right"/>
              <w:rPr>
                <w:b/>
                <w:sz w:val="18"/>
                <w:szCs w:val="18"/>
                <w:lang w:eastAsia="en-AU"/>
              </w:rPr>
            </w:pPr>
          </w:p>
        </w:tc>
        <w:tc>
          <w:tcPr>
            <w:tcW w:w="981" w:type="dxa"/>
            <w:tcBorders>
              <w:top w:val="nil"/>
              <w:left w:val="nil"/>
              <w:bottom w:val="nil"/>
              <w:right w:val="nil"/>
            </w:tcBorders>
            <w:shd w:val="clear" w:color="auto" w:fill="auto"/>
            <w:noWrap/>
            <w:hideMark/>
          </w:tcPr>
          <w:p w:rsidR="006339DB" w:rsidRPr="00636DD0" w:rsidRDefault="006339DB" w:rsidP="000A30C8">
            <w:pPr>
              <w:jc w:val="right"/>
              <w:rPr>
                <w:b/>
                <w:sz w:val="18"/>
                <w:szCs w:val="18"/>
                <w:lang w:eastAsia="en-AU"/>
              </w:rPr>
            </w:pPr>
          </w:p>
        </w:tc>
        <w:tc>
          <w:tcPr>
            <w:tcW w:w="981" w:type="dxa"/>
            <w:tcBorders>
              <w:top w:val="nil"/>
              <w:left w:val="nil"/>
              <w:bottom w:val="nil"/>
              <w:right w:val="nil"/>
            </w:tcBorders>
            <w:shd w:val="clear" w:color="auto" w:fill="auto"/>
            <w:noWrap/>
            <w:hideMark/>
          </w:tcPr>
          <w:p w:rsidR="006339DB" w:rsidRPr="00636DD0" w:rsidRDefault="006339DB" w:rsidP="000A30C8">
            <w:pPr>
              <w:jc w:val="right"/>
              <w:rPr>
                <w:b/>
                <w:sz w:val="18"/>
                <w:szCs w:val="18"/>
                <w:lang w:eastAsia="en-AU"/>
              </w:rPr>
            </w:pPr>
          </w:p>
        </w:tc>
        <w:tc>
          <w:tcPr>
            <w:tcW w:w="981" w:type="dxa"/>
            <w:tcBorders>
              <w:top w:val="nil"/>
              <w:left w:val="nil"/>
              <w:bottom w:val="nil"/>
              <w:right w:val="nil"/>
            </w:tcBorders>
            <w:shd w:val="clear" w:color="auto" w:fill="auto"/>
            <w:noWrap/>
            <w:hideMark/>
          </w:tcPr>
          <w:p w:rsidR="006339DB" w:rsidRPr="00636DD0" w:rsidRDefault="006339DB" w:rsidP="000A30C8">
            <w:pPr>
              <w:jc w:val="right"/>
              <w:rPr>
                <w:b/>
                <w:sz w:val="18"/>
                <w:szCs w:val="18"/>
                <w:lang w:eastAsia="en-AU"/>
              </w:rPr>
            </w:pPr>
          </w:p>
        </w:tc>
      </w:tr>
      <w:tr w:rsidR="006339DB" w:rsidRPr="00186BF7" w:rsidTr="000A30C8">
        <w:trPr>
          <w:trHeight w:val="240"/>
        </w:trPr>
        <w:tc>
          <w:tcPr>
            <w:tcW w:w="4451" w:type="dxa"/>
            <w:tcBorders>
              <w:top w:val="single" w:sz="4" w:space="0" w:color="auto"/>
              <w:left w:val="nil"/>
              <w:bottom w:val="nil"/>
              <w:right w:val="nil"/>
            </w:tcBorders>
            <w:shd w:val="clear" w:color="auto" w:fill="auto"/>
            <w:hideMark/>
          </w:tcPr>
          <w:p w:rsidR="006339DB" w:rsidRPr="00186BF7" w:rsidRDefault="006339DB" w:rsidP="000A30C8">
            <w:pPr>
              <w:rPr>
                <w:b/>
                <w:bCs/>
                <w:sz w:val="18"/>
                <w:szCs w:val="18"/>
                <w:lang w:eastAsia="en-AU"/>
              </w:rPr>
            </w:pPr>
            <w:r w:rsidRPr="00186BF7">
              <w:rPr>
                <w:b/>
                <w:bCs/>
                <w:sz w:val="18"/>
                <w:szCs w:val="18"/>
                <w:lang w:eastAsia="en-AU"/>
              </w:rPr>
              <w:t> </w:t>
            </w:r>
          </w:p>
        </w:tc>
        <w:tc>
          <w:tcPr>
            <w:tcW w:w="981" w:type="dxa"/>
            <w:tcBorders>
              <w:top w:val="single" w:sz="4" w:space="0" w:color="auto"/>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2012-13</w:t>
            </w:r>
          </w:p>
        </w:tc>
        <w:tc>
          <w:tcPr>
            <w:tcW w:w="981" w:type="dxa"/>
            <w:tcBorders>
              <w:top w:val="single" w:sz="4" w:space="0" w:color="auto"/>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2013-14</w:t>
            </w:r>
          </w:p>
        </w:tc>
        <w:tc>
          <w:tcPr>
            <w:tcW w:w="981" w:type="dxa"/>
            <w:tcBorders>
              <w:top w:val="single" w:sz="4" w:space="0" w:color="auto"/>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2014-15</w:t>
            </w:r>
          </w:p>
        </w:tc>
        <w:tc>
          <w:tcPr>
            <w:tcW w:w="981" w:type="dxa"/>
            <w:tcBorders>
              <w:top w:val="single" w:sz="4" w:space="0" w:color="auto"/>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2015-16</w:t>
            </w:r>
          </w:p>
        </w:tc>
        <w:tc>
          <w:tcPr>
            <w:tcW w:w="981" w:type="dxa"/>
            <w:tcBorders>
              <w:top w:val="single" w:sz="4" w:space="0" w:color="auto"/>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2016-17</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b/>
                <w:bCs/>
                <w:sz w:val="18"/>
                <w:szCs w:val="18"/>
                <w:lang w:eastAsia="en-AU"/>
              </w:rPr>
            </w:pPr>
            <w:r w:rsidRPr="00186BF7">
              <w:rPr>
                <w:b/>
                <w:bCs/>
                <w:sz w:val="18"/>
                <w:szCs w:val="18"/>
                <w:lang w:eastAsia="en-AU"/>
              </w:rPr>
              <w:t>Capital Injections</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Est. Out.</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Budget</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Estimate</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Estimate</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Estimate</w:t>
            </w:r>
          </w:p>
        </w:tc>
      </w:tr>
      <w:tr w:rsidR="006339DB" w:rsidRPr="00186BF7" w:rsidTr="000A30C8">
        <w:trPr>
          <w:trHeight w:val="240"/>
        </w:trPr>
        <w:tc>
          <w:tcPr>
            <w:tcW w:w="4451" w:type="dxa"/>
            <w:tcBorders>
              <w:top w:val="nil"/>
              <w:left w:val="nil"/>
              <w:bottom w:val="single" w:sz="4" w:space="0" w:color="auto"/>
              <w:right w:val="nil"/>
            </w:tcBorders>
            <w:shd w:val="clear" w:color="auto" w:fill="auto"/>
            <w:hideMark/>
          </w:tcPr>
          <w:p w:rsidR="006339DB" w:rsidRPr="00186BF7" w:rsidRDefault="006339DB" w:rsidP="000A30C8">
            <w:pPr>
              <w:rPr>
                <w:b/>
                <w:bCs/>
                <w:sz w:val="18"/>
                <w:szCs w:val="18"/>
                <w:lang w:eastAsia="en-AU"/>
              </w:rPr>
            </w:pPr>
            <w:r w:rsidRPr="00186BF7">
              <w:rPr>
                <w:b/>
                <w:bCs/>
                <w:sz w:val="18"/>
                <w:szCs w:val="18"/>
                <w:lang w:eastAsia="en-AU"/>
              </w:rPr>
              <w:t> </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$'000</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$'000</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b/>
                <w:bCs/>
                <w:sz w:val="18"/>
                <w:szCs w:val="18"/>
                <w:lang w:eastAsia="en-AU"/>
              </w:rPr>
            </w:pPr>
            <w:r w:rsidRPr="00186BF7">
              <w:rPr>
                <w:b/>
                <w:bCs/>
                <w:sz w:val="18"/>
                <w:szCs w:val="18"/>
                <w:lang w:eastAsia="en-AU"/>
              </w:rPr>
              <w:t>2012-13 Budget</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8,616</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5,670</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2,000</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1,000</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1,000</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b/>
                <w:bCs/>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b/>
                <w:bCs/>
                <w:sz w:val="18"/>
                <w:szCs w:val="18"/>
                <w:lang w:eastAsia="en-AU"/>
              </w:rPr>
            </w:pP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b/>
                <w:bCs/>
                <w:sz w:val="18"/>
                <w:szCs w:val="18"/>
                <w:lang w:eastAsia="en-AU"/>
              </w:rPr>
            </w:pPr>
            <w:r w:rsidRPr="00186BF7">
              <w:rPr>
                <w:b/>
                <w:bCs/>
                <w:sz w:val="18"/>
                <w:szCs w:val="18"/>
                <w:lang w:eastAsia="en-AU"/>
              </w:rPr>
              <w:t>2013-14 Budget Technical Adjustments</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r>
      <w:tr w:rsidR="006339DB" w:rsidRPr="00186BF7" w:rsidTr="000A30C8">
        <w:trPr>
          <w:trHeight w:val="48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r w:rsidRPr="00186BF7">
              <w:rPr>
                <w:sz w:val="18"/>
                <w:szCs w:val="18"/>
                <w:lang w:eastAsia="en-AU"/>
              </w:rPr>
              <w:t xml:space="preserve">Revised Funding Profile </w:t>
            </w:r>
            <w:r w:rsidRPr="00636DD0">
              <w:rPr>
                <w:bCs/>
                <w:sz w:val="18"/>
                <w:szCs w:val="18"/>
                <w:lang w:eastAsia="en-AU"/>
              </w:rPr>
              <w:t xml:space="preserve">— </w:t>
            </w:r>
            <w:r w:rsidRPr="00186BF7">
              <w:rPr>
                <w:sz w:val="18"/>
                <w:szCs w:val="18"/>
                <w:lang w:eastAsia="en-AU"/>
              </w:rPr>
              <w:t>Whole of Government Identity and Access Management</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(400)</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400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r>
      <w:tr w:rsidR="006339DB" w:rsidRPr="00186BF7" w:rsidTr="000A30C8">
        <w:trPr>
          <w:trHeight w:val="48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r w:rsidRPr="00186BF7">
              <w:rPr>
                <w:sz w:val="18"/>
                <w:szCs w:val="18"/>
                <w:lang w:eastAsia="en-AU"/>
              </w:rPr>
              <w:t xml:space="preserve">Revised Funding Profile </w:t>
            </w:r>
            <w:r w:rsidRPr="00636DD0">
              <w:rPr>
                <w:bCs/>
                <w:sz w:val="18"/>
                <w:szCs w:val="18"/>
                <w:lang w:eastAsia="en-AU"/>
              </w:rPr>
              <w:t xml:space="preserve">— </w:t>
            </w:r>
            <w:r w:rsidRPr="00186BF7">
              <w:rPr>
                <w:sz w:val="18"/>
                <w:szCs w:val="18"/>
                <w:lang w:eastAsia="en-AU"/>
              </w:rPr>
              <w:t>Extension of Mobile Device Capabilities</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(303)</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303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r w:rsidRPr="00186BF7">
              <w:rPr>
                <w:sz w:val="18"/>
                <w:szCs w:val="18"/>
                <w:lang w:eastAsia="en-AU"/>
              </w:rPr>
              <w:t xml:space="preserve">Revised Funding Profile </w:t>
            </w:r>
            <w:r w:rsidRPr="00636DD0">
              <w:rPr>
                <w:bCs/>
                <w:sz w:val="18"/>
                <w:szCs w:val="18"/>
                <w:lang w:eastAsia="en-AU"/>
              </w:rPr>
              <w:t xml:space="preserve">— </w:t>
            </w:r>
            <w:r w:rsidRPr="00186BF7">
              <w:rPr>
                <w:sz w:val="18"/>
                <w:szCs w:val="18"/>
                <w:lang w:eastAsia="en-AU"/>
              </w:rPr>
              <w:t>Data Storage Infrastructure</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(296)</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296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r w:rsidRPr="00186BF7">
              <w:rPr>
                <w:sz w:val="18"/>
                <w:szCs w:val="18"/>
                <w:lang w:eastAsia="en-AU"/>
              </w:rPr>
              <w:t xml:space="preserve">Revised Funding Profile </w:t>
            </w:r>
            <w:r w:rsidRPr="00636DD0">
              <w:rPr>
                <w:bCs/>
                <w:sz w:val="18"/>
                <w:szCs w:val="18"/>
                <w:lang w:eastAsia="en-AU"/>
              </w:rPr>
              <w:t xml:space="preserve">— </w:t>
            </w:r>
            <w:r w:rsidRPr="00186BF7">
              <w:rPr>
                <w:sz w:val="18"/>
                <w:szCs w:val="18"/>
                <w:lang w:eastAsia="en-AU"/>
              </w:rPr>
              <w:t>Data Centre Infrastructure</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(270)</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270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r w:rsidRPr="00186BF7">
              <w:rPr>
                <w:sz w:val="18"/>
                <w:szCs w:val="18"/>
                <w:lang w:eastAsia="en-AU"/>
              </w:rPr>
              <w:t xml:space="preserve">Transfer </w:t>
            </w:r>
            <w:r w:rsidRPr="00636DD0">
              <w:rPr>
                <w:bCs/>
                <w:sz w:val="18"/>
                <w:szCs w:val="18"/>
                <w:lang w:eastAsia="en-AU"/>
              </w:rPr>
              <w:t xml:space="preserve">— </w:t>
            </w:r>
            <w:r w:rsidRPr="00186BF7">
              <w:rPr>
                <w:sz w:val="18"/>
                <w:szCs w:val="18"/>
                <w:lang w:eastAsia="en-AU"/>
              </w:rPr>
              <w:t>Functions of Shared Services to CWD</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 xml:space="preserve">- </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(6,939)</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(2,000)</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(1,000)</w:t>
            </w: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r w:rsidRPr="00186BF7">
              <w:rPr>
                <w:sz w:val="18"/>
                <w:szCs w:val="18"/>
                <w:lang w:eastAsia="en-AU"/>
              </w:rPr>
              <w:t>(1,000)</w:t>
            </w:r>
          </w:p>
        </w:tc>
      </w:tr>
      <w:tr w:rsidR="006339DB" w:rsidRPr="00186BF7" w:rsidTr="000A30C8">
        <w:trPr>
          <w:trHeight w:val="240"/>
        </w:trPr>
        <w:tc>
          <w:tcPr>
            <w:tcW w:w="4451" w:type="dxa"/>
            <w:tcBorders>
              <w:top w:val="nil"/>
              <w:left w:val="nil"/>
              <w:bottom w:val="nil"/>
              <w:right w:val="nil"/>
            </w:tcBorders>
            <w:shd w:val="clear" w:color="auto" w:fill="auto"/>
            <w:hideMark/>
          </w:tcPr>
          <w:p w:rsidR="006339DB" w:rsidRPr="00186BF7" w:rsidRDefault="006339DB" w:rsidP="000A30C8">
            <w:pPr>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c>
          <w:tcPr>
            <w:tcW w:w="981" w:type="dxa"/>
            <w:tcBorders>
              <w:top w:val="nil"/>
              <w:left w:val="nil"/>
              <w:bottom w:val="nil"/>
              <w:right w:val="nil"/>
            </w:tcBorders>
            <w:shd w:val="clear" w:color="auto" w:fill="auto"/>
            <w:noWrap/>
            <w:hideMark/>
          </w:tcPr>
          <w:p w:rsidR="006339DB" w:rsidRPr="00186BF7" w:rsidRDefault="006339DB" w:rsidP="000A30C8">
            <w:pPr>
              <w:jc w:val="right"/>
              <w:rPr>
                <w:sz w:val="18"/>
                <w:szCs w:val="18"/>
                <w:lang w:eastAsia="en-AU"/>
              </w:rPr>
            </w:pPr>
          </w:p>
        </w:tc>
      </w:tr>
      <w:tr w:rsidR="006339DB" w:rsidRPr="00186BF7" w:rsidTr="000A30C8">
        <w:trPr>
          <w:trHeight w:val="240"/>
        </w:trPr>
        <w:tc>
          <w:tcPr>
            <w:tcW w:w="4451" w:type="dxa"/>
            <w:tcBorders>
              <w:top w:val="nil"/>
              <w:left w:val="nil"/>
              <w:bottom w:val="single" w:sz="4" w:space="0" w:color="auto"/>
              <w:right w:val="nil"/>
            </w:tcBorders>
            <w:shd w:val="clear" w:color="auto" w:fill="auto"/>
            <w:hideMark/>
          </w:tcPr>
          <w:p w:rsidR="006339DB" w:rsidRPr="00186BF7" w:rsidRDefault="006339DB" w:rsidP="000A30C8">
            <w:pPr>
              <w:rPr>
                <w:b/>
                <w:bCs/>
                <w:sz w:val="18"/>
                <w:szCs w:val="18"/>
                <w:lang w:eastAsia="en-AU"/>
              </w:rPr>
            </w:pPr>
            <w:r w:rsidRPr="00186BF7">
              <w:rPr>
                <w:b/>
                <w:bCs/>
                <w:sz w:val="18"/>
                <w:szCs w:val="18"/>
                <w:lang w:eastAsia="en-AU"/>
              </w:rPr>
              <w:t>2013-14 Budget</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7,347</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w:t>
            </w:r>
          </w:p>
        </w:tc>
        <w:tc>
          <w:tcPr>
            <w:tcW w:w="981" w:type="dxa"/>
            <w:tcBorders>
              <w:top w:val="nil"/>
              <w:left w:val="nil"/>
              <w:bottom w:val="single" w:sz="4" w:space="0" w:color="auto"/>
              <w:right w:val="nil"/>
            </w:tcBorders>
            <w:shd w:val="clear" w:color="auto" w:fill="auto"/>
            <w:noWrap/>
            <w:hideMark/>
          </w:tcPr>
          <w:p w:rsidR="006339DB" w:rsidRPr="00186BF7" w:rsidRDefault="006339DB" w:rsidP="000A30C8">
            <w:pPr>
              <w:jc w:val="right"/>
              <w:rPr>
                <w:b/>
                <w:bCs/>
                <w:sz w:val="18"/>
                <w:szCs w:val="18"/>
                <w:lang w:eastAsia="en-AU"/>
              </w:rPr>
            </w:pPr>
            <w:r w:rsidRPr="00186BF7">
              <w:rPr>
                <w:b/>
                <w:bCs/>
                <w:sz w:val="18"/>
                <w:szCs w:val="18"/>
                <w:lang w:eastAsia="en-AU"/>
              </w:rPr>
              <w:t>0</w:t>
            </w:r>
          </w:p>
        </w:tc>
      </w:tr>
    </w:tbl>
    <w:p w:rsidR="006339DB" w:rsidRDefault="006339DB" w:rsidP="006339DB"/>
    <w:p w:rsidR="006339DB" w:rsidRDefault="006339DB" w:rsidP="006339DB">
      <w:r>
        <w:br w:type="page"/>
      </w:r>
    </w:p>
    <w:tbl>
      <w:tblPr>
        <w:tblW w:w="9356" w:type="dxa"/>
        <w:tblLook w:val="04A0"/>
      </w:tblPr>
      <w:tblGrid>
        <w:gridCol w:w="1050"/>
        <w:gridCol w:w="2384"/>
        <w:gridCol w:w="1102"/>
        <w:gridCol w:w="1049"/>
        <w:gridCol w:w="621"/>
        <w:gridCol w:w="1050"/>
        <w:gridCol w:w="1050"/>
        <w:gridCol w:w="1050"/>
      </w:tblGrid>
      <w:tr w:rsidR="006339DB" w:rsidTr="000A30C8">
        <w:trPr>
          <w:tblHeader/>
        </w:trPr>
        <w:tc>
          <w:tcPr>
            <w:tcW w:w="9392" w:type="dxa"/>
            <w:gridSpan w:val="8"/>
            <w:tcBorders>
              <w:top w:val="nil"/>
              <w:left w:val="nil"/>
              <w:bottom w:val="nil"/>
              <w:right w:val="nil"/>
            </w:tcBorders>
            <w:shd w:val="clear" w:color="000000" w:fill="FFFFFF"/>
            <w:hideMark/>
          </w:tcPr>
          <w:p w:rsidR="006339DB" w:rsidRPr="00186BF7" w:rsidRDefault="006339DB" w:rsidP="000A30C8">
            <w:pPr>
              <w:jc w:val="center"/>
              <w:rPr>
                <w:rFonts w:ascii="Arial" w:hAnsi="Arial" w:cs="Arial"/>
                <w:b/>
                <w:bCs/>
                <w:szCs w:val="24"/>
              </w:rPr>
            </w:pPr>
            <w:bookmarkStart w:id="13" w:name="RANGE!A1:H40"/>
            <w:bookmarkEnd w:id="12"/>
            <w:r w:rsidRPr="00186BF7">
              <w:rPr>
                <w:rFonts w:ascii="Arial" w:hAnsi="Arial" w:cs="Arial"/>
                <w:b/>
                <w:bCs/>
                <w:szCs w:val="24"/>
              </w:rPr>
              <w:lastRenderedPageBreak/>
              <w:t>Shared Services Centre</w:t>
            </w:r>
            <w:bookmarkEnd w:id="13"/>
          </w:p>
        </w:tc>
      </w:tr>
      <w:tr w:rsidR="006339DB" w:rsidTr="000A30C8">
        <w:trPr>
          <w:tblHeader/>
        </w:trPr>
        <w:tc>
          <w:tcPr>
            <w:tcW w:w="9392" w:type="dxa"/>
            <w:gridSpan w:val="8"/>
            <w:tcBorders>
              <w:top w:val="nil"/>
              <w:left w:val="nil"/>
              <w:bottom w:val="nil"/>
              <w:right w:val="nil"/>
            </w:tcBorders>
            <w:shd w:val="clear" w:color="000000" w:fill="FFFFFF"/>
            <w:hideMark/>
          </w:tcPr>
          <w:p w:rsidR="006339DB" w:rsidRPr="00186BF7" w:rsidRDefault="006339DB" w:rsidP="000A30C8">
            <w:pPr>
              <w:jc w:val="center"/>
              <w:rPr>
                <w:rFonts w:ascii="Arial" w:hAnsi="Arial" w:cs="Arial"/>
                <w:b/>
                <w:bCs/>
                <w:szCs w:val="24"/>
              </w:rPr>
            </w:pPr>
            <w:r w:rsidRPr="00186BF7">
              <w:rPr>
                <w:rFonts w:ascii="Arial" w:hAnsi="Arial" w:cs="Arial"/>
                <w:b/>
                <w:bCs/>
                <w:szCs w:val="24"/>
              </w:rPr>
              <w:t>Operating Statement</w:t>
            </w:r>
          </w:p>
        </w:tc>
      </w:tr>
      <w:tr w:rsidR="006339DB" w:rsidTr="000A30C8">
        <w:trPr>
          <w:tblHeader/>
        </w:trPr>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2016-17</w:t>
            </w:r>
          </w:p>
        </w:tc>
      </w:tr>
      <w:tr w:rsidR="006339DB" w:rsidTr="000A30C8">
        <w:trPr>
          <w:tblHeader/>
        </w:trPr>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r>
      <w:tr w:rsidR="006339DB" w:rsidTr="000A30C8">
        <w:trPr>
          <w:tblHeader/>
        </w:trPr>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r>
      <w:tr w:rsidR="006339DB" w:rsidTr="000A30C8">
        <w:trPr>
          <w:tblHeader/>
        </w:trPr>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12,173</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9,865</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211</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User Charges </w:t>
            </w:r>
            <w:r w:rsidRPr="00636DD0">
              <w:rPr>
                <w:bCs/>
                <w:sz w:val="18"/>
                <w:szCs w:val="18"/>
                <w:lang w:eastAsia="en-AU"/>
              </w:rPr>
              <w:t xml:space="preserve">— </w:t>
            </w:r>
            <w:r>
              <w:rPr>
                <w:sz w:val="18"/>
                <w:szCs w:val="18"/>
              </w:rPr>
              <w:t xml:space="preserve">Non ACT </w:t>
            </w:r>
            <w:r>
              <w:rPr>
                <w:sz w:val="18"/>
                <w:szCs w:val="18"/>
              </w:rPr>
              <w:br/>
              <w:t xml:space="preserve">   Government</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211</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174,430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User Charges </w:t>
            </w:r>
            <w:r w:rsidRPr="00636DD0">
              <w:rPr>
                <w:bCs/>
                <w:sz w:val="18"/>
                <w:szCs w:val="18"/>
                <w:lang w:eastAsia="en-AU"/>
              </w:rPr>
              <w:t xml:space="preserve">— </w:t>
            </w:r>
            <w:r>
              <w:rPr>
                <w:sz w:val="18"/>
                <w:szCs w:val="18"/>
              </w:rPr>
              <w:t xml:space="preserve">ACT </w:t>
            </w:r>
            <w:r>
              <w:rPr>
                <w:sz w:val="18"/>
                <w:szCs w:val="18"/>
              </w:rPr>
              <w:br/>
              <w:t xml:space="preserve">   Government</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178,162</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Interest</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282</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1,557</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1,943</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339</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Resources Received</w:t>
            </w:r>
            <w:r>
              <w:rPr>
                <w:sz w:val="18"/>
                <w:szCs w:val="18"/>
              </w:rPr>
              <w:br/>
              <w:t xml:space="preserve">   Free of Charge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339</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188,710</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190,802</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188,710</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190,802</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85,950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79,951</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12,963</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12,301</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78,468</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86,266</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19,051</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19,026</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44</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421</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196,432</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198,009</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-7,722</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-7,207</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Other Comprehensive Income</w:t>
            </w:r>
          </w:p>
          <w:p w:rsidR="006339DB" w:rsidRDefault="006339DB" w:rsidP="000A30C8">
            <w:pPr>
              <w:ind w:left="142" w:hanging="142"/>
              <w:rPr>
                <w:i/>
                <w:sz w:val="17"/>
                <w:szCs w:val="17"/>
              </w:rPr>
            </w:pPr>
            <w:r w:rsidRPr="006C1270">
              <w:rPr>
                <w:i/>
                <w:sz w:val="17"/>
                <w:szCs w:val="17"/>
              </w:rPr>
              <w:t>Items that will not be reclassified</w:t>
            </w:r>
          </w:p>
          <w:p w:rsidR="006339DB" w:rsidRPr="006C1270" w:rsidRDefault="006339DB" w:rsidP="000A30C8">
            <w:pPr>
              <w:spacing w:after="60"/>
              <w:ind w:left="142" w:hanging="142"/>
              <w:rPr>
                <w:sz w:val="16"/>
                <w:szCs w:val="16"/>
              </w:rPr>
            </w:pPr>
            <w:r w:rsidRPr="006C1270">
              <w:rPr>
                <w:i/>
                <w:sz w:val="17"/>
                <w:szCs w:val="17"/>
              </w:rPr>
              <w:t xml:space="preserve"> </w:t>
            </w:r>
            <w:r>
              <w:rPr>
                <w:i/>
                <w:sz w:val="17"/>
                <w:szCs w:val="17"/>
              </w:rPr>
              <w:t xml:space="preserve">  </w:t>
            </w:r>
            <w:r w:rsidRPr="006C1270">
              <w:rPr>
                <w:i/>
                <w:sz w:val="17"/>
                <w:szCs w:val="17"/>
              </w:rPr>
              <w:t>subsequently to profit or loss</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ind w:left="142" w:hanging="142"/>
              <w:rPr>
                <w:sz w:val="18"/>
                <w:szCs w:val="18"/>
              </w:rPr>
            </w:pPr>
            <w:r>
              <w:rPr>
                <w:sz w:val="18"/>
                <w:szCs w:val="18"/>
              </w:rPr>
              <w:t>Net Effect of Correction of an Error</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Inc/Dec in Asset Revaluation </w:t>
            </w:r>
            <w:r>
              <w:rPr>
                <w:sz w:val="18"/>
                <w:szCs w:val="18"/>
              </w:rPr>
              <w:br/>
              <w:t xml:space="preserve">   Reserve Surpluses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Other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-7,722</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-7,207</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r>
    </w:tbl>
    <w:p w:rsidR="006339DB" w:rsidRDefault="006339DB" w:rsidP="006339DB"/>
    <w:p w:rsidR="006339DB" w:rsidRDefault="006339DB" w:rsidP="006339DB">
      <w:r>
        <w:br w:type="page"/>
      </w:r>
    </w:p>
    <w:tbl>
      <w:tblPr>
        <w:tblW w:w="9356" w:type="dxa"/>
        <w:tblLook w:val="04A0"/>
      </w:tblPr>
      <w:tblGrid>
        <w:gridCol w:w="1054"/>
        <w:gridCol w:w="2392"/>
        <w:gridCol w:w="1106"/>
        <w:gridCol w:w="1054"/>
        <w:gridCol w:w="624"/>
        <w:gridCol w:w="1054"/>
        <w:gridCol w:w="1054"/>
        <w:gridCol w:w="1054"/>
      </w:tblGrid>
      <w:tr w:rsidR="006339DB" w:rsidTr="000A30C8">
        <w:trPr>
          <w:tblHeader/>
        </w:trPr>
        <w:tc>
          <w:tcPr>
            <w:tcW w:w="9392" w:type="dxa"/>
            <w:gridSpan w:val="8"/>
            <w:tcBorders>
              <w:top w:val="nil"/>
              <w:left w:val="nil"/>
              <w:bottom w:val="nil"/>
              <w:right w:val="nil"/>
            </w:tcBorders>
            <w:shd w:val="clear" w:color="000000" w:fill="FFFFFF"/>
            <w:noWrap/>
            <w:vAlign w:val="bottom"/>
            <w:hideMark/>
          </w:tcPr>
          <w:p w:rsidR="006339DB" w:rsidRDefault="006339DB" w:rsidP="000A30C8">
            <w:pPr>
              <w:jc w:val="center"/>
              <w:rPr>
                <w:rFonts w:ascii="Arial" w:hAnsi="Arial" w:cs="Arial"/>
                <w:b/>
                <w:bCs/>
                <w:szCs w:val="24"/>
              </w:rPr>
            </w:pPr>
            <w:r>
              <w:rPr>
                <w:rFonts w:ascii="Arial" w:hAnsi="Arial" w:cs="Arial"/>
                <w:b/>
                <w:bCs/>
              </w:rPr>
              <w:lastRenderedPageBreak/>
              <w:t>Shared Services Centre</w:t>
            </w:r>
          </w:p>
        </w:tc>
      </w:tr>
      <w:tr w:rsidR="006339DB" w:rsidTr="000A30C8">
        <w:trPr>
          <w:tblHeader/>
        </w:trPr>
        <w:tc>
          <w:tcPr>
            <w:tcW w:w="9392" w:type="dxa"/>
            <w:gridSpan w:val="8"/>
            <w:tcBorders>
              <w:top w:val="nil"/>
              <w:left w:val="nil"/>
              <w:bottom w:val="nil"/>
              <w:right w:val="nil"/>
            </w:tcBorders>
            <w:shd w:val="clear" w:color="000000" w:fill="FFFFFF"/>
            <w:noWrap/>
            <w:vAlign w:val="bottom"/>
            <w:hideMark/>
          </w:tcPr>
          <w:p w:rsidR="006339DB" w:rsidRDefault="006339DB" w:rsidP="000A30C8">
            <w:pPr>
              <w:jc w:val="center"/>
              <w:rPr>
                <w:rFonts w:ascii="Arial" w:hAnsi="Arial" w:cs="Arial"/>
                <w:b/>
                <w:bCs/>
                <w:szCs w:val="24"/>
              </w:rPr>
            </w:pPr>
            <w:r>
              <w:rPr>
                <w:rFonts w:ascii="Arial" w:hAnsi="Arial" w:cs="Arial"/>
                <w:b/>
                <w:bCs/>
              </w:rPr>
              <w:t>Balance Sheet</w:t>
            </w:r>
          </w:p>
        </w:tc>
      </w:tr>
      <w:tr w:rsidR="006339DB" w:rsidTr="000A30C8">
        <w:trPr>
          <w:tblHeader/>
        </w:trPr>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6339DB" w:rsidRDefault="006339DB" w:rsidP="000A30C8">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Estimate</w:t>
            </w:r>
          </w:p>
        </w:tc>
      </w:tr>
      <w:tr w:rsidR="006339DB" w:rsidTr="000A30C8">
        <w:trPr>
          <w:tblHeader/>
        </w:trPr>
        <w:tc>
          <w:tcPr>
            <w:tcW w:w="1054" w:type="dxa"/>
            <w:tcBorders>
              <w:top w:val="nil"/>
              <w:left w:val="nil"/>
              <w:bottom w:val="nil"/>
              <w:right w:val="nil"/>
            </w:tcBorders>
            <w:shd w:val="clear" w:color="000000" w:fill="FFFFFF"/>
            <w:hideMark/>
          </w:tcPr>
          <w:p w:rsidR="006339DB" w:rsidRDefault="006339DB" w:rsidP="000A30C8">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6339DB" w:rsidRDefault="006339DB" w:rsidP="000A30C8">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6"/>
                <w:szCs w:val="16"/>
              </w:rPr>
            </w:pPr>
            <w:r>
              <w:rPr>
                <w:b/>
                <w:bCs/>
                <w:sz w:val="16"/>
                <w:szCs w:val="16"/>
              </w:rPr>
              <w:t>as at 30/6/17</w:t>
            </w:r>
          </w:p>
        </w:tc>
      </w:tr>
      <w:tr w:rsidR="006339DB" w:rsidTr="000A30C8">
        <w:trPr>
          <w:tblHeader/>
        </w:trPr>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6339DB" w:rsidRDefault="006339DB" w:rsidP="000A30C8">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r>
      <w:tr w:rsidR="006339DB" w:rsidTr="000A30C8">
        <w:trPr>
          <w:tblHeader/>
        </w:trPr>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i/>
                <w:iCs/>
                <w:sz w:val="18"/>
                <w:szCs w:val="18"/>
              </w:rPr>
            </w:pPr>
            <w:r>
              <w:rPr>
                <w:i/>
                <w:iCs/>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25,836</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26,991</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55,017</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43,144</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61</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Assets Held for Sale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21</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2,110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4,623</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83,024</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74,779</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62,798</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55,475</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4,743</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Intangibles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3,685</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1,238</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Capital Works in Progress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2,305</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84</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Other Non Current Assets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177</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68,863</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61,642</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151,887</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136,421</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42,133</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26,696</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441</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426</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28,523</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28,006</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59</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Other Provisions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12,815</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9,172</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83,971</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64,300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316</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338</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2,307</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2,205</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21</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Other Non Current</w:t>
            </w:r>
            <w:r>
              <w:rPr>
                <w:sz w:val="18"/>
                <w:szCs w:val="18"/>
              </w:rPr>
              <w:br/>
              <w:t xml:space="preserve">   Provisions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64</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2,644</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2,607</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86,615</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66,907</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65,272</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69,514</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6339DB" w:rsidRDefault="006339DB" w:rsidP="000A30C8">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54,979</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59,221</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10,293</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10,293</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65,272</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69,514</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r>
    </w:tbl>
    <w:p w:rsidR="006339DB" w:rsidRDefault="006339DB" w:rsidP="006339DB">
      <w:pPr>
        <w:rPr>
          <w:highlight w:val="yellow"/>
        </w:rPr>
      </w:pPr>
    </w:p>
    <w:p w:rsidR="006339DB" w:rsidRDefault="006339DB" w:rsidP="006339DB">
      <w:pPr>
        <w:rPr>
          <w:highlight w:val="yellow"/>
        </w:rPr>
      </w:pPr>
      <w:r>
        <w:rPr>
          <w:highlight w:val="yellow"/>
        </w:rPr>
        <w:br w:type="page"/>
      </w:r>
    </w:p>
    <w:tbl>
      <w:tblPr>
        <w:tblW w:w="9356" w:type="dxa"/>
        <w:tblLook w:val="04A0"/>
      </w:tblPr>
      <w:tblGrid>
        <w:gridCol w:w="1054"/>
        <w:gridCol w:w="2392"/>
        <w:gridCol w:w="1106"/>
        <w:gridCol w:w="1054"/>
        <w:gridCol w:w="624"/>
        <w:gridCol w:w="1054"/>
        <w:gridCol w:w="1054"/>
        <w:gridCol w:w="1054"/>
      </w:tblGrid>
      <w:tr w:rsidR="006339DB" w:rsidTr="000A30C8">
        <w:trPr>
          <w:tblHeader/>
        </w:trPr>
        <w:tc>
          <w:tcPr>
            <w:tcW w:w="9388" w:type="dxa"/>
            <w:gridSpan w:val="8"/>
            <w:tcBorders>
              <w:top w:val="nil"/>
              <w:left w:val="nil"/>
              <w:bottom w:val="nil"/>
              <w:right w:val="nil"/>
            </w:tcBorders>
            <w:shd w:val="clear" w:color="000000" w:fill="FFFFFF"/>
            <w:noWrap/>
            <w:vAlign w:val="bottom"/>
            <w:hideMark/>
          </w:tcPr>
          <w:p w:rsidR="006339DB" w:rsidRPr="006C1270" w:rsidRDefault="006339DB" w:rsidP="000A30C8">
            <w:pPr>
              <w:jc w:val="center"/>
              <w:rPr>
                <w:rFonts w:ascii="Arial" w:hAnsi="Arial" w:cs="Arial"/>
                <w:b/>
                <w:bCs/>
                <w:szCs w:val="24"/>
              </w:rPr>
            </w:pPr>
            <w:r w:rsidRPr="006C1270">
              <w:rPr>
                <w:rFonts w:ascii="Arial" w:hAnsi="Arial" w:cs="Arial"/>
                <w:b/>
                <w:bCs/>
                <w:szCs w:val="24"/>
              </w:rPr>
              <w:lastRenderedPageBreak/>
              <w:t>Shared Services Centre</w:t>
            </w:r>
          </w:p>
        </w:tc>
      </w:tr>
      <w:tr w:rsidR="006339DB" w:rsidTr="000A30C8">
        <w:trPr>
          <w:tblHeader/>
        </w:trPr>
        <w:tc>
          <w:tcPr>
            <w:tcW w:w="9388" w:type="dxa"/>
            <w:gridSpan w:val="8"/>
            <w:tcBorders>
              <w:top w:val="nil"/>
              <w:left w:val="nil"/>
              <w:bottom w:val="nil"/>
              <w:right w:val="nil"/>
            </w:tcBorders>
            <w:shd w:val="clear" w:color="000000" w:fill="FFFFFF"/>
            <w:noWrap/>
            <w:vAlign w:val="bottom"/>
            <w:hideMark/>
          </w:tcPr>
          <w:p w:rsidR="006339DB" w:rsidRPr="006C1270" w:rsidRDefault="006339DB" w:rsidP="000A30C8">
            <w:pPr>
              <w:jc w:val="center"/>
              <w:rPr>
                <w:rFonts w:ascii="Arial" w:hAnsi="Arial" w:cs="Arial"/>
                <w:b/>
                <w:bCs/>
                <w:szCs w:val="24"/>
              </w:rPr>
            </w:pPr>
            <w:r w:rsidRPr="006C1270">
              <w:rPr>
                <w:rFonts w:ascii="Arial" w:hAnsi="Arial" w:cs="Arial"/>
                <w:b/>
                <w:bCs/>
                <w:szCs w:val="24"/>
              </w:rPr>
              <w:t>Statement of Changes in Equity</w:t>
            </w:r>
          </w:p>
        </w:tc>
      </w:tr>
      <w:tr w:rsidR="006339DB" w:rsidTr="000A30C8">
        <w:trPr>
          <w:tblHeader/>
        </w:trPr>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6339DB" w:rsidRDefault="006339DB" w:rsidP="000A30C8">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Estimate</w:t>
            </w:r>
          </w:p>
        </w:tc>
      </w:tr>
      <w:tr w:rsidR="006339DB" w:rsidTr="000A30C8">
        <w:trPr>
          <w:tblHeader/>
        </w:trPr>
        <w:tc>
          <w:tcPr>
            <w:tcW w:w="1054" w:type="dxa"/>
            <w:tcBorders>
              <w:top w:val="nil"/>
              <w:left w:val="nil"/>
              <w:bottom w:val="nil"/>
              <w:right w:val="nil"/>
            </w:tcBorders>
            <w:shd w:val="clear" w:color="000000" w:fill="FFFFFF"/>
            <w:hideMark/>
          </w:tcPr>
          <w:p w:rsidR="006339DB" w:rsidRDefault="006339DB" w:rsidP="000A30C8">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6339DB" w:rsidRDefault="006339DB" w:rsidP="000A30C8">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6"/>
                <w:szCs w:val="16"/>
              </w:rPr>
            </w:pPr>
            <w:r>
              <w:rPr>
                <w:b/>
                <w:bCs/>
                <w:sz w:val="16"/>
                <w:szCs w:val="16"/>
              </w:rPr>
              <w:t>as at 30/6/17</w:t>
            </w:r>
          </w:p>
        </w:tc>
      </w:tr>
      <w:tr w:rsidR="006339DB" w:rsidTr="000A30C8">
        <w:trPr>
          <w:tblHeader/>
        </w:trPr>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6339DB" w:rsidRDefault="006339DB" w:rsidP="000A30C8">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r>
      <w:tr w:rsidR="006339DB" w:rsidTr="000A30C8">
        <w:trPr>
          <w:tblHeader/>
        </w:trPr>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58,262</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62,755</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10,293</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10,292</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68,555</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73,047</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Net Effect of Correction</w:t>
            </w:r>
            <w:r>
              <w:rPr>
                <w:sz w:val="18"/>
                <w:szCs w:val="18"/>
              </w:rPr>
              <w:br/>
              <w:t xml:space="preserve">   of an Error</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-1</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-7,722</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-7,207</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Inc/Dec in Asset Revaluation</w:t>
            </w:r>
            <w:r>
              <w:rPr>
                <w:sz w:val="18"/>
                <w:szCs w:val="18"/>
              </w:rPr>
              <w:br/>
              <w:t xml:space="preserve">   Reserve Surpluses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1</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-7,722</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-7,207</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8,616</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7,347</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-4,177</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Capital Distributions</w:t>
            </w:r>
            <w:r>
              <w:rPr>
                <w:sz w:val="18"/>
                <w:szCs w:val="18"/>
              </w:rPr>
              <w:br/>
              <w:t xml:space="preserve">   to Government</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-4,177</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Inc/Dec in Net Assets due to</w:t>
            </w:r>
            <w:r>
              <w:rPr>
                <w:sz w:val="18"/>
                <w:szCs w:val="18"/>
              </w:rPr>
              <w:br/>
              <w:t xml:space="preserve">   Admin Restructure</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504</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4,439</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3,674</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54,979</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59,221</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10,293</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10,293</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65,272</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69,514</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6339DB" w:rsidRDefault="006339DB" w:rsidP="000A30C8">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r>
    </w:tbl>
    <w:p w:rsidR="006339DB" w:rsidRDefault="006339DB" w:rsidP="006339DB">
      <w:pPr>
        <w:rPr>
          <w:highlight w:val="yellow"/>
        </w:rPr>
      </w:pPr>
    </w:p>
    <w:p w:rsidR="006339DB" w:rsidRDefault="006339DB" w:rsidP="006339DB">
      <w:pPr>
        <w:rPr>
          <w:highlight w:val="yellow"/>
        </w:rPr>
      </w:pPr>
      <w:r>
        <w:rPr>
          <w:highlight w:val="yellow"/>
        </w:rPr>
        <w:br w:type="page"/>
      </w:r>
    </w:p>
    <w:tbl>
      <w:tblPr>
        <w:tblW w:w="9356" w:type="dxa"/>
        <w:tblLook w:val="04A0"/>
      </w:tblPr>
      <w:tblGrid>
        <w:gridCol w:w="1054"/>
        <w:gridCol w:w="2392"/>
        <w:gridCol w:w="1106"/>
        <w:gridCol w:w="1054"/>
        <w:gridCol w:w="624"/>
        <w:gridCol w:w="1054"/>
        <w:gridCol w:w="1054"/>
        <w:gridCol w:w="1054"/>
      </w:tblGrid>
      <w:tr w:rsidR="006339DB" w:rsidTr="000A30C8">
        <w:trPr>
          <w:tblHeader/>
        </w:trPr>
        <w:tc>
          <w:tcPr>
            <w:tcW w:w="9392" w:type="dxa"/>
            <w:gridSpan w:val="8"/>
            <w:tcBorders>
              <w:top w:val="nil"/>
              <w:left w:val="nil"/>
              <w:bottom w:val="nil"/>
              <w:right w:val="nil"/>
            </w:tcBorders>
            <w:shd w:val="clear" w:color="000000" w:fill="FFFFFF"/>
            <w:noWrap/>
            <w:vAlign w:val="bottom"/>
            <w:hideMark/>
          </w:tcPr>
          <w:p w:rsidR="006339DB" w:rsidRPr="006C1270" w:rsidRDefault="006339DB" w:rsidP="000A30C8">
            <w:pPr>
              <w:jc w:val="center"/>
              <w:rPr>
                <w:rFonts w:ascii="Arial" w:hAnsi="Arial" w:cs="Arial"/>
                <w:b/>
                <w:bCs/>
                <w:szCs w:val="24"/>
              </w:rPr>
            </w:pPr>
            <w:bookmarkStart w:id="14" w:name="RANGE!A1:H56"/>
            <w:r w:rsidRPr="006C1270">
              <w:rPr>
                <w:rFonts w:ascii="Arial" w:hAnsi="Arial" w:cs="Arial"/>
                <w:b/>
                <w:bCs/>
                <w:szCs w:val="24"/>
              </w:rPr>
              <w:lastRenderedPageBreak/>
              <w:t>Shared Services Centre</w:t>
            </w:r>
            <w:bookmarkEnd w:id="14"/>
          </w:p>
        </w:tc>
      </w:tr>
      <w:tr w:rsidR="006339DB" w:rsidTr="000A30C8">
        <w:trPr>
          <w:tblHeader/>
        </w:trPr>
        <w:tc>
          <w:tcPr>
            <w:tcW w:w="9392" w:type="dxa"/>
            <w:gridSpan w:val="8"/>
            <w:tcBorders>
              <w:top w:val="nil"/>
              <w:left w:val="nil"/>
              <w:bottom w:val="nil"/>
              <w:right w:val="nil"/>
            </w:tcBorders>
            <w:shd w:val="clear" w:color="000000" w:fill="FFFFFF"/>
            <w:noWrap/>
            <w:vAlign w:val="bottom"/>
            <w:hideMark/>
          </w:tcPr>
          <w:p w:rsidR="006339DB" w:rsidRPr="006C1270" w:rsidRDefault="006339DB" w:rsidP="000A30C8">
            <w:pPr>
              <w:jc w:val="center"/>
              <w:rPr>
                <w:rFonts w:ascii="Arial" w:hAnsi="Arial" w:cs="Arial"/>
                <w:b/>
                <w:bCs/>
                <w:szCs w:val="24"/>
              </w:rPr>
            </w:pPr>
            <w:r w:rsidRPr="006C1270">
              <w:rPr>
                <w:rFonts w:ascii="Arial" w:hAnsi="Arial" w:cs="Arial"/>
                <w:b/>
                <w:bCs/>
                <w:szCs w:val="24"/>
              </w:rPr>
              <w:t>Cash Flow Statement</w:t>
            </w:r>
          </w:p>
        </w:tc>
      </w:tr>
      <w:tr w:rsidR="006339DB" w:rsidTr="000A30C8">
        <w:trPr>
          <w:tblHeader/>
        </w:trPr>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6339DB" w:rsidRDefault="006339DB" w:rsidP="000A30C8">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2016-17</w:t>
            </w:r>
          </w:p>
        </w:tc>
      </w:tr>
      <w:tr w:rsidR="006339DB" w:rsidTr="000A30C8">
        <w:trPr>
          <w:tblHeader/>
        </w:trPr>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Estimate</w:t>
            </w:r>
          </w:p>
        </w:tc>
      </w:tr>
      <w:tr w:rsidR="006339DB" w:rsidTr="000A30C8">
        <w:trPr>
          <w:tblHeader/>
        </w:trPr>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6339DB" w:rsidRDefault="006339DB" w:rsidP="000A30C8">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6339DB" w:rsidRDefault="006339DB" w:rsidP="000A30C8">
            <w:pPr>
              <w:ind w:left="-283"/>
              <w:jc w:val="right"/>
              <w:rPr>
                <w:b/>
                <w:bCs/>
                <w:sz w:val="18"/>
                <w:szCs w:val="18"/>
              </w:rPr>
            </w:pPr>
            <w:r>
              <w:rPr>
                <w:b/>
                <w:bCs/>
                <w:sz w:val="18"/>
                <w:szCs w:val="18"/>
              </w:rPr>
              <w:t>$'000</w:t>
            </w:r>
          </w:p>
        </w:tc>
      </w:tr>
      <w:tr w:rsidR="006339DB" w:rsidRPr="00DB2AB2" w:rsidTr="000A30C8">
        <w:trPr>
          <w:tblHeader/>
        </w:trPr>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2392" w:type="dxa"/>
            <w:tcBorders>
              <w:top w:val="nil"/>
              <w:left w:val="nil"/>
              <w:bottom w:val="nil"/>
              <w:right w:val="nil"/>
            </w:tcBorders>
            <w:shd w:val="clear" w:color="000000" w:fill="FFFFFF"/>
            <w:noWrap/>
            <w:hideMark/>
          </w:tcPr>
          <w:p w:rsidR="006339DB" w:rsidRPr="00DB2AB2" w:rsidRDefault="006339DB" w:rsidP="000A30C8">
            <w:pPr>
              <w:rPr>
                <w:sz w:val="6"/>
                <w:szCs w:val="6"/>
              </w:rPr>
            </w:pPr>
            <w:r w:rsidRPr="00DB2AB2">
              <w:rPr>
                <w:sz w:val="6"/>
                <w:szCs w:val="6"/>
              </w:rPr>
              <w:t> </w:t>
            </w:r>
          </w:p>
        </w:tc>
        <w:tc>
          <w:tcPr>
            <w:tcW w:w="1106"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62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6339DB" w:rsidRDefault="006339DB" w:rsidP="000A30C8">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12,173</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Cash from Government</w:t>
            </w:r>
            <w:r>
              <w:rPr>
                <w:sz w:val="18"/>
                <w:szCs w:val="18"/>
              </w:rPr>
              <w:br/>
              <w:t xml:space="preserve">   for Outputs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9,865</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175,513</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179,245</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Interest Received</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282</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674,344</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724,040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862,030</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913,432</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RPr="00DB2AB2" w:rsidTr="000A30C8">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color w:val="0000FF"/>
                <w:sz w:val="6"/>
                <w:szCs w:val="6"/>
              </w:rPr>
            </w:pPr>
            <w:r w:rsidRPr="00DB2AB2">
              <w:rPr>
                <w:color w:val="0000FF"/>
                <w:sz w:val="6"/>
                <w:szCs w:val="6"/>
              </w:rPr>
              <w:t> </w:t>
            </w:r>
          </w:p>
        </w:tc>
        <w:tc>
          <w:tcPr>
            <w:tcW w:w="2392" w:type="dxa"/>
            <w:tcBorders>
              <w:top w:val="nil"/>
              <w:left w:val="nil"/>
              <w:bottom w:val="nil"/>
              <w:right w:val="nil"/>
            </w:tcBorders>
            <w:shd w:val="clear" w:color="000000" w:fill="FFFFFF"/>
            <w:noWrap/>
            <w:hideMark/>
          </w:tcPr>
          <w:p w:rsidR="006339DB" w:rsidRPr="00DB2AB2" w:rsidRDefault="006339DB" w:rsidP="000A30C8">
            <w:pPr>
              <w:rPr>
                <w:b/>
                <w:bCs/>
                <w:sz w:val="6"/>
                <w:szCs w:val="6"/>
              </w:rPr>
            </w:pPr>
            <w:r w:rsidRPr="00DB2AB2">
              <w:rPr>
                <w:b/>
                <w:bCs/>
                <w:sz w:val="6"/>
                <w:szCs w:val="6"/>
              </w:rPr>
              <w:t> </w:t>
            </w:r>
          </w:p>
        </w:tc>
        <w:tc>
          <w:tcPr>
            <w:tcW w:w="1106"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color w:val="0000FF"/>
                <w:sz w:val="6"/>
                <w:szCs w:val="6"/>
              </w:rPr>
            </w:pPr>
            <w:r w:rsidRPr="00DB2AB2">
              <w:rPr>
                <w:color w:val="0000FF"/>
                <w:sz w:val="6"/>
                <w:szCs w:val="6"/>
              </w:rPr>
              <w:t> </w:t>
            </w:r>
          </w:p>
        </w:tc>
        <w:tc>
          <w:tcPr>
            <w:tcW w:w="624" w:type="dxa"/>
            <w:tcBorders>
              <w:top w:val="nil"/>
              <w:left w:val="nil"/>
              <w:bottom w:val="nil"/>
              <w:right w:val="nil"/>
            </w:tcBorders>
            <w:shd w:val="clear" w:color="000000" w:fill="FFFFFF"/>
            <w:noWrap/>
            <w:hideMark/>
          </w:tcPr>
          <w:p w:rsidR="006339DB" w:rsidRPr="00DB2AB2" w:rsidRDefault="006339DB" w:rsidP="000A30C8">
            <w:pPr>
              <w:ind w:left="-283"/>
              <w:jc w:val="right"/>
              <w:rPr>
                <w:color w:val="0000FF"/>
                <w:sz w:val="6"/>
                <w:szCs w:val="6"/>
              </w:rPr>
            </w:pPr>
            <w:r w:rsidRPr="00DB2AB2">
              <w:rPr>
                <w:color w:val="0000FF"/>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color w:val="0000FF"/>
                <w:sz w:val="6"/>
                <w:szCs w:val="6"/>
              </w:rPr>
            </w:pPr>
            <w:r w:rsidRPr="00DB2AB2">
              <w:rPr>
                <w:color w:val="0000FF"/>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color w:val="0000FF"/>
                <w:sz w:val="6"/>
                <w:szCs w:val="6"/>
              </w:rPr>
            </w:pPr>
            <w:r w:rsidRPr="00DB2AB2">
              <w:rPr>
                <w:color w:val="0000FF"/>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color w:val="0000FF"/>
                <w:sz w:val="6"/>
                <w:szCs w:val="6"/>
              </w:rPr>
            </w:pPr>
            <w:r w:rsidRPr="00DB2AB2">
              <w:rPr>
                <w:color w:val="0000FF"/>
                <w:sz w:val="6"/>
                <w:szCs w:val="6"/>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84,802</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79,053</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12,963</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12,301</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78,628</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86,847</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Borrowing Costs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44</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672,870</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673,982</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849,263</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852,227</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RPr="00DB2AB2" w:rsidTr="000A30C8">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2392" w:type="dxa"/>
            <w:tcBorders>
              <w:top w:val="nil"/>
              <w:left w:val="nil"/>
              <w:bottom w:val="nil"/>
              <w:right w:val="nil"/>
            </w:tcBorders>
            <w:shd w:val="clear" w:color="000000" w:fill="FFFFFF"/>
            <w:noWrap/>
            <w:hideMark/>
          </w:tcPr>
          <w:p w:rsidR="006339DB" w:rsidRPr="00DB2AB2" w:rsidRDefault="006339DB" w:rsidP="000A30C8">
            <w:pPr>
              <w:rPr>
                <w:sz w:val="6"/>
                <w:szCs w:val="6"/>
              </w:rPr>
            </w:pPr>
            <w:r w:rsidRPr="00DB2AB2">
              <w:rPr>
                <w:sz w:val="6"/>
                <w:szCs w:val="6"/>
              </w:rPr>
              <w:t> </w:t>
            </w:r>
          </w:p>
        </w:tc>
        <w:tc>
          <w:tcPr>
            <w:tcW w:w="1106"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62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12,767</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61,205</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RPr="00DB2AB2" w:rsidTr="000A30C8">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color w:val="0000FF"/>
                <w:sz w:val="6"/>
                <w:szCs w:val="6"/>
              </w:rPr>
            </w:pPr>
            <w:r w:rsidRPr="00DB2AB2">
              <w:rPr>
                <w:color w:val="0000FF"/>
                <w:sz w:val="6"/>
                <w:szCs w:val="6"/>
              </w:rPr>
              <w:t> </w:t>
            </w:r>
          </w:p>
        </w:tc>
        <w:tc>
          <w:tcPr>
            <w:tcW w:w="2392" w:type="dxa"/>
            <w:tcBorders>
              <w:top w:val="nil"/>
              <w:left w:val="nil"/>
              <w:bottom w:val="nil"/>
              <w:right w:val="nil"/>
            </w:tcBorders>
            <w:shd w:val="clear" w:color="000000" w:fill="FFFFFF"/>
            <w:noWrap/>
            <w:hideMark/>
          </w:tcPr>
          <w:p w:rsidR="006339DB" w:rsidRPr="00DB2AB2" w:rsidRDefault="006339DB" w:rsidP="000A30C8">
            <w:pPr>
              <w:rPr>
                <w:b/>
                <w:bCs/>
                <w:sz w:val="6"/>
                <w:szCs w:val="6"/>
              </w:rPr>
            </w:pPr>
            <w:r w:rsidRPr="00DB2AB2">
              <w:rPr>
                <w:b/>
                <w:bCs/>
                <w:sz w:val="6"/>
                <w:szCs w:val="6"/>
              </w:rPr>
              <w:t> </w:t>
            </w:r>
          </w:p>
        </w:tc>
        <w:tc>
          <w:tcPr>
            <w:tcW w:w="1106"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color w:val="0000FF"/>
                <w:sz w:val="6"/>
                <w:szCs w:val="6"/>
              </w:rPr>
            </w:pPr>
            <w:r w:rsidRPr="00DB2AB2">
              <w:rPr>
                <w:color w:val="0000FF"/>
                <w:sz w:val="6"/>
                <w:szCs w:val="6"/>
              </w:rPr>
              <w:t> </w:t>
            </w:r>
          </w:p>
        </w:tc>
        <w:tc>
          <w:tcPr>
            <w:tcW w:w="624" w:type="dxa"/>
            <w:tcBorders>
              <w:top w:val="nil"/>
              <w:left w:val="nil"/>
              <w:bottom w:val="nil"/>
              <w:right w:val="nil"/>
            </w:tcBorders>
            <w:shd w:val="clear" w:color="000000" w:fill="FFFFFF"/>
            <w:noWrap/>
            <w:hideMark/>
          </w:tcPr>
          <w:p w:rsidR="006339DB" w:rsidRPr="00DB2AB2" w:rsidRDefault="006339DB" w:rsidP="000A30C8">
            <w:pPr>
              <w:ind w:left="-283"/>
              <w:jc w:val="right"/>
              <w:rPr>
                <w:color w:val="0000FF"/>
                <w:sz w:val="6"/>
                <w:szCs w:val="6"/>
              </w:rPr>
            </w:pPr>
            <w:r w:rsidRPr="00DB2AB2">
              <w:rPr>
                <w:color w:val="0000FF"/>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color w:val="0000FF"/>
                <w:sz w:val="6"/>
                <w:szCs w:val="6"/>
              </w:rPr>
            </w:pPr>
            <w:r w:rsidRPr="00DB2AB2">
              <w:rPr>
                <w:color w:val="0000FF"/>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color w:val="0000FF"/>
                <w:sz w:val="6"/>
                <w:szCs w:val="6"/>
              </w:rPr>
            </w:pPr>
            <w:r w:rsidRPr="00DB2AB2">
              <w:rPr>
                <w:color w:val="0000FF"/>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color w:val="0000FF"/>
                <w:sz w:val="6"/>
                <w:szCs w:val="6"/>
              </w:rPr>
            </w:pPr>
            <w:r w:rsidRPr="00DB2AB2">
              <w:rPr>
                <w:color w:val="0000FF"/>
                <w:sz w:val="6"/>
                <w:szCs w:val="6"/>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6339DB" w:rsidRDefault="006339DB" w:rsidP="000A30C8">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81</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Proceeds from Sale of</w:t>
            </w:r>
            <w:r>
              <w:rPr>
                <w:sz w:val="18"/>
                <w:szCs w:val="18"/>
              </w:rPr>
              <w:br/>
              <w:t xml:space="preserve">   Property, Plant</w:t>
            </w:r>
            <w:r>
              <w:rPr>
                <w:sz w:val="18"/>
                <w:szCs w:val="18"/>
              </w:rPr>
              <w:br/>
              <w:t xml:space="preserve">   and Equipment</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467</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81</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Investing Receipts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467</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6339DB" w:rsidRPr="00007294" w:rsidRDefault="006339DB" w:rsidP="000A30C8">
            <w:pPr>
              <w:ind w:left="-283"/>
              <w:jc w:val="right"/>
              <w:rPr>
                <w:b/>
                <w:sz w:val="18"/>
                <w:szCs w:val="18"/>
              </w:rPr>
            </w:pPr>
            <w:r w:rsidRPr="00007294">
              <w:rPr>
                <w:b/>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RPr="00DB2AB2" w:rsidTr="000A30C8">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2392" w:type="dxa"/>
            <w:tcBorders>
              <w:top w:val="nil"/>
              <w:left w:val="nil"/>
              <w:bottom w:val="nil"/>
              <w:right w:val="nil"/>
            </w:tcBorders>
            <w:shd w:val="clear" w:color="000000" w:fill="FFFFFF"/>
            <w:noWrap/>
            <w:hideMark/>
          </w:tcPr>
          <w:p w:rsidR="006339DB" w:rsidRPr="00DB2AB2" w:rsidRDefault="006339DB" w:rsidP="000A30C8">
            <w:pPr>
              <w:rPr>
                <w:b/>
                <w:bCs/>
                <w:sz w:val="6"/>
                <w:szCs w:val="6"/>
              </w:rPr>
            </w:pPr>
            <w:r w:rsidRPr="00DB2AB2">
              <w:rPr>
                <w:b/>
                <w:bCs/>
                <w:sz w:val="6"/>
                <w:szCs w:val="6"/>
              </w:rPr>
              <w:t> </w:t>
            </w:r>
          </w:p>
        </w:tc>
        <w:tc>
          <w:tcPr>
            <w:tcW w:w="1106"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62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color w:val="0000FF"/>
                <w:sz w:val="18"/>
                <w:szCs w:val="18"/>
              </w:rPr>
            </w:pPr>
            <w:r>
              <w:rPr>
                <w:color w:val="0000FF"/>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27,859</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26,590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27,859</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26,590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RPr="00DB2AB2" w:rsidTr="000A30C8">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2392" w:type="dxa"/>
            <w:tcBorders>
              <w:top w:val="nil"/>
              <w:left w:val="nil"/>
              <w:bottom w:val="nil"/>
              <w:right w:val="nil"/>
            </w:tcBorders>
            <w:shd w:val="clear" w:color="000000" w:fill="FFFFFF"/>
            <w:noWrap/>
            <w:hideMark/>
          </w:tcPr>
          <w:p w:rsidR="006339DB" w:rsidRPr="00DB2AB2" w:rsidRDefault="006339DB" w:rsidP="000A30C8">
            <w:pPr>
              <w:rPr>
                <w:sz w:val="6"/>
                <w:szCs w:val="6"/>
              </w:rPr>
            </w:pPr>
            <w:r w:rsidRPr="00DB2AB2">
              <w:rPr>
                <w:sz w:val="6"/>
                <w:szCs w:val="6"/>
              </w:rPr>
              <w:t> </w:t>
            </w:r>
          </w:p>
        </w:tc>
        <w:tc>
          <w:tcPr>
            <w:tcW w:w="1106"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62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-27,778</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-26,123</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RPr="00DB2AB2" w:rsidTr="000A30C8">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2392" w:type="dxa"/>
            <w:tcBorders>
              <w:top w:val="nil"/>
              <w:left w:val="nil"/>
              <w:bottom w:val="nil"/>
              <w:right w:val="nil"/>
            </w:tcBorders>
            <w:shd w:val="clear" w:color="000000" w:fill="FFFFFF"/>
            <w:noWrap/>
            <w:hideMark/>
          </w:tcPr>
          <w:p w:rsidR="006339DB" w:rsidRPr="00DB2AB2" w:rsidRDefault="006339DB" w:rsidP="000A30C8">
            <w:pPr>
              <w:rPr>
                <w:b/>
                <w:bCs/>
                <w:sz w:val="6"/>
                <w:szCs w:val="6"/>
              </w:rPr>
            </w:pPr>
            <w:r w:rsidRPr="00DB2AB2">
              <w:rPr>
                <w:b/>
                <w:bCs/>
                <w:sz w:val="6"/>
                <w:szCs w:val="6"/>
              </w:rPr>
              <w:t> </w:t>
            </w:r>
          </w:p>
        </w:tc>
        <w:tc>
          <w:tcPr>
            <w:tcW w:w="1106"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62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6339DB" w:rsidRDefault="006339DB" w:rsidP="000A30C8">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8,616</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7,347</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8,616</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7,347</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RPr="00DB2AB2" w:rsidTr="000A30C8">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2392" w:type="dxa"/>
            <w:tcBorders>
              <w:top w:val="nil"/>
              <w:left w:val="nil"/>
              <w:bottom w:val="nil"/>
              <w:right w:val="nil"/>
            </w:tcBorders>
            <w:shd w:val="clear" w:color="000000" w:fill="FFFFFF"/>
            <w:noWrap/>
            <w:hideMark/>
          </w:tcPr>
          <w:p w:rsidR="006339DB" w:rsidRPr="00DB2AB2" w:rsidRDefault="006339DB" w:rsidP="000A30C8">
            <w:pPr>
              <w:rPr>
                <w:b/>
                <w:bCs/>
                <w:sz w:val="6"/>
                <w:szCs w:val="6"/>
              </w:rPr>
            </w:pPr>
            <w:r w:rsidRPr="00DB2AB2">
              <w:rPr>
                <w:b/>
                <w:bCs/>
                <w:sz w:val="6"/>
                <w:szCs w:val="6"/>
              </w:rPr>
              <w:t> </w:t>
            </w:r>
          </w:p>
        </w:tc>
        <w:tc>
          <w:tcPr>
            <w:tcW w:w="1106"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62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4,177</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Distributions to Government</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4,177</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110</w:t>
            </w:r>
          </w:p>
        </w:tc>
        <w:tc>
          <w:tcPr>
            <w:tcW w:w="2392" w:type="dxa"/>
            <w:tcBorders>
              <w:top w:val="nil"/>
              <w:left w:val="nil"/>
              <w:bottom w:val="nil"/>
              <w:right w:val="nil"/>
            </w:tcBorders>
            <w:shd w:val="clear" w:color="000000" w:fill="FFFFFF"/>
            <w:noWrap/>
            <w:hideMark/>
          </w:tcPr>
          <w:p w:rsidR="006339DB" w:rsidRDefault="006339DB" w:rsidP="000A30C8">
            <w:pPr>
              <w:rPr>
                <w:sz w:val="18"/>
                <w:szCs w:val="18"/>
              </w:rPr>
            </w:pPr>
            <w:r>
              <w:rPr>
                <w:sz w:val="18"/>
                <w:szCs w:val="18"/>
              </w:rPr>
              <w:t>Repayment of Finance Leases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110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Payment of Transferred</w:t>
            </w:r>
            <w:r>
              <w:rPr>
                <w:sz w:val="18"/>
                <w:szCs w:val="18"/>
              </w:rPr>
              <w:br/>
              <w:t xml:space="preserve">   Cash Balances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26,991</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4,287</w:t>
            </w:r>
          </w:p>
        </w:tc>
        <w:tc>
          <w:tcPr>
            <w:tcW w:w="2392" w:type="dxa"/>
            <w:tcBorders>
              <w:top w:val="nil"/>
              <w:left w:val="nil"/>
              <w:bottom w:val="nil"/>
              <w:right w:val="nil"/>
            </w:tcBorders>
            <w:shd w:val="clear" w:color="000000" w:fill="FFFFFF"/>
            <w:noWrap/>
            <w:hideMark/>
          </w:tcPr>
          <w:p w:rsidR="006339DB" w:rsidRDefault="006339DB" w:rsidP="000A30C8">
            <w:pPr>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4,287</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26,991</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530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RPr="00DB2AB2" w:rsidTr="000A30C8">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2392" w:type="dxa"/>
            <w:tcBorders>
              <w:top w:val="nil"/>
              <w:left w:val="nil"/>
              <w:bottom w:val="nil"/>
              <w:right w:val="nil"/>
            </w:tcBorders>
            <w:shd w:val="clear" w:color="000000" w:fill="FFFFFF"/>
            <w:noWrap/>
            <w:hideMark/>
          </w:tcPr>
          <w:p w:rsidR="006339DB" w:rsidRPr="00DB2AB2" w:rsidRDefault="006339DB" w:rsidP="000A30C8">
            <w:pPr>
              <w:rPr>
                <w:b/>
                <w:bCs/>
                <w:sz w:val="6"/>
                <w:szCs w:val="6"/>
              </w:rPr>
            </w:pPr>
            <w:r w:rsidRPr="00DB2AB2">
              <w:rPr>
                <w:b/>
                <w:bCs/>
                <w:sz w:val="6"/>
                <w:szCs w:val="6"/>
              </w:rPr>
              <w:t> </w:t>
            </w:r>
          </w:p>
        </w:tc>
        <w:tc>
          <w:tcPr>
            <w:tcW w:w="1106"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62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4,329</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3,060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-26,991</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-982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RPr="00DB2AB2" w:rsidTr="000A30C8">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2392" w:type="dxa"/>
            <w:tcBorders>
              <w:top w:val="nil"/>
              <w:left w:val="nil"/>
              <w:bottom w:val="nil"/>
              <w:right w:val="nil"/>
            </w:tcBorders>
            <w:shd w:val="clear" w:color="000000" w:fill="FFFFFF"/>
            <w:noWrap/>
            <w:hideMark/>
          </w:tcPr>
          <w:p w:rsidR="006339DB" w:rsidRPr="00DB2AB2" w:rsidRDefault="006339DB" w:rsidP="000A30C8">
            <w:pPr>
              <w:rPr>
                <w:b/>
                <w:bCs/>
                <w:sz w:val="6"/>
                <w:szCs w:val="6"/>
              </w:rPr>
            </w:pPr>
            <w:r w:rsidRPr="00DB2AB2">
              <w:rPr>
                <w:b/>
                <w:bCs/>
                <w:sz w:val="6"/>
                <w:szCs w:val="6"/>
              </w:rPr>
              <w:t> </w:t>
            </w:r>
          </w:p>
        </w:tc>
        <w:tc>
          <w:tcPr>
            <w:tcW w:w="1106"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62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-10,682</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38,142</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-26,991</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-171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RPr="00DB2AB2" w:rsidTr="000A30C8">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2392" w:type="dxa"/>
            <w:tcBorders>
              <w:top w:val="nil"/>
              <w:left w:val="nil"/>
              <w:bottom w:val="nil"/>
              <w:right w:val="nil"/>
            </w:tcBorders>
            <w:shd w:val="clear" w:color="000000" w:fill="FFFFFF"/>
            <w:noWrap/>
            <w:hideMark/>
          </w:tcPr>
          <w:p w:rsidR="006339DB" w:rsidRPr="00DB2AB2" w:rsidRDefault="006339DB" w:rsidP="000A30C8">
            <w:pPr>
              <w:rPr>
                <w:sz w:val="6"/>
                <w:szCs w:val="6"/>
              </w:rPr>
            </w:pPr>
            <w:r w:rsidRPr="00DB2AB2">
              <w:rPr>
                <w:sz w:val="6"/>
                <w:szCs w:val="6"/>
              </w:rPr>
              <w:t> </w:t>
            </w:r>
          </w:p>
        </w:tc>
        <w:tc>
          <w:tcPr>
            <w:tcW w:w="1106"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624" w:type="dxa"/>
            <w:tcBorders>
              <w:top w:val="nil"/>
              <w:left w:val="nil"/>
              <w:bottom w:val="nil"/>
              <w:right w:val="nil"/>
            </w:tcBorders>
            <w:shd w:val="clear" w:color="000000" w:fill="FFFFFF"/>
            <w:noWrap/>
            <w:hideMark/>
          </w:tcPr>
          <w:p w:rsidR="006339DB" w:rsidRPr="00DB2AB2" w:rsidRDefault="006339DB" w:rsidP="000A30C8">
            <w:pPr>
              <w:ind w:left="-283"/>
              <w:jc w:val="right"/>
              <w:rPr>
                <w:sz w:val="6"/>
                <w:szCs w:val="6"/>
              </w:rPr>
            </w:pPr>
            <w:r w:rsidRPr="00DB2AB2">
              <w:rPr>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c>
          <w:tcPr>
            <w:tcW w:w="1054" w:type="dxa"/>
            <w:tcBorders>
              <w:top w:val="nil"/>
              <w:left w:val="nil"/>
              <w:bottom w:val="nil"/>
              <w:right w:val="nil"/>
            </w:tcBorders>
            <w:shd w:val="clear" w:color="000000" w:fill="FFFFFF"/>
            <w:noWrap/>
            <w:hideMark/>
          </w:tcPr>
          <w:p w:rsidR="006339DB" w:rsidRPr="00DB2AB2" w:rsidRDefault="006339DB" w:rsidP="000A30C8">
            <w:pPr>
              <w:ind w:left="-283"/>
              <w:jc w:val="right"/>
              <w:rPr>
                <w:b/>
                <w:bCs/>
                <w:sz w:val="6"/>
                <w:szCs w:val="6"/>
              </w:rPr>
            </w:pPr>
            <w:r w:rsidRPr="00DB2AB2">
              <w:rPr>
                <w:b/>
                <w:bCs/>
                <w:sz w:val="6"/>
                <w:szCs w:val="6"/>
              </w:rPr>
              <w:t> </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36,518</w:t>
            </w:r>
          </w:p>
        </w:tc>
        <w:tc>
          <w:tcPr>
            <w:tcW w:w="2392" w:type="dxa"/>
            <w:tcBorders>
              <w:top w:val="nil"/>
              <w:left w:val="nil"/>
              <w:bottom w:val="nil"/>
              <w:right w:val="nil"/>
            </w:tcBorders>
            <w:shd w:val="clear" w:color="000000" w:fill="FFFFFF"/>
            <w:hideMark/>
          </w:tcPr>
          <w:p w:rsidR="006339DB" w:rsidRDefault="006339DB" w:rsidP="000A30C8">
            <w:pPr>
              <w:spacing w:after="60"/>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-11,151</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26,991</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342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25,836</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26,991</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6339DB" w:rsidRDefault="006339DB" w:rsidP="000A30C8">
            <w:pPr>
              <w:ind w:left="-283"/>
              <w:jc w:val="right"/>
              <w:rPr>
                <w:b/>
                <w:bCs/>
                <w:sz w:val="18"/>
                <w:szCs w:val="18"/>
              </w:rPr>
            </w:pPr>
            <w:r>
              <w:rPr>
                <w:b/>
                <w:bCs/>
                <w:sz w:val="18"/>
                <w:szCs w:val="18"/>
              </w:rPr>
              <w:t>0</w:t>
            </w:r>
          </w:p>
        </w:tc>
      </w:tr>
      <w:tr w:rsidR="006339DB" w:rsidRPr="00DB2AB2" w:rsidTr="000A30C8">
        <w:tc>
          <w:tcPr>
            <w:tcW w:w="1054" w:type="dxa"/>
            <w:tcBorders>
              <w:top w:val="nil"/>
              <w:left w:val="nil"/>
              <w:bottom w:val="single" w:sz="4" w:space="0" w:color="auto"/>
              <w:right w:val="nil"/>
            </w:tcBorders>
            <w:shd w:val="clear" w:color="000000" w:fill="FFFFFF"/>
            <w:noWrap/>
            <w:hideMark/>
          </w:tcPr>
          <w:p w:rsidR="006339DB" w:rsidRPr="00DB2AB2" w:rsidRDefault="006339DB" w:rsidP="000A30C8">
            <w:pPr>
              <w:ind w:left="-283"/>
              <w:jc w:val="right"/>
              <w:rPr>
                <w:sz w:val="10"/>
                <w:szCs w:val="10"/>
              </w:rPr>
            </w:pPr>
            <w:r w:rsidRPr="00DB2AB2">
              <w:rPr>
                <w:sz w:val="10"/>
                <w:szCs w:val="10"/>
              </w:rPr>
              <w:t> </w:t>
            </w:r>
          </w:p>
        </w:tc>
        <w:tc>
          <w:tcPr>
            <w:tcW w:w="2392" w:type="dxa"/>
            <w:tcBorders>
              <w:top w:val="nil"/>
              <w:left w:val="nil"/>
              <w:bottom w:val="single" w:sz="4" w:space="0" w:color="auto"/>
              <w:right w:val="nil"/>
            </w:tcBorders>
            <w:shd w:val="clear" w:color="000000" w:fill="FFFFFF"/>
            <w:noWrap/>
            <w:hideMark/>
          </w:tcPr>
          <w:p w:rsidR="006339DB" w:rsidRPr="00DB2AB2" w:rsidRDefault="006339DB" w:rsidP="000A30C8">
            <w:pPr>
              <w:rPr>
                <w:b/>
                <w:bCs/>
                <w:sz w:val="10"/>
                <w:szCs w:val="10"/>
              </w:rPr>
            </w:pPr>
            <w:r w:rsidRPr="00DB2AB2">
              <w:rPr>
                <w:b/>
                <w:bCs/>
                <w:sz w:val="10"/>
                <w:szCs w:val="10"/>
              </w:rPr>
              <w:t> </w:t>
            </w:r>
          </w:p>
        </w:tc>
        <w:tc>
          <w:tcPr>
            <w:tcW w:w="1106" w:type="dxa"/>
            <w:tcBorders>
              <w:top w:val="nil"/>
              <w:left w:val="nil"/>
              <w:bottom w:val="single" w:sz="4" w:space="0" w:color="auto"/>
              <w:right w:val="nil"/>
            </w:tcBorders>
            <w:shd w:val="clear" w:color="000000" w:fill="FFFFFF"/>
            <w:noWrap/>
            <w:hideMark/>
          </w:tcPr>
          <w:p w:rsidR="006339DB" w:rsidRPr="00DB2AB2" w:rsidRDefault="006339DB" w:rsidP="000A30C8">
            <w:pPr>
              <w:ind w:left="-283"/>
              <w:jc w:val="right"/>
              <w:rPr>
                <w:b/>
                <w:bCs/>
                <w:sz w:val="10"/>
                <w:szCs w:val="10"/>
              </w:rPr>
            </w:pPr>
            <w:r w:rsidRPr="00DB2AB2">
              <w:rPr>
                <w:b/>
                <w:bCs/>
                <w:sz w:val="10"/>
                <w:szCs w:val="10"/>
              </w:rPr>
              <w:t> </w:t>
            </w:r>
          </w:p>
        </w:tc>
        <w:tc>
          <w:tcPr>
            <w:tcW w:w="1054" w:type="dxa"/>
            <w:tcBorders>
              <w:top w:val="nil"/>
              <w:left w:val="nil"/>
              <w:bottom w:val="single" w:sz="4" w:space="0" w:color="auto"/>
              <w:right w:val="nil"/>
            </w:tcBorders>
            <w:shd w:val="clear" w:color="000000" w:fill="FFFFFF"/>
            <w:noWrap/>
            <w:hideMark/>
          </w:tcPr>
          <w:p w:rsidR="006339DB" w:rsidRPr="00DB2AB2" w:rsidRDefault="006339DB" w:rsidP="000A30C8">
            <w:pPr>
              <w:ind w:left="-283"/>
              <w:jc w:val="right"/>
              <w:rPr>
                <w:sz w:val="10"/>
                <w:szCs w:val="10"/>
              </w:rPr>
            </w:pPr>
            <w:r w:rsidRPr="00DB2AB2">
              <w:rPr>
                <w:sz w:val="10"/>
                <w:szCs w:val="10"/>
              </w:rPr>
              <w:t> </w:t>
            </w:r>
          </w:p>
        </w:tc>
        <w:tc>
          <w:tcPr>
            <w:tcW w:w="624" w:type="dxa"/>
            <w:tcBorders>
              <w:top w:val="nil"/>
              <w:left w:val="nil"/>
              <w:bottom w:val="single" w:sz="4" w:space="0" w:color="auto"/>
              <w:right w:val="nil"/>
            </w:tcBorders>
            <w:shd w:val="clear" w:color="000000" w:fill="FFFFFF"/>
            <w:noWrap/>
            <w:hideMark/>
          </w:tcPr>
          <w:p w:rsidR="006339DB" w:rsidRPr="00DB2AB2" w:rsidRDefault="006339DB" w:rsidP="000A30C8">
            <w:pPr>
              <w:ind w:left="-283"/>
              <w:jc w:val="right"/>
              <w:rPr>
                <w:sz w:val="10"/>
                <w:szCs w:val="10"/>
              </w:rPr>
            </w:pPr>
            <w:r w:rsidRPr="00DB2AB2">
              <w:rPr>
                <w:sz w:val="10"/>
                <w:szCs w:val="10"/>
              </w:rPr>
              <w:t> </w:t>
            </w:r>
          </w:p>
        </w:tc>
        <w:tc>
          <w:tcPr>
            <w:tcW w:w="1054" w:type="dxa"/>
            <w:tcBorders>
              <w:top w:val="nil"/>
              <w:left w:val="nil"/>
              <w:bottom w:val="single" w:sz="4" w:space="0" w:color="auto"/>
              <w:right w:val="nil"/>
            </w:tcBorders>
            <w:shd w:val="clear" w:color="000000" w:fill="FFFFFF"/>
            <w:noWrap/>
            <w:hideMark/>
          </w:tcPr>
          <w:p w:rsidR="006339DB" w:rsidRPr="00DB2AB2" w:rsidRDefault="006339DB" w:rsidP="000A30C8">
            <w:pPr>
              <w:ind w:left="-283"/>
              <w:jc w:val="right"/>
              <w:rPr>
                <w:sz w:val="10"/>
                <w:szCs w:val="10"/>
              </w:rPr>
            </w:pPr>
            <w:r w:rsidRPr="00DB2AB2">
              <w:rPr>
                <w:sz w:val="10"/>
                <w:szCs w:val="10"/>
              </w:rPr>
              <w:t> </w:t>
            </w:r>
          </w:p>
        </w:tc>
        <w:tc>
          <w:tcPr>
            <w:tcW w:w="1054" w:type="dxa"/>
            <w:tcBorders>
              <w:top w:val="nil"/>
              <w:left w:val="nil"/>
              <w:bottom w:val="single" w:sz="4" w:space="0" w:color="auto"/>
              <w:right w:val="nil"/>
            </w:tcBorders>
            <w:shd w:val="clear" w:color="000000" w:fill="FFFFFF"/>
            <w:noWrap/>
            <w:hideMark/>
          </w:tcPr>
          <w:p w:rsidR="006339DB" w:rsidRPr="00DB2AB2" w:rsidRDefault="006339DB" w:rsidP="000A30C8">
            <w:pPr>
              <w:ind w:left="-283"/>
              <w:jc w:val="right"/>
              <w:rPr>
                <w:sz w:val="10"/>
                <w:szCs w:val="10"/>
              </w:rPr>
            </w:pPr>
            <w:r w:rsidRPr="00DB2AB2">
              <w:rPr>
                <w:sz w:val="10"/>
                <w:szCs w:val="10"/>
              </w:rPr>
              <w:t> </w:t>
            </w:r>
          </w:p>
        </w:tc>
        <w:tc>
          <w:tcPr>
            <w:tcW w:w="1054" w:type="dxa"/>
            <w:tcBorders>
              <w:top w:val="nil"/>
              <w:left w:val="nil"/>
              <w:bottom w:val="single" w:sz="4" w:space="0" w:color="auto"/>
              <w:right w:val="nil"/>
            </w:tcBorders>
            <w:shd w:val="clear" w:color="000000" w:fill="FFFFFF"/>
            <w:noWrap/>
            <w:hideMark/>
          </w:tcPr>
          <w:p w:rsidR="006339DB" w:rsidRPr="00DB2AB2" w:rsidRDefault="006339DB" w:rsidP="000A30C8">
            <w:pPr>
              <w:ind w:left="-283"/>
              <w:jc w:val="right"/>
              <w:rPr>
                <w:sz w:val="10"/>
                <w:szCs w:val="10"/>
              </w:rPr>
            </w:pPr>
            <w:r w:rsidRPr="00DB2AB2">
              <w:rPr>
                <w:sz w:val="10"/>
                <w:szCs w:val="10"/>
              </w:rPr>
              <w:t> </w:t>
            </w:r>
          </w:p>
        </w:tc>
      </w:tr>
    </w:tbl>
    <w:p w:rsidR="006339DB" w:rsidRPr="007376A3" w:rsidRDefault="006339DB" w:rsidP="006339DB">
      <w:pPr>
        <w:rPr>
          <w:rFonts w:ascii="Arial" w:hAnsi="Arial"/>
          <w:b/>
          <w:bCs/>
          <w:sz w:val="2"/>
          <w:szCs w:val="2"/>
          <w:highlight w:val="yellow"/>
          <w:lang w:eastAsia="en-AU"/>
        </w:rPr>
      </w:pPr>
      <w:r w:rsidRPr="007376A3">
        <w:rPr>
          <w:highlight w:val="yellow"/>
        </w:rPr>
        <w:br w:type="page"/>
      </w:r>
    </w:p>
    <w:p w:rsidR="006339DB" w:rsidRPr="007B33F2" w:rsidRDefault="006339DB" w:rsidP="006339DB">
      <w:pPr>
        <w:pStyle w:val="Heading3"/>
      </w:pPr>
      <w:r w:rsidRPr="007B33F2">
        <w:lastRenderedPageBreak/>
        <w:t>Notes to the Budget Statements</w:t>
      </w:r>
    </w:p>
    <w:p w:rsidR="006339DB" w:rsidRPr="007B33F2" w:rsidRDefault="006339DB" w:rsidP="006339DB">
      <w:pPr>
        <w:pStyle w:val="BodyText"/>
      </w:pPr>
      <w:r w:rsidRPr="007B33F2">
        <w:t>Significant variations are as follows:</w:t>
      </w:r>
    </w:p>
    <w:p w:rsidR="006339DB" w:rsidRPr="007B33F2" w:rsidRDefault="006339DB" w:rsidP="006339DB">
      <w:pPr>
        <w:pStyle w:val="Heading4"/>
      </w:pPr>
      <w:r w:rsidRPr="007B33F2">
        <w:t>Operating Statement</w:t>
      </w:r>
    </w:p>
    <w:p w:rsidR="006339DB" w:rsidRPr="007B33F2" w:rsidRDefault="006339DB" w:rsidP="006339DB">
      <w:pPr>
        <w:pStyle w:val="BodyTextIndent2"/>
        <w:numPr>
          <w:ilvl w:val="0"/>
          <w:numId w:val="38"/>
        </w:numPr>
      </w:pPr>
      <w:r w:rsidRPr="007B33F2">
        <w:t>go</w:t>
      </w:r>
      <w:r>
        <w:t xml:space="preserve">vernment payment for outputs: </w:t>
      </w:r>
      <w:r w:rsidRPr="00BB34DE">
        <w:t>the decrease of $2.308 million in the 2012-13 estimated outcome from the original budget is mainly due to the rollover of funding from 2012-</w:t>
      </w:r>
      <w:r>
        <w:t xml:space="preserve">13 to 2013-14 ($1.783 million) primarily for </w:t>
      </w:r>
      <w:r w:rsidRPr="007B33F2">
        <w:t>the Data Storage Infrastructure initiative</w:t>
      </w:r>
      <w:r>
        <w:t xml:space="preserve">, the Upgrade/Replacement of ACT Government HRIMS feasibility study and the Service Monitoring and Reporting initiative; and </w:t>
      </w:r>
      <w:r w:rsidRPr="00BB34DE">
        <w:t xml:space="preserve">the transfer of funds associated with the Injury Management and Safety team </w:t>
      </w:r>
      <w:r>
        <w:t xml:space="preserve">($0.634 million) to the Chief Minister and Treasury Directorate as part of the </w:t>
      </w:r>
      <w:r w:rsidRPr="00BB34DE">
        <w:t>administrative arrangement changes</w:t>
      </w:r>
      <w:r>
        <w:t xml:space="preserve">; </w:t>
      </w:r>
      <w:r w:rsidRPr="00BB34DE">
        <w:t xml:space="preserve">partially offset by the rollover of funding </w:t>
      </w:r>
      <w:r>
        <w:t xml:space="preserve">for the Data Centre Infrastructure initiative </w:t>
      </w:r>
      <w:r w:rsidRPr="00BB34DE">
        <w:t xml:space="preserve">from 2011-12 to 2012-13 ($0.109 million).  </w:t>
      </w:r>
    </w:p>
    <w:p w:rsidR="006339DB" w:rsidRPr="00917911" w:rsidRDefault="006339DB" w:rsidP="006339DB">
      <w:pPr>
        <w:pStyle w:val="BodyTextIndent2"/>
        <w:numPr>
          <w:ilvl w:val="0"/>
          <w:numId w:val="38"/>
        </w:numPr>
      </w:pPr>
      <w:r>
        <w:t>user charges – ACT Government:</w:t>
      </w:r>
      <w:r>
        <w:tab/>
        <w:t xml:space="preserve">  the increase of $3.732</w:t>
      </w:r>
      <w:r w:rsidRPr="00917911">
        <w:t xml:space="preserve"> million in the 2012-13 estimated outcome from the original budget </w:t>
      </w:r>
      <w:r>
        <w:t xml:space="preserve">is mainly due to an increase </w:t>
      </w:r>
      <w:r w:rsidRPr="00917911">
        <w:t xml:space="preserve">in ICT project management revenue due to higher than expected expenditure by </w:t>
      </w:r>
      <w:r>
        <w:t>agencies ($5.7</w:t>
      </w:r>
      <w:r w:rsidRPr="00917911">
        <w:t> million)</w:t>
      </w:r>
      <w:r>
        <w:t xml:space="preserve">, partially offset by </w:t>
      </w:r>
      <w:r w:rsidRPr="00BB34DE">
        <w:t xml:space="preserve">the transfer </w:t>
      </w:r>
      <w:r>
        <w:t>of</w:t>
      </w:r>
      <w:r w:rsidRPr="00BB34DE">
        <w:t xml:space="preserve"> </w:t>
      </w:r>
      <w:r>
        <w:t>user charges associated with the</w:t>
      </w:r>
      <w:r w:rsidRPr="00BB34DE">
        <w:t xml:space="preserve"> Injury Management and Safety team </w:t>
      </w:r>
      <w:r>
        <w:t>($1.968 million) to the Chief Minister and Treasury Directorate.</w:t>
      </w:r>
    </w:p>
    <w:p w:rsidR="006339DB" w:rsidRPr="000A0C68" w:rsidRDefault="006339DB" w:rsidP="006339DB">
      <w:pPr>
        <w:pStyle w:val="BodyTextIndent2"/>
        <w:numPr>
          <w:ilvl w:val="0"/>
          <w:numId w:val="38"/>
        </w:numPr>
      </w:pPr>
      <w:r w:rsidRPr="000A0C68">
        <w:t xml:space="preserve">employee and superannuation expenses:  </w:t>
      </w:r>
      <w:r>
        <w:t>the decrease of $6.661</w:t>
      </w:r>
      <w:r w:rsidRPr="000A0C68">
        <w:t> million in the 2012-13 estimated outcome from the original budget is mainly due to lower permanent staff levels for Shared Services ICT</w:t>
      </w:r>
      <w:r>
        <w:t xml:space="preserve"> ($4.2 million) and the</w:t>
      </w:r>
      <w:r w:rsidRPr="00BB34DE">
        <w:t xml:space="preserve"> Injury Management and Safety team </w:t>
      </w:r>
      <w:r>
        <w:t>($2.211 million) transferring to the Chief Minister and Treasury Directorate.</w:t>
      </w:r>
    </w:p>
    <w:p w:rsidR="006339DB" w:rsidRPr="000A0C68" w:rsidRDefault="006339DB" w:rsidP="006339DB">
      <w:pPr>
        <w:pStyle w:val="BodyTextIndent"/>
        <w:numPr>
          <w:ilvl w:val="0"/>
          <w:numId w:val="1"/>
        </w:numPr>
      </w:pPr>
      <w:proofErr w:type="gramStart"/>
      <w:r w:rsidRPr="000A0C68">
        <w:t>supplies</w:t>
      </w:r>
      <w:proofErr w:type="gramEnd"/>
      <w:r w:rsidRPr="000A0C68">
        <w:t xml:space="preserve"> and services:  the increase of $</w:t>
      </w:r>
      <w:r>
        <w:t>7.798</w:t>
      </w:r>
      <w:r w:rsidRPr="000A0C68">
        <w:t> million in the 2012-13 estimated outcome from the original budget is mainly due to increased contractor costs associated with ICT positions and</w:t>
      </w:r>
      <w:r>
        <w:t xml:space="preserve"> increased ICT project activity.</w:t>
      </w:r>
    </w:p>
    <w:p w:rsidR="006339DB" w:rsidRPr="001C1E55" w:rsidRDefault="006339DB" w:rsidP="006339DB">
      <w:pPr>
        <w:pStyle w:val="Heading4"/>
      </w:pPr>
      <w:r w:rsidRPr="001C1E55">
        <w:t>Balance Sheet</w:t>
      </w:r>
    </w:p>
    <w:p w:rsidR="006339DB" w:rsidRPr="001C1E55" w:rsidRDefault="006339DB" w:rsidP="006339DB">
      <w:pPr>
        <w:pStyle w:val="BodyTextIndent"/>
        <w:numPr>
          <w:ilvl w:val="0"/>
          <w:numId w:val="1"/>
        </w:numPr>
      </w:pPr>
      <w:proofErr w:type="gramStart"/>
      <w:r w:rsidRPr="001C1E55">
        <w:rPr>
          <w:szCs w:val="20"/>
        </w:rPr>
        <w:t>cash</w:t>
      </w:r>
      <w:proofErr w:type="gramEnd"/>
      <w:r w:rsidRPr="001C1E55">
        <w:rPr>
          <w:szCs w:val="20"/>
        </w:rPr>
        <w:t xml:space="preserve"> and cash equivalents:  </w:t>
      </w:r>
      <w:r w:rsidRPr="001C1E55">
        <w:t>t</w:t>
      </w:r>
      <w:r>
        <w:t>he increase of $1.155</w:t>
      </w:r>
      <w:r w:rsidRPr="001C1E55">
        <w:t xml:space="preserve"> million in the 2012-13 estimated outcome from the original budget is mainly due to higher revenue associated with </w:t>
      </w:r>
      <w:r>
        <w:t xml:space="preserve">ICT and </w:t>
      </w:r>
      <w:r w:rsidRPr="001C1E55">
        <w:t xml:space="preserve">capital works </w:t>
      </w:r>
      <w:r>
        <w:t>projects.</w:t>
      </w:r>
    </w:p>
    <w:p w:rsidR="006339DB" w:rsidRDefault="006339DB" w:rsidP="006339DB">
      <w:pPr>
        <w:pStyle w:val="BodyTextIndent"/>
        <w:numPr>
          <w:ilvl w:val="0"/>
          <w:numId w:val="1"/>
        </w:numPr>
      </w:pPr>
      <w:proofErr w:type="gramStart"/>
      <w:r w:rsidRPr="001C1E55">
        <w:t>recei</w:t>
      </w:r>
      <w:r>
        <w:t>vables</w:t>
      </w:r>
      <w:proofErr w:type="gramEnd"/>
      <w:r>
        <w:t>:  the decrease of $11.873</w:t>
      </w:r>
      <w:r w:rsidRPr="001C1E55">
        <w:t xml:space="preserve"> million in the 2012-13 estimated outcome from the original budget is mainly due to </w:t>
      </w:r>
      <w:r>
        <w:t xml:space="preserve">the </w:t>
      </w:r>
      <w:r w:rsidRPr="001C1E55">
        <w:t>timing associated with billing and receiving payments for capital works.</w:t>
      </w:r>
    </w:p>
    <w:p w:rsidR="006339DB" w:rsidRPr="0047490C" w:rsidRDefault="006339DB" w:rsidP="006339DB">
      <w:pPr>
        <w:pStyle w:val="BodyTextIndent"/>
        <w:numPr>
          <w:ilvl w:val="0"/>
          <w:numId w:val="1"/>
        </w:numPr>
      </w:pPr>
      <w:proofErr w:type="gramStart"/>
      <w:r>
        <w:t>other</w:t>
      </w:r>
      <w:proofErr w:type="gramEnd"/>
      <w:r>
        <w:t xml:space="preserve"> current assets:  the increase of $2.513</w:t>
      </w:r>
      <w:r w:rsidRPr="001C1E55">
        <w:t xml:space="preserve"> million in the 2012-13 estimated outcome from the original budget is mainly due to </w:t>
      </w:r>
      <w:r>
        <w:t xml:space="preserve">the </w:t>
      </w:r>
      <w:r w:rsidRPr="001C1E55">
        <w:t>timing</w:t>
      </w:r>
      <w:r>
        <w:t xml:space="preserve"> of payments relating to Oracle, Microsoft and other software licenses</w:t>
      </w:r>
      <w:r w:rsidRPr="001C1E55">
        <w:t>.</w:t>
      </w:r>
    </w:p>
    <w:p w:rsidR="006339DB" w:rsidRPr="001C1E55" w:rsidRDefault="006339DB" w:rsidP="006339DB">
      <w:pPr>
        <w:pStyle w:val="BodyTextIndent"/>
        <w:numPr>
          <w:ilvl w:val="0"/>
          <w:numId w:val="1"/>
        </w:numPr>
      </w:pPr>
      <w:proofErr w:type="gramStart"/>
      <w:r w:rsidRPr="001C1E55">
        <w:t>property</w:t>
      </w:r>
      <w:proofErr w:type="gramEnd"/>
      <w:r w:rsidRPr="001C1E55">
        <w:t xml:space="preserve">, plant and equipment: </w:t>
      </w:r>
      <w:r>
        <w:t xml:space="preserve"> </w:t>
      </w:r>
      <w:r w:rsidRPr="001C1E55">
        <w:t>th</w:t>
      </w:r>
      <w:r>
        <w:t>e decrease of $7.323</w:t>
      </w:r>
      <w:r w:rsidRPr="001C1E55">
        <w:t xml:space="preserve"> million in the 2012-13 estimated outcome from the original budget is </w:t>
      </w:r>
      <w:r>
        <w:t xml:space="preserve">mainly due </w:t>
      </w:r>
      <w:r w:rsidRPr="007F3D6C">
        <w:t xml:space="preserve">to the </w:t>
      </w:r>
      <w:r>
        <w:t>full year depreciation impact of increased infrastructure asset and leasehold improvement values from the 2010</w:t>
      </w:r>
      <w:r>
        <w:noBreakHyphen/>
        <w:t xml:space="preserve">11 revaluation, </w:t>
      </w:r>
      <w:r w:rsidRPr="007F3D6C">
        <w:t>the timing of asset purchases in 2012-13</w:t>
      </w:r>
      <w:r>
        <w:t xml:space="preserve"> and the</w:t>
      </w:r>
      <w:r w:rsidRPr="007F3D6C">
        <w:t xml:space="preserve"> rollover of the Data </w:t>
      </w:r>
      <w:r>
        <w:t>Centre</w:t>
      </w:r>
      <w:r w:rsidRPr="007F3D6C">
        <w:t xml:space="preserve"> </w:t>
      </w:r>
      <w:r>
        <w:t>Infrastructure initiative.</w:t>
      </w:r>
    </w:p>
    <w:p w:rsidR="006339DB" w:rsidRDefault="006339DB" w:rsidP="006339DB">
      <w:pPr>
        <w:pStyle w:val="BodyTextIndent"/>
        <w:numPr>
          <w:ilvl w:val="0"/>
          <w:numId w:val="1"/>
        </w:numPr>
      </w:pPr>
      <w:proofErr w:type="gramStart"/>
      <w:r w:rsidRPr="001C1E55">
        <w:rPr>
          <w:szCs w:val="20"/>
        </w:rPr>
        <w:lastRenderedPageBreak/>
        <w:t>intangibles</w:t>
      </w:r>
      <w:proofErr w:type="gramEnd"/>
      <w:r w:rsidRPr="001C1E55">
        <w:rPr>
          <w:szCs w:val="20"/>
        </w:rPr>
        <w:t>:</w:t>
      </w:r>
      <w:r>
        <w:rPr>
          <w:szCs w:val="20"/>
        </w:rPr>
        <w:t xml:space="preserve">  </w:t>
      </w:r>
      <w:r>
        <w:t>the decrease of $1.058</w:t>
      </w:r>
      <w:r w:rsidRPr="001C1E55">
        <w:t xml:space="preserve"> million in the 2012-13 estimated outcome from the original budget is due to the rollover of the </w:t>
      </w:r>
      <w:r>
        <w:t xml:space="preserve">Extension of Mobile Device Capabilities and the Whole of Government Identity and Access Management </w:t>
      </w:r>
      <w:r w:rsidRPr="001C1E55">
        <w:t>initiative</w:t>
      </w:r>
      <w:r>
        <w:t>s.</w:t>
      </w:r>
    </w:p>
    <w:p w:rsidR="006339DB" w:rsidRPr="005733FD" w:rsidRDefault="006339DB" w:rsidP="006339DB">
      <w:pPr>
        <w:pStyle w:val="BodyTextIndent"/>
        <w:numPr>
          <w:ilvl w:val="0"/>
          <w:numId w:val="1"/>
        </w:numPr>
      </w:pPr>
      <w:r w:rsidRPr="005733FD">
        <w:rPr>
          <w:szCs w:val="20"/>
        </w:rPr>
        <w:t xml:space="preserve">capital works in progress: </w:t>
      </w:r>
      <w:r>
        <w:rPr>
          <w:szCs w:val="20"/>
        </w:rPr>
        <w:t xml:space="preserve"> </w:t>
      </w:r>
      <w:r>
        <w:t>the increase of $1.067</w:t>
      </w:r>
      <w:r w:rsidRPr="001C1E55">
        <w:t xml:space="preserve"> million in the 2012-13 estimated outcome from the original budget is due to the </w:t>
      </w:r>
      <w:r>
        <w:t xml:space="preserve">timing of asset purchases in completing 2011-12 capital works projects and the rollover of the </w:t>
      </w:r>
      <w:r w:rsidRPr="00CD221B">
        <w:t>Extension of Mobile Device Capabilities</w:t>
      </w:r>
      <w:r>
        <w:t xml:space="preserve"> and the </w:t>
      </w:r>
      <w:r w:rsidRPr="00CD221B">
        <w:t>Data Centre Infrastructure</w:t>
      </w:r>
      <w:r>
        <w:t xml:space="preserve"> initiatives into 2012-13.</w:t>
      </w:r>
    </w:p>
    <w:p w:rsidR="006339DB" w:rsidRPr="001C1E55" w:rsidRDefault="006339DB" w:rsidP="006339DB">
      <w:pPr>
        <w:pStyle w:val="BodyTextIndent"/>
        <w:numPr>
          <w:ilvl w:val="0"/>
          <w:numId w:val="1"/>
        </w:numPr>
      </w:pPr>
      <w:proofErr w:type="gramStart"/>
      <w:r w:rsidRPr="001C1E55">
        <w:t>p</w:t>
      </w:r>
      <w:r>
        <w:t>ayables</w:t>
      </w:r>
      <w:proofErr w:type="gramEnd"/>
      <w:r>
        <w:t>:  the decrease of $15.437</w:t>
      </w:r>
      <w:r w:rsidRPr="001C1E55">
        <w:t> million in 2012-13 estimated outcome from the original budget is due to the timing associated with receiving and paying major supplier invoices for ICT and capital works projects.</w:t>
      </w:r>
    </w:p>
    <w:p w:rsidR="006339DB" w:rsidRDefault="006339DB" w:rsidP="006339DB">
      <w:pPr>
        <w:pStyle w:val="BodyTextIndent"/>
        <w:numPr>
          <w:ilvl w:val="0"/>
          <w:numId w:val="1"/>
        </w:numPr>
      </w:pPr>
      <w:proofErr w:type="gramStart"/>
      <w:r w:rsidRPr="001C1E55">
        <w:t>current</w:t>
      </w:r>
      <w:proofErr w:type="gramEnd"/>
      <w:r w:rsidRPr="001C1E55">
        <w:t xml:space="preserve"> and </w:t>
      </w:r>
      <w:proofErr w:type="spellStart"/>
      <w:r w:rsidRPr="001C1E55">
        <w:t>non cu</w:t>
      </w:r>
      <w:r>
        <w:t>rrent</w:t>
      </w:r>
      <w:proofErr w:type="spellEnd"/>
      <w:r>
        <w:t xml:space="preserve"> employee benefits:  the de</w:t>
      </w:r>
      <w:r w:rsidRPr="001C1E55">
        <w:t>creas</w:t>
      </w:r>
      <w:r>
        <w:t>e of $0.619</w:t>
      </w:r>
      <w:r w:rsidRPr="001C1E55">
        <w:t xml:space="preserve"> million in 2012-13 estimated outcome from the original budget </w:t>
      </w:r>
      <w:r>
        <w:t xml:space="preserve">is </w:t>
      </w:r>
      <w:r w:rsidRPr="001C1E55">
        <w:t xml:space="preserve">mainly due to revised wage parameters and </w:t>
      </w:r>
      <w:r w:rsidRPr="001C1E55">
        <w:rPr>
          <w:bCs/>
        </w:rPr>
        <w:t>the impact of the discount rate on the long service leave liability</w:t>
      </w:r>
      <w:r w:rsidRPr="001C1E55">
        <w:t xml:space="preserve">.  </w:t>
      </w:r>
    </w:p>
    <w:p w:rsidR="006339DB" w:rsidRPr="00EF3EB0" w:rsidRDefault="006339DB" w:rsidP="006339DB">
      <w:pPr>
        <w:pStyle w:val="BodyTextIndent"/>
        <w:numPr>
          <w:ilvl w:val="0"/>
          <w:numId w:val="1"/>
        </w:numPr>
      </w:pPr>
      <w:proofErr w:type="gramStart"/>
      <w:r>
        <w:t>other</w:t>
      </w:r>
      <w:proofErr w:type="gramEnd"/>
      <w:r>
        <w:t xml:space="preserve"> liabilities:  the de</w:t>
      </w:r>
      <w:r w:rsidRPr="001C1E55">
        <w:t>creas</w:t>
      </w:r>
      <w:r>
        <w:t>e of $3.643</w:t>
      </w:r>
      <w:r w:rsidRPr="001C1E55">
        <w:t xml:space="preserve"> million in 2012-13 estimated outcome from the original budget </w:t>
      </w:r>
      <w:r>
        <w:t xml:space="preserve">is </w:t>
      </w:r>
      <w:r w:rsidRPr="001C1E55">
        <w:t>mainly due to</w:t>
      </w:r>
      <w:r>
        <w:t xml:space="preserve"> bringing to account interest earned on Salary Packaging bank accounts and surplus salary packaging fees from previous years</w:t>
      </w:r>
      <w:r w:rsidRPr="001C1E55">
        <w:t xml:space="preserve">.  </w:t>
      </w:r>
    </w:p>
    <w:p w:rsidR="006339DB" w:rsidRPr="001C1E55" w:rsidRDefault="006339DB" w:rsidP="006339DB">
      <w:pPr>
        <w:pStyle w:val="Heading4"/>
      </w:pPr>
      <w:r w:rsidRPr="001C1E55">
        <w:t>Statement of Changes in Equity</w:t>
      </w:r>
    </w:p>
    <w:p w:rsidR="006339DB" w:rsidRPr="001C1E55" w:rsidRDefault="006339DB" w:rsidP="006339DB">
      <w:pPr>
        <w:pStyle w:val="BodyText"/>
        <w:rPr>
          <w:color w:val="000000"/>
        </w:rPr>
      </w:pPr>
      <w:r w:rsidRPr="001C1E55">
        <w:rPr>
          <w:color w:val="000000"/>
        </w:rPr>
        <w:t>Variations in the statement are explained in the notes above.</w:t>
      </w:r>
    </w:p>
    <w:p w:rsidR="006339DB" w:rsidRPr="001C1E55" w:rsidRDefault="006339DB" w:rsidP="006339DB">
      <w:pPr>
        <w:pStyle w:val="Heading4"/>
      </w:pPr>
      <w:r w:rsidRPr="001C1E55">
        <w:t>Cash Flow Statement</w:t>
      </w:r>
    </w:p>
    <w:p w:rsidR="006339DB" w:rsidRPr="001C1E55" w:rsidRDefault="006339DB" w:rsidP="006339DB">
      <w:pPr>
        <w:pStyle w:val="BodyTextIndent"/>
        <w:keepNext w:val="0"/>
        <w:keepLines w:val="0"/>
        <w:numPr>
          <w:ilvl w:val="0"/>
          <w:numId w:val="1"/>
        </w:numPr>
        <w:rPr>
          <w:szCs w:val="20"/>
        </w:rPr>
      </w:pPr>
      <w:proofErr w:type="gramStart"/>
      <w:r w:rsidRPr="001C1E55">
        <w:rPr>
          <w:szCs w:val="20"/>
        </w:rPr>
        <w:t>capital</w:t>
      </w:r>
      <w:proofErr w:type="gramEnd"/>
      <w:r w:rsidRPr="001C1E55">
        <w:rPr>
          <w:szCs w:val="20"/>
        </w:rPr>
        <w:t xml:space="preserve"> injection from government:  </w:t>
      </w:r>
      <w:r>
        <w:t>the decrease of $1.269</w:t>
      </w:r>
      <w:r w:rsidRPr="001C1E55">
        <w:t xml:space="preserve"> million in the 2012-13 estimated outcome from the original budget represents the rollover of funds for the </w:t>
      </w:r>
      <w:r>
        <w:t>Whole of Government Identity and Access Management</w:t>
      </w:r>
      <w:r w:rsidRPr="001C1E55">
        <w:t xml:space="preserve"> </w:t>
      </w:r>
      <w:r>
        <w:t xml:space="preserve">($0.4 million), the Extension of Mobile Device Capabilities ($0.303 million), the </w:t>
      </w:r>
      <w:r w:rsidRPr="001C1E55">
        <w:t xml:space="preserve">Data </w:t>
      </w:r>
      <w:r>
        <w:t>Storage</w:t>
      </w:r>
      <w:r w:rsidRPr="001C1E55">
        <w:t xml:space="preserve"> Infrastructure </w:t>
      </w:r>
      <w:r>
        <w:t xml:space="preserve">($0.296 million) </w:t>
      </w:r>
      <w:r w:rsidRPr="001C1E55">
        <w:t xml:space="preserve">and Data </w:t>
      </w:r>
      <w:r>
        <w:t>Centre</w:t>
      </w:r>
      <w:r w:rsidRPr="001C1E55">
        <w:t xml:space="preserve"> Infrastructure </w:t>
      </w:r>
      <w:r>
        <w:t>($0.270 million)</w:t>
      </w:r>
      <w:r w:rsidRPr="001C1E55">
        <w:t xml:space="preserve"> initiatives</w:t>
      </w:r>
      <w:r>
        <w:t>.</w:t>
      </w:r>
    </w:p>
    <w:p w:rsidR="006339DB" w:rsidRPr="007376A3" w:rsidRDefault="006339DB" w:rsidP="006339DB">
      <w:pPr>
        <w:rPr>
          <w:rFonts w:ascii="Arial" w:hAnsi="Arial"/>
          <w:b/>
          <w:bCs/>
          <w:sz w:val="10"/>
          <w:szCs w:val="10"/>
          <w:highlight w:val="yellow"/>
          <w:lang w:eastAsia="en-AU"/>
        </w:rPr>
      </w:pPr>
      <w:r w:rsidRPr="007376A3">
        <w:rPr>
          <w:highlight w:val="yellow"/>
        </w:rPr>
        <w:br w:type="page"/>
      </w:r>
    </w:p>
    <w:tbl>
      <w:tblPr>
        <w:tblW w:w="9356" w:type="dxa"/>
        <w:tblLook w:val="04A0"/>
      </w:tblPr>
      <w:tblGrid>
        <w:gridCol w:w="1050"/>
        <w:gridCol w:w="2384"/>
        <w:gridCol w:w="1102"/>
        <w:gridCol w:w="1049"/>
        <w:gridCol w:w="621"/>
        <w:gridCol w:w="1050"/>
        <w:gridCol w:w="1050"/>
        <w:gridCol w:w="1050"/>
      </w:tblGrid>
      <w:tr w:rsidR="006339DB" w:rsidTr="000A30C8">
        <w:trPr>
          <w:tblHeader/>
        </w:trPr>
        <w:tc>
          <w:tcPr>
            <w:tcW w:w="9388" w:type="dxa"/>
            <w:gridSpan w:val="8"/>
            <w:tcBorders>
              <w:top w:val="nil"/>
              <w:left w:val="nil"/>
              <w:bottom w:val="nil"/>
              <w:right w:val="nil"/>
            </w:tcBorders>
            <w:shd w:val="clear" w:color="000000" w:fill="FFFFFF"/>
            <w:hideMark/>
          </w:tcPr>
          <w:p w:rsidR="006339DB" w:rsidRPr="00DB2AB2" w:rsidRDefault="006339DB" w:rsidP="000A30C8">
            <w:pPr>
              <w:jc w:val="center"/>
              <w:rPr>
                <w:rFonts w:ascii="Arial" w:hAnsi="Arial" w:cs="Arial"/>
                <w:b/>
                <w:bCs/>
                <w:szCs w:val="24"/>
              </w:rPr>
            </w:pPr>
            <w:bookmarkStart w:id="15" w:name="RANGE!A1:H33"/>
            <w:r w:rsidRPr="00DB2AB2">
              <w:rPr>
                <w:rFonts w:ascii="Arial" w:hAnsi="Arial" w:cs="Arial"/>
                <w:b/>
                <w:bCs/>
                <w:szCs w:val="24"/>
              </w:rPr>
              <w:lastRenderedPageBreak/>
              <w:t>Shared Services ICT</w:t>
            </w:r>
            <w:bookmarkEnd w:id="15"/>
          </w:p>
        </w:tc>
      </w:tr>
      <w:tr w:rsidR="006339DB" w:rsidTr="000A30C8">
        <w:trPr>
          <w:tblHeader/>
        </w:trPr>
        <w:tc>
          <w:tcPr>
            <w:tcW w:w="9388" w:type="dxa"/>
            <w:gridSpan w:val="8"/>
            <w:tcBorders>
              <w:top w:val="nil"/>
              <w:left w:val="nil"/>
              <w:bottom w:val="nil"/>
              <w:right w:val="nil"/>
            </w:tcBorders>
            <w:shd w:val="clear" w:color="000000" w:fill="FFFFFF"/>
            <w:hideMark/>
          </w:tcPr>
          <w:p w:rsidR="006339DB" w:rsidRPr="00DB2AB2" w:rsidRDefault="006339DB" w:rsidP="000A30C8">
            <w:pPr>
              <w:jc w:val="center"/>
              <w:rPr>
                <w:rFonts w:ascii="Arial" w:hAnsi="Arial" w:cs="Arial"/>
                <w:b/>
                <w:bCs/>
                <w:szCs w:val="24"/>
              </w:rPr>
            </w:pPr>
            <w:r w:rsidRPr="00DB2AB2">
              <w:rPr>
                <w:rFonts w:ascii="Arial" w:hAnsi="Arial" w:cs="Arial"/>
                <w:b/>
                <w:bCs/>
                <w:szCs w:val="24"/>
              </w:rPr>
              <w:t>Operating Statement</w:t>
            </w:r>
          </w:p>
        </w:tc>
      </w:tr>
      <w:tr w:rsidR="006339DB" w:rsidTr="000A30C8">
        <w:trPr>
          <w:tblHeader/>
        </w:trPr>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2016-17</w:t>
            </w:r>
          </w:p>
        </w:tc>
      </w:tr>
      <w:tr w:rsidR="006339DB" w:rsidTr="000A30C8">
        <w:trPr>
          <w:tblHeader/>
        </w:trPr>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r>
      <w:tr w:rsidR="006339DB" w:rsidTr="000A30C8">
        <w:trPr>
          <w:tblHeader/>
        </w:trPr>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r>
      <w:tr w:rsidR="006339DB" w:rsidTr="000A30C8">
        <w:trPr>
          <w:tblHeader/>
        </w:trPr>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6,576</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5,481</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70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User Charges </w:t>
            </w:r>
            <w:r w:rsidRPr="00636DD0">
              <w:rPr>
                <w:bCs/>
                <w:sz w:val="18"/>
                <w:szCs w:val="18"/>
                <w:lang w:eastAsia="en-AU"/>
              </w:rPr>
              <w:t xml:space="preserve">— </w:t>
            </w:r>
            <w:r>
              <w:rPr>
                <w:sz w:val="18"/>
                <w:szCs w:val="18"/>
              </w:rPr>
              <w:t xml:space="preserve">Non ACT </w:t>
            </w:r>
            <w:r>
              <w:rPr>
                <w:sz w:val="18"/>
                <w:szCs w:val="18"/>
              </w:rPr>
              <w:br/>
              <w:t xml:space="preserve">   Government</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70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114,916</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User Charges </w:t>
            </w:r>
            <w:r w:rsidRPr="00636DD0">
              <w:rPr>
                <w:bCs/>
                <w:sz w:val="18"/>
                <w:szCs w:val="18"/>
                <w:lang w:eastAsia="en-AU"/>
              </w:rPr>
              <w:t xml:space="preserve">— </w:t>
            </w:r>
            <w:r>
              <w:rPr>
                <w:sz w:val="18"/>
                <w:szCs w:val="18"/>
              </w:rPr>
              <w:t xml:space="preserve">ACT </w:t>
            </w:r>
            <w:r>
              <w:rPr>
                <w:sz w:val="18"/>
                <w:szCs w:val="18"/>
              </w:rPr>
              <w:br/>
              <w:t xml:space="preserve">   Government</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120,616</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81</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461</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39</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Resources Received Free of </w:t>
            </w:r>
            <w:r>
              <w:rPr>
                <w:sz w:val="18"/>
                <w:szCs w:val="18"/>
              </w:rPr>
              <w:br/>
              <w:t xml:space="preserve">   Charge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39</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121,682</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126,667</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121,682</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126,667</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43,471</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39,552</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6,575</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6,175</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63,599</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72,404</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17,276</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17,251</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25</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403</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130,921</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135,810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-9,239</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-9,143</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r>
    </w:tbl>
    <w:p w:rsidR="006339DB" w:rsidRDefault="006339DB" w:rsidP="006339DB">
      <w:pPr>
        <w:rPr>
          <w:rFonts w:ascii="Arial" w:hAnsi="Arial" w:cs="Arial"/>
          <w:b/>
          <w:bCs/>
          <w:szCs w:val="26"/>
        </w:rPr>
      </w:pPr>
      <w:r>
        <w:br w:type="page"/>
      </w:r>
    </w:p>
    <w:tbl>
      <w:tblPr>
        <w:tblW w:w="9356" w:type="dxa"/>
        <w:tblLook w:val="04A0"/>
      </w:tblPr>
      <w:tblGrid>
        <w:gridCol w:w="1050"/>
        <w:gridCol w:w="2384"/>
        <w:gridCol w:w="1102"/>
        <w:gridCol w:w="1049"/>
        <w:gridCol w:w="621"/>
        <w:gridCol w:w="1050"/>
        <w:gridCol w:w="1050"/>
        <w:gridCol w:w="1050"/>
      </w:tblGrid>
      <w:tr w:rsidR="006339DB" w:rsidTr="000A30C8">
        <w:trPr>
          <w:tblHeader/>
        </w:trPr>
        <w:tc>
          <w:tcPr>
            <w:tcW w:w="9388" w:type="dxa"/>
            <w:gridSpan w:val="8"/>
            <w:tcBorders>
              <w:top w:val="nil"/>
              <w:left w:val="nil"/>
              <w:bottom w:val="nil"/>
              <w:right w:val="nil"/>
            </w:tcBorders>
            <w:shd w:val="clear" w:color="000000" w:fill="FFFFFF"/>
            <w:hideMark/>
          </w:tcPr>
          <w:p w:rsidR="006339DB" w:rsidRPr="00DB2AB2" w:rsidRDefault="006339DB" w:rsidP="000A30C8">
            <w:pPr>
              <w:jc w:val="center"/>
              <w:rPr>
                <w:rFonts w:ascii="Arial" w:hAnsi="Arial" w:cs="Arial"/>
                <w:b/>
                <w:bCs/>
                <w:szCs w:val="24"/>
              </w:rPr>
            </w:pPr>
            <w:r w:rsidRPr="00DB2AB2">
              <w:rPr>
                <w:rFonts w:ascii="Arial" w:hAnsi="Arial" w:cs="Arial"/>
                <w:b/>
                <w:bCs/>
                <w:szCs w:val="24"/>
              </w:rPr>
              <w:lastRenderedPageBreak/>
              <w:t>Shared Services Procurement</w:t>
            </w:r>
          </w:p>
        </w:tc>
      </w:tr>
      <w:tr w:rsidR="006339DB" w:rsidTr="000A30C8">
        <w:trPr>
          <w:tblHeader/>
        </w:trPr>
        <w:tc>
          <w:tcPr>
            <w:tcW w:w="9388" w:type="dxa"/>
            <w:gridSpan w:val="8"/>
            <w:tcBorders>
              <w:top w:val="nil"/>
              <w:left w:val="nil"/>
              <w:bottom w:val="nil"/>
              <w:right w:val="nil"/>
            </w:tcBorders>
            <w:shd w:val="clear" w:color="000000" w:fill="FFFFFF"/>
            <w:hideMark/>
          </w:tcPr>
          <w:p w:rsidR="006339DB" w:rsidRPr="00DB2AB2" w:rsidRDefault="006339DB" w:rsidP="000A30C8">
            <w:pPr>
              <w:jc w:val="center"/>
              <w:rPr>
                <w:rFonts w:ascii="Arial" w:hAnsi="Arial" w:cs="Arial"/>
                <w:b/>
                <w:bCs/>
                <w:szCs w:val="24"/>
              </w:rPr>
            </w:pPr>
            <w:r w:rsidRPr="00DB2AB2">
              <w:rPr>
                <w:rFonts w:ascii="Arial" w:hAnsi="Arial" w:cs="Arial"/>
                <w:b/>
                <w:bCs/>
                <w:szCs w:val="24"/>
              </w:rPr>
              <w:t>Operating Statement</w:t>
            </w:r>
          </w:p>
        </w:tc>
      </w:tr>
      <w:tr w:rsidR="006339DB" w:rsidTr="000A30C8">
        <w:trPr>
          <w:tblHeader/>
        </w:trPr>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2016-17</w:t>
            </w:r>
          </w:p>
        </w:tc>
      </w:tr>
      <w:tr w:rsidR="006339DB" w:rsidTr="000A30C8">
        <w:trPr>
          <w:tblHeader/>
        </w:trPr>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r>
      <w:tr w:rsidR="006339DB" w:rsidTr="000A30C8">
        <w:trPr>
          <w:tblHeader/>
        </w:trPr>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r>
      <w:tr w:rsidR="006339DB" w:rsidTr="000A30C8">
        <w:trPr>
          <w:tblHeader/>
        </w:trPr>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1,653</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1,653</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96</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User Charges </w:t>
            </w:r>
            <w:r w:rsidRPr="00636DD0">
              <w:rPr>
                <w:bCs/>
                <w:sz w:val="18"/>
                <w:szCs w:val="18"/>
                <w:lang w:eastAsia="en-AU"/>
              </w:rPr>
              <w:t xml:space="preserve">— </w:t>
            </w:r>
            <w:r>
              <w:rPr>
                <w:sz w:val="18"/>
                <w:szCs w:val="18"/>
              </w:rPr>
              <w:t xml:space="preserve">Non ACT </w:t>
            </w:r>
            <w:r>
              <w:rPr>
                <w:sz w:val="18"/>
                <w:szCs w:val="18"/>
              </w:rPr>
              <w:br/>
              <w:t xml:space="preserve">   Government</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96</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20,497</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User Charges </w:t>
            </w:r>
            <w:r w:rsidRPr="00636DD0">
              <w:rPr>
                <w:bCs/>
                <w:sz w:val="18"/>
                <w:szCs w:val="18"/>
                <w:lang w:eastAsia="en-AU"/>
              </w:rPr>
              <w:t xml:space="preserve">— </w:t>
            </w:r>
            <w:r>
              <w:rPr>
                <w:sz w:val="18"/>
                <w:szCs w:val="18"/>
              </w:rPr>
              <w:t xml:space="preserve">ACT </w:t>
            </w:r>
            <w:r>
              <w:rPr>
                <w:sz w:val="18"/>
                <w:szCs w:val="18"/>
              </w:rPr>
              <w:br/>
              <w:t xml:space="preserve">   Government</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20,497</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58</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64</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300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Resources Received Free of </w:t>
            </w:r>
            <w:r>
              <w:rPr>
                <w:sz w:val="18"/>
                <w:szCs w:val="18"/>
              </w:rPr>
              <w:br/>
              <w:t xml:space="preserve">   Charge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300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22,604</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22,610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22,604</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22,610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13,903</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13,863</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2,040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2,040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4,701</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4,701</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724</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724</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5</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21,368</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21,333</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1,236</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1,277</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r>
    </w:tbl>
    <w:p w:rsidR="006339DB" w:rsidRDefault="006339DB" w:rsidP="006339DB">
      <w:r>
        <w:br w:type="page"/>
      </w:r>
    </w:p>
    <w:tbl>
      <w:tblPr>
        <w:tblW w:w="9356" w:type="dxa"/>
        <w:tblLook w:val="04A0"/>
      </w:tblPr>
      <w:tblGrid>
        <w:gridCol w:w="1050"/>
        <w:gridCol w:w="2384"/>
        <w:gridCol w:w="1102"/>
        <w:gridCol w:w="1049"/>
        <w:gridCol w:w="621"/>
        <w:gridCol w:w="1050"/>
        <w:gridCol w:w="1050"/>
        <w:gridCol w:w="1050"/>
      </w:tblGrid>
      <w:tr w:rsidR="006339DB" w:rsidTr="000A30C8">
        <w:trPr>
          <w:tblHeader/>
        </w:trPr>
        <w:tc>
          <w:tcPr>
            <w:tcW w:w="9388" w:type="dxa"/>
            <w:gridSpan w:val="8"/>
            <w:tcBorders>
              <w:top w:val="nil"/>
              <w:left w:val="nil"/>
              <w:bottom w:val="nil"/>
              <w:right w:val="nil"/>
            </w:tcBorders>
            <w:shd w:val="clear" w:color="000000" w:fill="FFFFFF"/>
            <w:hideMark/>
          </w:tcPr>
          <w:p w:rsidR="006339DB" w:rsidRDefault="006339DB" w:rsidP="000A30C8">
            <w:pPr>
              <w:jc w:val="center"/>
              <w:rPr>
                <w:rFonts w:ascii="Arial" w:hAnsi="Arial" w:cs="Arial"/>
                <w:b/>
                <w:bCs/>
                <w:szCs w:val="24"/>
              </w:rPr>
            </w:pPr>
            <w:r>
              <w:rPr>
                <w:rFonts w:ascii="Arial" w:hAnsi="Arial" w:cs="Arial"/>
                <w:b/>
                <w:bCs/>
              </w:rPr>
              <w:lastRenderedPageBreak/>
              <w:t>Shared Services Human Resources</w:t>
            </w:r>
          </w:p>
        </w:tc>
      </w:tr>
      <w:tr w:rsidR="006339DB" w:rsidTr="000A30C8">
        <w:trPr>
          <w:tblHeader/>
        </w:trPr>
        <w:tc>
          <w:tcPr>
            <w:tcW w:w="9388" w:type="dxa"/>
            <w:gridSpan w:val="8"/>
            <w:tcBorders>
              <w:top w:val="nil"/>
              <w:left w:val="nil"/>
              <w:bottom w:val="nil"/>
              <w:right w:val="nil"/>
            </w:tcBorders>
            <w:shd w:val="clear" w:color="000000" w:fill="FFFFFF"/>
            <w:hideMark/>
          </w:tcPr>
          <w:p w:rsidR="006339DB" w:rsidRDefault="006339DB" w:rsidP="000A30C8">
            <w:pPr>
              <w:jc w:val="center"/>
              <w:rPr>
                <w:rFonts w:ascii="Arial" w:hAnsi="Arial" w:cs="Arial"/>
                <w:b/>
                <w:bCs/>
                <w:szCs w:val="24"/>
              </w:rPr>
            </w:pPr>
            <w:r>
              <w:rPr>
                <w:rFonts w:ascii="Arial" w:hAnsi="Arial" w:cs="Arial"/>
                <w:b/>
                <w:bCs/>
              </w:rPr>
              <w:t>Operating Statement</w:t>
            </w:r>
          </w:p>
        </w:tc>
      </w:tr>
      <w:tr w:rsidR="006339DB" w:rsidTr="000A30C8">
        <w:trPr>
          <w:tblHeader/>
        </w:trPr>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2016-17</w:t>
            </w:r>
          </w:p>
        </w:tc>
      </w:tr>
      <w:tr w:rsidR="006339DB" w:rsidTr="000A30C8">
        <w:trPr>
          <w:tblHeader/>
        </w:trPr>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r>
      <w:tr w:rsidR="006339DB" w:rsidTr="000A30C8">
        <w:trPr>
          <w:tblHeader/>
        </w:trPr>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r>
      <w:tr w:rsidR="006339DB" w:rsidTr="000A30C8">
        <w:trPr>
          <w:tblHeader/>
        </w:trPr>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3,406</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2,193</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25,210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User Charges </w:t>
            </w:r>
            <w:r w:rsidRPr="00636DD0">
              <w:rPr>
                <w:bCs/>
                <w:sz w:val="18"/>
                <w:szCs w:val="18"/>
                <w:lang w:eastAsia="en-AU"/>
              </w:rPr>
              <w:t xml:space="preserve">— </w:t>
            </w:r>
            <w:r>
              <w:rPr>
                <w:sz w:val="18"/>
                <w:szCs w:val="18"/>
              </w:rPr>
              <w:t xml:space="preserve">ACT </w:t>
            </w:r>
            <w:r>
              <w:rPr>
                <w:sz w:val="18"/>
                <w:szCs w:val="18"/>
              </w:rPr>
              <w:br/>
              <w:t xml:space="preserve">   Government</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23,242</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Interest</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282</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1,418</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1,418</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30,034</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27,135</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30,034</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27,135</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18,526</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16,526</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2,797</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2,535</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7,004</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5,997</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778</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778</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14</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18</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29,105</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25,868</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929</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1,267</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r>
    </w:tbl>
    <w:p w:rsidR="006339DB" w:rsidRDefault="006339DB" w:rsidP="006339DB"/>
    <w:p w:rsidR="006339DB" w:rsidRDefault="006339DB" w:rsidP="006339DB">
      <w:r>
        <w:br w:type="page"/>
      </w:r>
    </w:p>
    <w:tbl>
      <w:tblPr>
        <w:tblW w:w="9356" w:type="dxa"/>
        <w:tblLook w:val="04A0"/>
      </w:tblPr>
      <w:tblGrid>
        <w:gridCol w:w="1050"/>
        <w:gridCol w:w="2384"/>
        <w:gridCol w:w="1102"/>
        <w:gridCol w:w="1049"/>
        <w:gridCol w:w="621"/>
        <w:gridCol w:w="1050"/>
        <w:gridCol w:w="1050"/>
        <w:gridCol w:w="1050"/>
      </w:tblGrid>
      <w:tr w:rsidR="006339DB" w:rsidTr="000A30C8">
        <w:trPr>
          <w:tblHeader/>
        </w:trPr>
        <w:tc>
          <w:tcPr>
            <w:tcW w:w="9388" w:type="dxa"/>
            <w:gridSpan w:val="8"/>
            <w:tcBorders>
              <w:top w:val="nil"/>
              <w:left w:val="nil"/>
              <w:bottom w:val="nil"/>
              <w:right w:val="nil"/>
            </w:tcBorders>
            <w:shd w:val="clear" w:color="000000" w:fill="FFFFFF"/>
            <w:hideMark/>
          </w:tcPr>
          <w:p w:rsidR="006339DB" w:rsidRDefault="006339DB" w:rsidP="000A30C8">
            <w:pPr>
              <w:jc w:val="center"/>
              <w:rPr>
                <w:rFonts w:ascii="Arial" w:hAnsi="Arial" w:cs="Arial"/>
                <w:b/>
                <w:bCs/>
                <w:szCs w:val="24"/>
              </w:rPr>
            </w:pPr>
            <w:bookmarkStart w:id="16" w:name="RANGE!A1:H29"/>
            <w:r>
              <w:rPr>
                <w:rFonts w:ascii="Arial" w:hAnsi="Arial" w:cs="Arial"/>
                <w:b/>
                <w:bCs/>
              </w:rPr>
              <w:lastRenderedPageBreak/>
              <w:t>Shared Services Finance</w:t>
            </w:r>
            <w:bookmarkEnd w:id="16"/>
          </w:p>
        </w:tc>
      </w:tr>
      <w:tr w:rsidR="006339DB" w:rsidTr="000A30C8">
        <w:trPr>
          <w:tblHeader/>
        </w:trPr>
        <w:tc>
          <w:tcPr>
            <w:tcW w:w="9388" w:type="dxa"/>
            <w:gridSpan w:val="8"/>
            <w:tcBorders>
              <w:top w:val="nil"/>
              <w:left w:val="nil"/>
              <w:bottom w:val="nil"/>
              <w:right w:val="nil"/>
            </w:tcBorders>
            <w:shd w:val="clear" w:color="000000" w:fill="FFFFFF"/>
            <w:hideMark/>
          </w:tcPr>
          <w:p w:rsidR="006339DB" w:rsidRDefault="006339DB" w:rsidP="000A30C8">
            <w:pPr>
              <w:jc w:val="center"/>
              <w:rPr>
                <w:rFonts w:ascii="Arial" w:hAnsi="Arial" w:cs="Arial"/>
                <w:b/>
                <w:bCs/>
                <w:szCs w:val="24"/>
              </w:rPr>
            </w:pPr>
            <w:r>
              <w:rPr>
                <w:rFonts w:ascii="Arial" w:hAnsi="Arial" w:cs="Arial"/>
                <w:b/>
                <w:bCs/>
              </w:rPr>
              <w:t>Operating Statement</w:t>
            </w:r>
          </w:p>
        </w:tc>
      </w:tr>
      <w:tr w:rsidR="006339DB" w:rsidTr="000A30C8">
        <w:trPr>
          <w:tblHeader/>
        </w:trPr>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2016-17</w:t>
            </w:r>
          </w:p>
        </w:tc>
      </w:tr>
      <w:tr w:rsidR="006339DB" w:rsidTr="000A30C8">
        <w:trPr>
          <w:tblHeader/>
        </w:trPr>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Estimate</w:t>
            </w:r>
          </w:p>
        </w:tc>
      </w:tr>
      <w:tr w:rsidR="006339DB" w:rsidTr="000A30C8">
        <w:trPr>
          <w:tblHeader/>
        </w:trPr>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b/>
                <w:bCs/>
                <w:sz w:val="18"/>
                <w:szCs w:val="18"/>
              </w:rPr>
            </w:pPr>
            <w:r>
              <w:rPr>
                <w:b/>
                <w:bCs/>
                <w:sz w:val="18"/>
                <w:szCs w:val="18"/>
              </w:rPr>
              <w:t>$'000</w:t>
            </w:r>
          </w:p>
        </w:tc>
      </w:tr>
      <w:tr w:rsidR="006339DB" w:rsidTr="000A30C8">
        <w:trPr>
          <w:tblHeader/>
        </w:trPr>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i/>
                <w:iCs/>
                <w:sz w:val="18"/>
                <w:szCs w:val="18"/>
              </w:rPr>
            </w:pPr>
            <w:r>
              <w:rPr>
                <w:b/>
                <w:bCs/>
                <w:i/>
                <w:iCs/>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538</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538</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45</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User Charges </w:t>
            </w:r>
            <w:r w:rsidRPr="00636DD0">
              <w:rPr>
                <w:bCs/>
                <w:sz w:val="18"/>
                <w:szCs w:val="18"/>
                <w:lang w:eastAsia="en-AU"/>
              </w:rPr>
              <w:t xml:space="preserve">— </w:t>
            </w:r>
            <w:r>
              <w:rPr>
                <w:sz w:val="18"/>
                <w:szCs w:val="18"/>
              </w:rPr>
              <w:t xml:space="preserve">Non ACT </w:t>
            </w:r>
            <w:r>
              <w:rPr>
                <w:sz w:val="18"/>
                <w:szCs w:val="18"/>
              </w:rPr>
              <w:br/>
              <w:t xml:space="preserve">   Government</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45</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13,807</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User Charges </w:t>
            </w:r>
            <w:r w:rsidRPr="00636DD0">
              <w:rPr>
                <w:bCs/>
                <w:sz w:val="18"/>
                <w:szCs w:val="18"/>
                <w:lang w:eastAsia="en-AU"/>
              </w:rPr>
              <w:t xml:space="preserve">— </w:t>
            </w:r>
            <w:r>
              <w:rPr>
                <w:sz w:val="18"/>
                <w:szCs w:val="18"/>
              </w:rPr>
              <w:t xml:space="preserve">ACT </w:t>
            </w:r>
            <w:r>
              <w:rPr>
                <w:sz w:val="18"/>
                <w:szCs w:val="18"/>
              </w:rPr>
              <w:br/>
              <w:t xml:space="preserve">   Government</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13,807</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14,390</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14,390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14,390</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14,390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10,050</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10,010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1,551</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1,551</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3,164</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3,164</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273</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273</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15,038</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14,998</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6339DB" w:rsidRDefault="006339DB" w:rsidP="000A30C8">
            <w:pPr>
              <w:ind w:left="-283"/>
              <w:jc w:val="right"/>
              <w:rPr>
                <w:sz w:val="18"/>
                <w:szCs w:val="18"/>
              </w:rPr>
            </w:pPr>
            <w:r>
              <w:rPr>
                <w:sz w:val="18"/>
                <w:szCs w:val="18"/>
              </w:rPr>
              <w:t> </w:t>
            </w:r>
          </w:p>
        </w:tc>
      </w:tr>
      <w:tr w:rsidR="006339DB" w:rsidTr="000A30C8">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-648</w:t>
            </w:r>
          </w:p>
        </w:tc>
        <w:tc>
          <w:tcPr>
            <w:tcW w:w="2392" w:type="dxa"/>
            <w:tcBorders>
              <w:top w:val="nil"/>
              <w:left w:val="nil"/>
              <w:bottom w:val="nil"/>
              <w:right w:val="nil"/>
            </w:tcBorders>
            <w:shd w:val="clear" w:color="000000" w:fill="FFFFFF"/>
            <w:hideMark/>
          </w:tcPr>
          <w:p w:rsidR="006339DB" w:rsidRDefault="006339DB" w:rsidP="000A30C8">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-608</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6339DB" w:rsidRDefault="006339DB" w:rsidP="000A30C8">
            <w:pPr>
              <w:ind w:left="-283"/>
              <w:jc w:val="right"/>
              <w:rPr>
                <w:b/>
                <w:bCs/>
                <w:sz w:val="18"/>
                <w:szCs w:val="18"/>
              </w:rPr>
            </w:pPr>
            <w:r>
              <w:rPr>
                <w:b/>
                <w:bCs/>
                <w:sz w:val="18"/>
                <w:szCs w:val="18"/>
              </w:rPr>
              <w:t>0</w:t>
            </w:r>
          </w:p>
        </w:tc>
      </w:tr>
      <w:tr w:rsidR="006339DB" w:rsidTr="000A30C8">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6339DB" w:rsidRDefault="006339DB" w:rsidP="000A30C8">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6339DB" w:rsidRDefault="006339DB" w:rsidP="000A30C8">
            <w:pPr>
              <w:ind w:left="-283"/>
              <w:jc w:val="right"/>
              <w:rPr>
                <w:sz w:val="18"/>
                <w:szCs w:val="18"/>
              </w:rPr>
            </w:pPr>
            <w:r>
              <w:rPr>
                <w:sz w:val="18"/>
                <w:szCs w:val="18"/>
              </w:rPr>
              <w:t> </w:t>
            </w:r>
          </w:p>
        </w:tc>
      </w:tr>
    </w:tbl>
    <w:p w:rsidR="006339DB" w:rsidRDefault="006339DB" w:rsidP="006339DB">
      <w:pPr>
        <w:rPr>
          <w:rFonts w:ascii="Arial" w:hAnsi="Arial" w:cs="Arial"/>
          <w:b/>
          <w:bCs/>
          <w:szCs w:val="26"/>
        </w:rPr>
      </w:pPr>
      <w:r>
        <w:br w:type="page"/>
      </w:r>
    </w:p>
    <w:p w:rsidR="006339DB" w:rsidRPr="00161CA6" w:rsidRDefault="006339DB" w:rsidP="006339DB">
      <w:pPr>
        <w:pStyle w:val="Heading3"/>
      </w:pPr>
      <w:r w:rsidRPr="00161CA6">
        <w:lastRenderedPageBreak/>
        <w:t>Notes to the Output Class Statements</w:t>
      </w:r>
    </w:p>
    <w:p w:rsidR="006339DB" w:rsidRPr="00161CA6" w:rsidRDefault="006339DB" w:rsidP="006339DB">
      <w:pPr>
        <w:pStyle w:val="BodyText"/>
      </w:pPr>
      <w:r w:rsidRPr="00161CA6">
        <w:t>Significant variations are as follows:</w:t>
      </w:r>
    </w:p>
    <w:p w:rsidR="006339DB" w:rsidRPr="00161CA6" w:rsidRDefault="006339DB" w:rsidP="006339DB">
      <w:pPr>
        <w:pStyle w:val="Heading4"/>
        <w:keepNext w:val="0"/>
      </w:pPr>
      <w:r w:rsidRPr="00161CA6">
        <w:t>Shared Services ICT Total Expenses</w:t>
      </w:r>
    </w:p>
    <w:p w:rsidR="006339DB" w:rsidRPr="00161CA6" w:rsidRDefault="006339DB" w:rsidP="006339DB">
      <w:pPr>
        <w:pStyle w:val="BodyTextIndent"/>
        <w:numPr>
          <w:ilvl w:val="0"/>
          <w:numId w:val="1"/>
        </w:numPr>
      </w:pPr>
      <w:proofErr w:type="gramStart"/>
      <w:r>
        <w:t>the</w:t>
      </w:r>
      <w:proofErr w:type="gramEnd"/>
      <w:r>
        <w:t xml:space="preserve"> increase of $4.889</w:t>
      </w:r>
      <w:r w:rsidRPr="00161CA6">
        <w:t xml:space="preserve"> million in the 2012-13 estimated outcome from the original budget is mainly due to </w:t>
      </w:r>
      <w:r>
        <w:t>higher</w:t>
      </w:r>
      <w:r w:rsidRPr="00161CA6">
        <w:t xml:space="preserve"> ICT project activity </w:t>
      </w:r>
      <w:r>
        <w:t xml:space="preserve">and </w:t>
      </w:r>
      <w:r w:rsidRPr="00161CA6">
        <w:t xml:space="preserve">higher than forecast contractor expenditure, partially offset by lower than forecast permanent staffing levels. </w:t>
      </w:r>
    </w:p>
    <w:p w:rsidR="006339DB" w:rsidRPr="00161CA6" w:rsidRDefault="006339DB" w:rsidP="006339DB">
      <w:pPr>
        <w:pStyle w:val="Heading4"/>
        <w:keepNext w:val="0"/>
      </w:pPr>
      <w:r w:rsidRPr="00161CA6">
        <w:t>Shared Services Human Resources Total Expenses</w:t>
      </w:r>
    </w:p>
    <w:p w:rsidR="006339DB" w:rsidRPr="00161CA6" w:rsidRDefault="006339DB" w:rsidP="006339DB">
      <w:pPr>
        <w:pStyle w:val="BodyTextIndent"/>
        <w:numPr>
          <w:ilvl w:val="0"/>
          <w:numId w:val="1"/>
        </w:numPr>
      </w:pPr>
      <w:proofErr w:type="gramStart"/>
      <w:r>
        <w:t>the</w:t>
      </w:r>
      <w:proofErr w:type="gramEnd"/>
      <w:r>
        <w:t xml:space="preserve"> decrease of $3.237</w:t>
      </w:r>
      <w:r w:rsidRPr="00161CA6">
        <w:t xml:space="preserve"> million in the 2012-13 estimated outcome from the original budget is mainly due to </w:t>
      </w:r>
      <w:r>
        <w:t>the</w:t>
      </w:r>
      <w:r w:rsidRPr="00BB34DE">
        <w:t xml:space="preserve"> Injury Management and Safety team </w:t>
      </w:r>
      <w:r>
        <w:t xml:space="preserve">($2.639 million) transferring to the Chief Minister and Treasury Directorate and the rollover of </w:t>
      </w:r>
      <w:r w:rsidRPr="00161CA6">
        <w:t xml:space="preserve">the Upgrade/Replacement of ACT Government HRIMS </w:t>
      </w:r>
      <w:r>
        <w:t>($0.579</w:t>
      </w:r>
      <w:r w:rsidRPr="00161CA6">
        <w:t> </w:t>
      </w:r>
      <w:r>
        <w:t>million) feasibility study.</w:t>
      </w:r>
    </w:p>
    <w:p w:rsidR="006339DB" w:rsidRDefault="006339DB">
      <w:r>
        <w:br w:type="page"/>
      </w:r>
    </w:p>
    <w:p w:rsidR="000304E2" w:rsidRDefault="000304E2" w:rsidP="00EB32D6"/>
    <w:sectPr w:rsidR="000304E2" w:rsidSect="006C15D5">
      <w:footerReference w:type="default" r:id="rId8"/>
      <w:pgSz w:w="11906" w:h="16838" w:code="9"/>
      <w:pgMar w:top="1151" w:right="1440" w:bottom="1729" w:left="1440" w:header="720" w:footer="720" w:gutter="0"/>
      <w:pgNumType w:start="58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944" w:rsidRDefault="00AA5944">
      <w:r>
        <w:separator/>
      </w:r>
    </w:p>
  </w:endnote>
  <w:endnote w:type="continuationSeparator" w:id="0">
    <w:p w:rsidR="00AA5944" w:rsidRDefault="00AA59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3" w:usb1="80000000" w:usb2="00000008"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44" w:rsidRDefault="00AA5944">
    <w:pPr>
      <w:pStyle w:val="FooterBP"/>
    </w:pPr>
    <w:r>
      <w:t>2013-14 Budget Paper No. 4</w:t>
    </w:r>
    <w:r>
      <w:tab/>
    </w:r>
    <w:fldSimple w:instr=" PAGE   \* MERGEFORMAT ">
      <w:r w:rsidR="00653986">
        <w:rPr>
          <w:noProof/>
        </w:rPr>
        <w:t>581</w:t>
      </w:r>
    </w:fldSimple>
    <w:r w:rsidR="007F6BE1">
      <w:tab/>
      <w:t xml:space="preserve"> Appendix 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944" w:rsidRDefault="00AA5944">
      <w:r>
        <w:separator/>
      </w:r>
    </w:p>
  </w:footnote>
  <w:footnote w:type="continuationSeparator" w:id="0">
    <w:p w:rsidR="00AA5944" w:rsidRDefault="00AA59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2A7EF4"/>
    <w:multiLevelType w:val="hybridMultilevel"/>
    <w:tmpl w:val="4D6A4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2">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3">
    <w:nsid w:val="125D39FD"/>
    <w:multiLevelType w:val="hybridMultilevel"/>
    <w:tmpl w:val="A5BEDD8A"/>
    <w:lvl w:ilvl="0" w:tplc="0C09000F">
      <w:start w:val="1"/>
      <w:numFmt w:val="decimal"/>
      <w:lvlText w:val="%1."/>
      <w:lvlJc w:val="left"/>
      <w:pPr>
        <w:tabs>
          <w:tab w:val="num" w:pos="357"/>
        </w:tabs>
        <w:ind w:left="357" w:hanging="357"/>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5">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228630D3"/>
    <w:multiLevelType w:val="hybridMultilevel"/>
    <w:tmpl w:val="A45835FC"/>
    <w:lvl w:ilvl="0" w:tplc="16E2561C">
      <w:start w:val="1"/>
      <w:numFmt w:val="lowerLetter"/>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309B59C4"/>
    <w:multiLevelType w:val="hybridMultilevel"/>
    <w:tmpl w:val="E93E9EFE"/>
    <w:lvl w:ilvl="0" w:tplc="B46E7ACC">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4B42731"/>
    <w:multiLevelType w:val="hybridMultilevel"/>
    <w:tmpl w:val="ABDEE500"/>
    <w:lvl w:ilvl="0" w:tplc="50E83068">
      <w:start w:val="1"/>
      <w:numFmt w:val="decimal"/>
      <w:lvlText w:val="%1."/>
      <w:lvlJc w:val="left"/>
      <w:pPr>
        <w:tabs>
          <w:tab w:val="num" w:pos="360"/>
        </w:tabs>
        <w:ind w:left="360" w:hanging="360"/>
      </w:pPr>
      <w:rPr>
        <w:rFonts w:hint="default"/>
      </w:rPr>
    </w:lvl>
    <w:lvl w:ilvl="1" w:tplc="63D452C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62800BBC"/>
    <w:multiLevelType w:val="hybridMultilevel"/>
    <w:tmpl w:val="C30E6590"/>
    <w:lvl w:ilvl="0" w:tplc="16E2561C">
      <w:start w:val="1"/>
      <w:numFmt w:val="lowerLetter"/>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70C177D"/>
    <w:multiLevelType w:val="hybridMultilevel"/>
    <w:tmpl w:val="807EEA10"/>
    <w:lvl w:ilvl="0" w:tplc="78B09B42">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FC8278B"/>
    <w:multiLevelType w:val="hybridMultilevel"/>
    <w:tmpl w:val="ABDEE500"/>
    <w:lvl w:ilvl="0" w:tplc="50E83068">
      <w:start w:val="1"/>
      <w:numFmt w:val="decimal"/>
      <w:lvlText w:val="%1."/>
      <w:lvlJc w:val="left"/>
      <w:pPr>
        <w:tabs>
          <w:tab w:val="num" w:pos="360"/>
        </w:tabs>
        <w:ind w:left="360" w:hanging="360"/>
      </w:pPr>
      <w:rPr>
        <w:rFonts w:hint="default"/>
      </w:rPr>
    </w:lvl>
    <w:lvl w:ilvl="1" w:tplc="63D452C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5">
    <w:nsid w:val="735141C2"/>
    <w:multiLevelType w:val="hybridMultilevel"/>
    <w:tmpl w:val="4BD6E9D6"/>
    <w:lvl w:ilvl="0" w:tplc="85BAA5A2">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775973A5"/>
    <w:multiLevelType w:val="hybridMultilevel"/>
    <w:tmpl w:val="AC5CD4B6"/>
    <w:lvl w:ilvl="0" w:tplc="3168E24A">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7AA02D00"/>
    <w:multiLevelType w:val="hybridMultilevel"/>
    <w:tmpl w:val="8402C23E"/>
    <w:lvl w:ilvl="0" w:tplc="90EE9AFE">
      <w:start w:val="1"/>
      <w:numFmt w:val="bullet"/>
      <w:lvlText w:val=""/>
      <w:lvlJc w:val="left"/>
      <w:pPr>
        <w:tabs>
          <w:tab w:val="num" w:pos="360"/>
        </w:tabs>
        <w:ind w:left="360" w:hanging="360"/>
      </w:pPr>
      <w:rPr>
        <w:rFonts w:ascii="Symbol" w:hAnsi="Symbol" w:cs="Times New Roman" w:hint="default"/>
        <w:color w:val="auto"/>
      </w:rPr>
    </w:lvl>
    <w:lvl w:ilvl="1" w:tplc="0C090019">
      <w:start w:val="1"/>
      <w:numFmt w:val="bullet"/>
      <w:lvlText w:val="o"/>
      <w:lvlJc w:val="left"/>
      <w:pPr>
        <w:tabs>
          <w:tab w:val="num" w:pos="-540"/>
        </w:tabs>
        <w:ind w:left="-540" w:hanging="360"/>
      </w:pPr>
      <w:rPr>
        <w:rFonts w:ascii="Courier New" w:hAnsi="Courier New" w:cs="Courier New" w:hint="default"/>
      </w:rPr>
    </w:lvl>
    <w:lvl w:ilvl="2" w:tplc="0C09001B">
      <w:start w:val="1"/>
      <w:numFmt w:val="bullet"/>
      <w:lvlText w:val=""/>
      <w:lvlJc w:val="left"/>
      <w:pPr>
        <w:tabs>
          <w:tab w:val="num" w:pos="180"/>
        </w:tabs>
        <w:ind w:left="180" w:hanging="360"/>
      </w:pPr>
      <w:rPr>
        <w:rFonts w:ascii="Wingdings" w:hAnsi="Wingdings" w:cs="Times New Roman" w:hint="default"/>
      </w:rPr>
    </w:lvl>
    <w:lvl w:ilvl="3" w:tplc="0C09000F">
      <w:start w:val="1"/>
      <w:numFmt w:val="bullet"/>
      <w:lvlText w:val=""/>
      <w:lvlJc w:val="left"/>
      <w:pPr>
        <w:tabs>
          <w:tab w:val="num" w:pos="900"/>
        </w:tabs>
        <w:ind w:left="900" w:hanging="360"/>
      </w:pPr>
      <w:rPr>
        <w:rFonts w:ascii="Symbol" w:hAnsi="Symbol" w:cs="Times New Roman" w:hint="default"/>
      </w:rPr>
    </w:lvl>
    <w:lvl w:ilvl="4" w:tplc="0C090019">
      <w:start w:val="1"/>
      <w:numFmt w:val="bullet"/>
      <w:lvlText w:val="o"/>
      <w:lvlJc w:val="left"/>
      <w:pPr>
        <w:tabs>
          <w:tab w:val="num" w:pos="1620"/>
        </w:tabs>
        <w:ind w:left="1620" w:hanging="360"/>
      </w:pPr>
      <w:rPr>
        <w:rFonts w:ascii="Courier New" w:hAnsi="Courier New" w:cs="Courier New" w:hint="default"/>
      </w:rPr>
    </w:lvl>
    <w:lvl w:ilvl="5" w:tplc="0C09001B">
      <w:start w:val="1"/>
      <w:numFmt w:val="bullet"/>
      <w:lvlText w:val=""/>
      <w:lvlJc w:val="left"/>
      <w:pPr>
        <w:tabs>
          <w:tab w:val="num" w:pos="2340"/>
        </w:tabs>
        <w:ind w:left="2340" w:hanging="360"/>
      </w:pPr>
      <w:rPr>
        <w:rFonts w:ascii="Wingdings" w:hAnsi="Wingdings" w:cs="Times New Roman" w:hint="default"/>
      </w:rPr>
    </w:lvl>
    <w:lvl w:ilvl="6" w:tplc="0C09000F">
      <w:start w:val="1"/>
      <w:numFmt w:val="bullet"/>
      <w:lvlText w:val=""/>
      <w:lvlJc w:val="left"/>
      <w:pPr>
        <w:tabs>
          <w:tab w:val="num" w:pos="3060"/>
        </w:tabs>
        <w:ind w:left="3060" w:hanging="360"/>
      </w:pPr>
      <w:rPr>
        <w:rFonts w:ascii="Symbol" w:hAnsi="Symbol" w:cs="Times New Roman" w:hint="default"/>
      </w:rPr>
    </w:lvl>
    <w:lvl w:ilvl="7" w:tplc="0C090019">
      <w:start w:val="1"/>
      <w:numFmt w:val="bullet"/>
      <w:lvlText w:val="o"/>
      <w:lvlJc w:val="left"/>
      <w:pPr>
        <w:tabs>
          <w:tab w:val="num" w:pos="3780"/>
        </w:tabs>
        <w:ind w:left="3780" w:hanging="360"/>
      </w:pPr>
      <w:rPr>
        <w:rFonts w:ascii="Courier New" w:hAnsi="Courier New" w:cs="Courier New" w:hint="default"/>
      </w:rPr>
    </w:lvl>
    <w:lvl w:ilvl="8" w:tplc="0C09001B">
      <w:start w:val="1"/>
      <w:numFmt w:val="bullet"/>
      <w:lvlText w:val=""/>
      <w:lvlJc w:val="left"/>
      <w:pPr>
        <w:tabs>
          <w:tab w:val="num" w:pos="4500"/>
        </w:tabs>
        <w:ind w:left="4500" w:hanging="360"/>
      </w:pPr>
      <w:rPr>
        <w:rFonts w:ascii="Wingdings" w:hAnsi="Wingdings" w:cs="Times New Roman" w:hint="default"/>
      </w:rPr>
    </w:lvl>
  </w:abstractNum>
  <w:abstractNum w:abstractNumId="29">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F1B0FA6"/>
    <w:multiLevelType w:val="hybridMultilevel"/>
    <w:tmpl w:val="85E05738"/>
    <w:lvl w:ilvl="0" w:tplc="16E2561C">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8"/>
  </w:num>
  <w:num w:numId="3">
    <w:abstractNumId w:val="28"/>
  </w:num>
  <w:num w:numId="4">
    <w:abstractNumId w:val="20"/>
  </w:num>
  <w:num w:numId="5">
    <w:abstractNumId w:val="16"/>
  </w:num>
  <w:num w:numId="6">
    <w:abstractNumId w:val="29"/>
  </w:num>
  <w:num w:numId="7">
    <w:abstractNumId w:val="21"/>
  </w:num>
  <w:num w:numId="8">
    <w:abstractNumId w:val="25"/>
  </w:num>
  <w:num w:numId="9">
    <w:abstractNumId w:val="27"/>
  </w:num>
  <w:num w:numId="10">
    <w:abstractNumId w:val="15"/>
  </w:num>
  <w:num w:numId="11">
    <w:abstractNumId w:val="11"/>
  </w:num>
  <w:num w:numId="12">
    <w:abstractNumId w:val="14"/>
  </w:num>
  <w:num w:numId="13">
    <w:abstractNumId w:val="12"/>
  </w:num>
  <w:num w:numId="14">
    <w:abstractNumId w:val="2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9"/>
  </w:num>
  <w:num w:numId="26">
    <w:abstractNumId w:val="30"/>
  </w:num>
  <w:num w:numId="27">
    <w:abstractNumId w:val="25"/>
    <w:lvlOverride w:ilvl="0">
      <w:startOverride w:val="1"/>
    </w:lvlOverride>
  </w:num>
  <w:num w:numId="28">
    <w:abstractNumId w:val="25"/>
    <w:lvlOverride w:ilvl="0">
      <w:startOverride w:val="1"/>
    </w:lvlOverride>
  </w:num>
  <w:num w:numId="29">
    <w:abstractNumId w:val="25"/>
    <w:lvlOverride w:ilvl="0">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3"/>
  </w:num>
  <w:num w:numId="33">
    <w:abstractNumId w:val="26"/>
  </w:num>
  <w:num w:numId="34">
    <w:abstractNumId w:val="22"/>
  </w:num>
  <w:num w:numId="35">
    <w:abstractNumId w:val="17"/>
  </w:num>
  <w:num w:numId="36">
    <w:abstractNumId w:val="19"/>
    <w:lvlOverride w:ilvl="0">
      <w:startOverride w:val="1"/>
    </w:lvlOverride>
  </w:num>
  <w:num w:numId="37">
    <w:abstractNumId w:val="19"/>
    <w:lvlOverride w:ilvl="0">
      <w:startOverride w:val="1"/>
    </w:lvlOverride>
  </w:num>
  <w:num w:numId="38">
    <w:abstractNumId w:val="1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0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2053B"/>
    <w:rsid w:val="000001AE"/>
    <w:rsid w:val="00005186"/>
    <w:rsid w:val="00005423"/>
    <w:rsid w:val="000064C3"/>
    <w:rsid w:val="00010D78"/>
    <w:rsid w:val="000117E4"/>
    <w:rsid w:val="000118D4"/>
    <w:rsid w:val="0001589B"/>
    <w:rsid w:val="00021F8A"/>
    <w:rsid w:val="000230AF"/>
    <w:rsid w:val="00026F84"/>
    <w:rsid w:val="00027431"/>
    <w:rsid w:val="00030265"/>
    <w:rsid w:val="000304E2"/>
    <w:rsid w:val="000316FB"/>
    <w:rsid w:val="00041A85"/>
    <w:rsid w:val="000421D8"/>
    <w:rsid w:val="00056F0B"/>
    <w:rsid w:val="000644AE"/>
    <w:rsid w:val="000704C0"/>
    <w:rsid w:val="00072AE2"/>
    <w:rsid w:val="0007303E"/>
    <w:rsid w:val="00073BFA"/>
    <w:rsid w:val="000814ED"/>
    <w:rsid w:val="0008158E"/>
    <w:rsid w:val="00081775"/>
    <w:rsid w:val="00081A1E"/>
    <w:rsid w:val="00082E85"/>
    <w:rsid w:val="00085586"/>
    <w:rsid w:val="000900FF"/>
    <w:rsid w:val="00093283"/>
    <w:rsid w:val="000937E5"/>
    <w:rsid w:val="000A195F"/>
    <w:rsid w:val="000A1A95"/>
    <w:rsid w:val="000A1D13"/>
    <w:rsid w:val="000A729B"/>
    <w:rsid w:val="000A7DB8"/>
    <w:rsid w:val="000B1064"/>
    <w:rsid w:val="000B720A"/>
    <w:rsid w:val="000B76F9"/>
    <w:rsid w:val="000B77E2"/>
    <w:rsid w:val="000B7A06"/>
    <w:rsid w:val="000C1306"/>
    <w:rsid w:val="000C3872"/>
    <w:rsid w:val="000C691E"/>
    <w:rsid w:val="000C6B92"/>
    <w:rsid w:val="000D05B5"/>
    <w:rsid w:val="000E29E2"/>
    <w:rsid w:val="000E40A6"/>
    <w:rsid w:val="000E7429"/>
    <w:rsid w:val="000E7B06"/>
    <w:rsid w:val="000F6C95"/>
    <w:rsid w:val="00103AF9"/>
    <w:rsid w:val="001044C5"/>
    <w:rsid w:val="00106273"/>
    <w:rsid w:val="00117162"/>
    <w:rsid w:val="00117C1C"/>
    <w:rsid w:val="00117E23"/>
    <w:rsid w:val="00117F3C"/>
    <w:rsid w:val="00122491"/>
    <w:rsid w:val="00122E5F"/>
    <w:rsid w:val="001238EA"/>
    <w:rsid w:val="00124F40"/>
    <w:rsid w:val="001266CB"/>
    <w:rsid w:val="00130E21"/>
    <w:rsid w:val="001319DC"/>
    <w:rsid w:val="00140BEA"/>
    <w:rsid w:val="00151535"/>
    <w:rsid w:val="0015484A"/>
    <w:rsid w:val="001554F9"/>
    <w:rsid w:val="00162636"/>
    <w:rsid w:val="001632D9"/>
    <w:rsid w:val="00164672"/>
    <w:rsid w:val="00171562"/>
    <w:rsid w:val="0018077E"/>
    <w:rsid w:val="0019211B"/>
    <w:rsid w:val="001A48F6"/>
    <w:rsid w:val="001A76FA"/>
    <w:rsid w:val="001A7B77"/>
    <w:rsid w:val="001B6B09"/>
    <w:rsid w:val="001D2DF2"/>
    <w:rsid w:val="001E06BF"/>
    <w:rsid w:val="001E06F2"/>
    <w:rsid w:val="001E19AD"/>
    <w:rsid w:val="001E3E7E"/>
    <w:rsid w:val="001E4871"/>
    <w:rsid w:val="001E78AC"/>
    <w:rsid w:val="001F1DBE"/>
    <w:rsid w:val="001F1F46"/>
    <w:rsid w:val="001F6926"/>
    <w:rsid w:val="00212060"/>
    <w:rsid w:val="00212281"/>
    <w:rsid w:val="00214635"/>
    <w:rsid w:val="00215CCC"/>
    <w:rsid w:val="00217BAC"/>
    <w:rsid w:val="00221481"/>
    <w:rsid w:val="002218FA"/>
    <w:rsid w:val="00222D52"/>
    <w:rsid w:val="00222EC0"/>
    <w:rsid w:val="00223472"/>
    <w:rsid w:val="00224376"/>
    <w:rsid w:val="00232397"/>
    <w:rsid w:val="0023559C"/>
    <w:rsid w:val="00241A37"/>
    <w:rsid w:val="00252062"/>
    <w:rsid w:val="0025331C"/>
    <w:rsid w:val="002536E5"/>
    <w:rsid w:val="002616E5"/>
    <w:rsid w:val="00261F5A"/>
    <w:rsid w:val="00264F37"/>
    <w:rsid w:val="00270F3D"/>
    <w:rsid w:val="0027213A"/>
    <w:rsid w:val="002754F0"/>
    <w:rsid w:val="00281A3A"/>
    <w:rsid w:val="00282100"/>
    <w:rsid w:val="0028538D"/>
    <w:rsid w:val="00290A67"/>
    <w:rsid w:val="00291481"/>
    <w:rsid w:val="00294EFA"/>
    <w:rsid w:val="002A2133"/>
    <w:rsid w:val="002A5180"/>
    <w:rsid w:val="002A7D29"/>
    <w:rsid w:val="002B1B35"/>
    <w:rsid w:val="002B21BD"/>
    <w:rsid w:val="002B2616"/>
    <w:rsid w:val="002C365F"/>
    <w:rsid w:val="002C3A69"/>
    <w:rsid w:val="002C5E28"/>
    <w:rsid w:val="002D2DAE"/>
    <w:rsid w:val="002D45E8"/>
    <w:rsid w:val="002D5804"/>
    <w:rsid w:val="002E2C77"/>
    <w:rsid w:val="002E4723"/>
    <w:rsid w:val="002F011C"/>
    <w:rsid w:val="002F4861"/>
    <w:rsid w:val="002F6EDE"/>
    <w:rsid w:val="0030761D"/>
    <w:rsid w:val="003109E8"/>
    <w:rsid w:val="00312248"/>
    <w:rsid w:val="0031327B"/>
    <w:rsid w:val="00316419"/>
    <w:rsid w:val="0033305A"/>
    <w:rsid w:val="003358BC"/>
    <w:rsid w:val="00340FD6"/>
    <w:rsid w:val="00342981"/>
    <w:rsid w:val="00343B65"/>
    <w:rsid w:val="003450D1"/>
    <w:rsid w:val="0035409D"/>
    <w:rsid w:val="003548E0"/>
    <w:rsid w:val="00360ED9"/>
    <w:rsid w:val="00361BCF"/>
    <w:rsid w:val="00364E43"/>
    <w:rsid w:val="003669E1"/>
    <w:rsid w:val="00366B17"/>
    <w:rsid w:val="0037049B"/>
    <w:rsid w:val="0037107C"/>
    <w:rsid w:val="003730F6"/>
    <w:rsid w:val="003758BE"/>
    <w:rsid w:val="003851C1"/>
    <w:rsid w:val="00387601"/>
    <w:rsid w:val="00390B1E"/>
    <w:rsid w:val="00393C13"/>
    <w:rsid w:val="00397106"/>
    <w:rsid w:val="003978A0"/>
    <w:rsid w:val="00397C84"/>
    <w:rsid w:val="003A0BD2"/>
    <w:rsid w:val="003A5FD8"/>
    <w:rsid w:val="003A7172"/>
    <w:rsid w:val="003A7FCE"/>
    <w:rsid w:val="003B0D9A"/>
    <w:rsid w:val="003B3BA0"/>
    <w:rsid w:val="003C04B6"/>
    <w:rsid w:val="003C5880"/>
    <w:rsid w:val="003C7717"/>
    <w:rsid w:val="003D20D9"/>
    <w:rsid w:val="003D4207"/>
    <w:rsid w:val="003D6649"/>
    <w:rsid w:val="003F1FC2"/>
    <w:rsid w:val="003F4FBC"/>
    <w:rsid w:val="003F5E54"/>
    <w:rsid w:val="004006EA"/>
    <w:rsid w:val="00402711"/>
    <w:rsid w:val="00403D98"/>
    <w:rsid w:val="00411B2B"/>
    <w:rsid w:val="00414A2E"/>
    <w:rsid w:val="00415C32"/>
    <w:rsid w:val="00420D91"/>
    <w:rsid w:val="004223F8"/>
    <w:rsid w:val="00422FD0"/>
    <w:rsid w:val="004231F7"/>
    <w:rsid w:val="00423539"/>
    <w:rsid w:val="0042565E"/>
    <w:rsid w:val="0043122F"/>
    <w:rsid w:val="0043487A"/>
    <w:rsid w:val="00440016"/>
    <w:rsid w:val="004427F7"/>
    <w:rsid w:val="004453C4"/>
    <w:rsid w:val="004453E1"/>
    <w:rsid w:val="004457AD"/>
    <w:rsid w:val="00445876"/>
    <w:rsid w:val="00450B65"/>
    <w:rsid w:val="004525DE"/>
    <w:rsid w:val="00455515"/>
    <w:rsid w:val="0046069B"/>
    <w:rsid w:val="0046134A"/>
    <w:rsid w:val="00461533"/>
    <w:rsid w:val="00462064"/>
    <w:rsid w:val="00466295"/>
    <w:rsid w:val="004662B6"/>
    <w:rsid w:val="00466D5B"/>
    <w:rsid w:val="00470A03"/>
    <w:rsid w:val="0048071B"/>
    <w:rsid w:val="00480C59"/>
    <w:rsid w:val="00481762"/>
    <w:rsid w:val="00483593"/>
    <w:rsid w:val="00491CC6"/>
    <w:rsid w:val="00494923"/>
    <w:rsid w:val="00494F82"/>
    <w:rsid w:val="004A0469"/>
    <w:rsid w:val="004B567D"/>
    <w:rsid w:val="004D313E"/>
    <w:rsid w:val="004D3632"/>
    <w:rsid w:val="004D5DE1"/>
    <w:rsid w:val="00503C06"/>
    <w:rsid w:val="00505566"/>
    <w:rsid w:val="00505FF1"/>
    <w:rsid w:val="00507603"/>
    <w:rsid w:val="00512929"/>
    <w:rsid w:val="00526C95"/>
    <w:rsid w:val="00530CDB"/>
    <w:rsid w:val="00535B58"/>
    <w:rsid w:val="00542885"/>
    <w:rsid w:val="00542B9F"/>
    <w:rsid w:val="005536BF"/>
    <w:rsid w:val="00554722"/>
    <w:rsid w:val="00554AA7"/>
    <w:rsid w:val="005563D0"/>
    <w:rsid w:val="00562714"/>
    <w:rsid w:val="005640CB"/>
    <w:rsid w:val="00564FCD"/>
    <w:rsid w:val="00566662"/>
    <w:rsid w:val="0057266A"/>
    <w:rsid w:val="00573295"/>
    <w:rsid w:val="00575341"/>
    <w:rsid w:val="005811E1"/>
    <w:rsid w:val="00582CFD"/>
    <w:rsid w:val="00584BC7"/>
    <w:rsid w:val="00585138"/>
    <w:rsid w:val="00587EAC"/>
    <w:rsid w:val="00590BAB"/>
    <w:rsid w:val="00590C6E"/>
    <w:rsid w:val="00592498"/>
    <w:rsid w:val="005938B7"/>
    <w:rsid w:val="00593B75"/>
    <w:rsid w:val="005943AB"/>
    <w:rsid w:val="005A29F8"/>
    <w:rsid w:val="005A2DD1"/>
    <w:rsid w:val="005A37C0"/>
    <w:rsid w:val="005B1259"/>
    <w:rsid w:val="005B30CE"/>
    <w:rsid w:val="005C0758"/>
    <w:rsid w:val="005C2507"/>
    <w:rsid w:val="005C2B52"/>
    <w:rsid w:val="005D1EEC"/>
    <w:rsid w:val="005D65BA"/>
    <w:rsid w:val="005E0CD0"/>
    <w:rsid w:val="005E1F3E"/>
    <w:rsid w:val="005E4917"/>
    <w:rsid w:val="005E54F2"/>
    <w:rsid w:val="005E5B1B"/>
    <w:rsid w:val="005E6632"/>
    <w:rsid w:val="005E7ACA"/>
    <w:rsid w:val="005F07F2"/>
    <w:rsid w:val="005F0863"/>
    <w:rsid w:val="005F1676"/>
    <w:rsid w:val="005F2AF5"/>
    <w:rsid w:val="005F3F95"/>
    <w:rsid w:val="005F40B0"/>
    <w:rsid w:val="005F426F"/>
    <w:rsid w:val="005F7719"/>
    <w:rsid w:val="00602B69"/>
    <w:rsid w:val="00614020"/>
    <w:rsid w:val="00615690"/>
    <w:rsid w:val="0061748B"/>
    <w:rsid w:val="00621DB7"/>
    <w:rsid w:val="0062295F"/>
    <w:rsid w:val="006253C2"/>
    <w:rsid w:val="00626937"/>
    <w:rsid w:val="0062694C"/>
    <w:rsid w:val="00627242"/>
    <w:rsid w:val="006273CE"/>
    <w:rsid w:val="006339DB"/>
    <w:rsid w:val="00643C7D"/>
    <w:rsid w:val="006461F4"/>
    <w:rsid w:val="00652B67"/>
    <w:rsid w:val="006533C1"/>
    <w:rsid w:val="0065364D"/>
    <w:rsid w:val="00653986"/>
    <w:rsid w:val="00653E03"/>
    <w:rsid w:val="00655B12"/>
    <w:rsid w:val="00657EA5"/>
    <w:rsid w:val="0066097A"/>
    <w:rsid w:val="006609AF"/>
    <w:rsid w:val="00661C58"/>
    <w:rsid w:val="006627EB"/>
    <w:rsid w:val="00666A71"/>
    <w:rsid w:val="00667434"/>
    <w:rsid w:val="00671173"/>
    <w:rsid w:val="00671A98"/>
    <w:rsid w:val="00672295"/>
    <w:rsid w:val="00673E97"/>
    <w:rsid w:val="00681BCB"/>
    <w:rsid w:val="00697EF6"/>
    <w:rsid w:val="006A2D26"/>
    <w:rsid w:val="006B0749"/>
    <w:rsid w:val="006B1C9F"/>
    <w:rsid w:val="006B3E45"/>
    <w:rsid w:val="006B4503"/>
    <w:rsid w:val="006B4960"/>
    <w:rsid w:val="006B4EAB"/>
    <w:rsid w:val="006B7AEC"/>
    <w:rsid w:val="006C0FCF"/>
    <w:rsid w:val="006C15D5"/>
    <w:rsid w:val="006C282C"/>
    <w:rsid w:val="006C51C2"/>
    <w:rsid w:val="006C543B"/>
    <w:rsid w:val="006C562E"/>
    <w:rsid w:val="006D455F"/>
    <w:rsid w:val="006D598F"/>
    <w:rsid w:val="006D5DA2"/>
    <w:rsid w:val="006E035A"/>
    <w:rsid w:val="006E3069"/>
    <w:rsid w:val="006E318D"/>
    <w:rsid w:val="006E425C"/>
    <w:rsid w:val="006E77A1"/>
    <w:rsid w:val="006F4692"/>
    <w:rsid w:val="00707285"/>
    <w:rsid w:val="00707A67"/>
    <w:rsid w:val="00710D15"/>
    <w:rsid w:val="00711253"/>
    <w:rsid w:val="0072053B"/>
    <w:rsid w:val="00721972"/>
    <w:rsid w:val="00721D01"/>
    <w:rsid w:val="007223F8"/>
    <w:rsid w:val="00727E1B"/>
    <w:rsid w:val="007305CF"/>
    <w:rsid w:val="00742ADF"/>
    <w:rsid w:val="00743FE4"/>
    <w:rsid w:val="00745A4B"/>
    <w:rsid w:val="007502D3"/>
    <w:rsid w:val="00752326"/>
    <w:rsid w:val="007528DA"/>
    <w:rsid w:val="007550FA"/>
    <w:rsid w:val="00755E07"/>
    <w:rsid w:val="0075709A"/>
    <w:rsid w:val="007631F2"/>
    <w:rsid w:val="00763829"/>
    <w:rsid w:val="00765FE8"/>
    <w:rsid w:val="00770995"/>
    <w:rsid w:val="007754BD"/>
    <w:rsid w:val="00777BD5"/>
    <w:rsid w:val="0078104A"/>
    <w:rsid w:val="00781C54"/>
    <w:rsid w:val="00790CA4"/>
    <w:rsid w:val="00790F3A"/>
    <w:rsid w:val="00791116"/>
    <w:rsid w:val="00793D53"/>
    <w:rsid w:val="007A4282"/>
    <w:rsid w:val="007A76F0"/>
    <w:rsid w:val="007B3EB4"/>
    <w:rsid w:val="007B5300"/>
    <w:rsid w:val="007B7ABF"/>
    <w:rsid w:val="007C2FE4"/>
    <w:rsid w:val="007C4442"/>
    <w:rsid w:val="007C5E33"/>
    <w:rsid w:val="007C635F"/>
    <w:rsid w:val="007D21F5"/>
    <w:rsid w:val="007D4363"/>
    <w:rsid w:val="007D5751"/>
    <w:rsid w:val="007D7691"/>
    <w:rsid w:val="007D76D9"/>
    <w:rsid w:val="007E1ED5"/>
    <w:rsid w:val="007E44CB"/>
    <w:rsid w:val="007E4845"/>
    <w:rsid w:val="007E505B"/>
    <w:rsid w:val="007F0FFB"/>
    <w:rsid w:val="007F1098"/>
    <w:rsid w:val="007F1E19"/>
    <w:rsid w:val="007F3EDC"/>
    <w:rsid w:val="007F4B2A"/>
    <w:rsid w:val="007F6667"/>
    <w:rsid w:val="007F6BE1"/>
    <w:rsid w:val="007F70DE"/>
    <w:rsid w:val="00806FA3"/>
    <w:rsid w:val="00807950"/>
    <w:rsid w:val="00812376"/>
    <w:rsid w:val="00813633"/>
    <w:rsid w:val="008159F8"/>
    <w:rsid w:val="00821DAC"/>
    <w:rsid w:val="00825265"/>
    <w:rsid w:val="008268CB"/>
    <w:rsid w:val="00827364"/>
    <w:rsid w:val="008273FD"/>
    <w:rsid w:val="008275D8"/>
    <w:rsid w:val="00831748"/>
    <w:rsid w:val="008377D7"/>
    <w:rsid w:val="00840134"/>
    <w:rsid w:val="00840BC4"/>
    <w:rsid w:val="00842B4D"/>
    <w:rsid w:val="008432B1"/>
    <w:rsid w:val="0084641B"/>
    <w:rsid w:val="00856AEA"/>
    <w:rsid w:val="00862E3A"/>
    <w:rsid w:val="00864F86"/>
    <w:rsid w:val="00866CC4"/>
    <w:rsid w:val="00867F97"/>
    <w:rsid w:val="00870A11"/>
    <w:rsid w:val="00871B60"/>
    <w:rsid w:val="00874C6B"/>
    <w:rsid w:val="0087684E"/>
    <w:rsid w:val="00876A1C"/>
    <w:rsid w:val="00877751"/>
    <w:rsid w:val="00880528"/>
    <w:rsid w:val="00881A3D"/>
    <w:rsid w:val="008832D9"/>
    <w:rsid w:val="00885486"/>
    <w:rsid w:val="008902AA"/>
    <w:rsid w:val="00895729"/>
    <w:rsid w:val="008977EA"/>
    <w:rsid w:val="008A2966"/>
    <w:rsid w:val="008A2BE5"/>
    <w:rsid w:val="008A4022"/>
    <w:rsid w:val="008A430D"/>
    <w:rsid w:val="008A7FDA"/>
    <w:rsid w:val="008B12D5"/>
    <w:rsid w:val="008B40A5"/>
    <w:rsid w:val="008B7EF2"/>
    <w:rsid w:val="008C51E4"/>
    <w:rsid w:val="008E08CE"/>
    <w:rsid w:val="008E1B32"/>
    <w:rsid w:val="008E2444"/>
    <w:rsid w:val="008E4A0F"/>
    <w:rsid w:val="008E50FA"/>
    <w:rsid w:val="008F2D2F"/>
    <w:rsid w:val="008F38EA"/>
    <w:rsid w:val="008F39BD"/>
    <w:rsid w:val="008F570D"/>
    <w:rsid w:val="008F6488"/>
    <w:rsid w:val="008F78EF"/>
    <w:rsid w:val="008F7E3E"/>
    <w:rsid w:val="0090056A"/>
    <w:rsid w:val="00901C31"/>
    <w:rsid w:val="009023C0"/>
    <w:rsid w:val="00902B26"/>
    <w:rsid w:val="009030CA"/>
    <w:rsid w:val="00906D56"/>
    <w:rsid w:val="009073A7"/>
    <w:rsid w:val="00911C8D"/>
    <w:rsid w:val="00913A9F"/>
    <w:rsid w:val="00914C42"/>
    <w:rsid w:val="0091770C"/>
    <w:rsid w:val="0092492F"/>
    <w:rsid w:val="00927312"/>
    <w:rsid w:val="00936974"/>
    <w:rsid w:val="00941527"/>
    <w:rsid w:val="0094382D"/>
    <w:rsid w:val="009455F4"/>
    <w:rsid w:val="00946A1A"/>
    <w:rsid w:val="00946DE9"/>
    <w:rsid w:val="009507E5"/>
    <w:rsid w:val="00950C5A"/>
    <w:rsid w:val="00951306"/>
    <w:rsid w:val="00951559"/>
    <w:rsid w:val="00953475"/>
    <w:rsid w:val="009542B7"/>
    <w:rsid w:val="00955FCA"/>
    <w:rsid w:val="00957150"/>
    <w:rsid w:val="00957A9F"/>
    <w:rsid w:val="00963B7A"/>
    <w:rsid w:val="009646D8"/>
    <w:rsid w:val="0097233C"/>
    <w:rsid w:val="00980701"/>
    <w:rsid w:val="0098111A"/>
    <w:rsid w:val="00981EF3"/>
    <w:rsid w:val="00983D78"/>
    <w:rsid w:val="00986338"/>
    <w:rsid w:val="009907B4"/>
    <w:rsid w:val="00991BD4"/>
    <w:rsid w:val="0099303C"/>
    <w:rsid w:val="00993A84"/>
    <w:rsid w:val="0099426A"/>
    <w:rsid w:val="009A166D"/>
    <w:rsid w:val="009A7205"/>
    <w:rsid w:val="009A76BB"/>
    <w:rsid w:val="009B6A70"/>
    <w:rsid w:val="009C2F6E"/>
    <w:rsid w:val="009C6388"/>
    <w:rsid w:val="009D3A67"/>
    <w:rsid w:val="009D7D43"/>
    <w:rsid w:val="009E00B8"/>
    <w:rsid w:val="009E4618"/>
    <w:rsid w:val="009E547C"/>
    <w:rsid w:val="009E5BAF"/>
    <w:rsid w:val="009E6C65"/>
    <w:rsid w:val="009F0178"/>
    <w:rsid w:val="00A04254"/>
    <w:rsid w:val="00A07289"/>
    <w:rsid w:val="00A10A6A"/>
    <w:rsid w:val="00A10AC3"/>
    <w:rsid w:val="00A11530"/>
    <w:rsid w:val="00A16ABE"/>
    <w:rsid w:val="00A2096E"/>
    <w:rsid w:val="00A20AA0"/>
    <w:rsid w:val="00A2214F"/>
    <w:rsid w:val="00A24617"/>
    <w:rsid w:val="00A259C3"/>
    <w:rsid w:val="00A30992"/>
    <w:rsid w:val="00A3425B"/>
    <w:rsid w:val="00A3501F"/>
    <w:rsid w:val="00A350CC"/>
    <w:rsid w:val="00A40548"/>
    <w:rsid w:val="00A40BF5"/>
    <w:rsid w:val="00A428FD"/>
    <w:rsid w:val="00A466F3"/>
    <w:rsid w:val="00A52C58"/>
    <w:rsid w:val="00A5367D"/>
    <w:rsid w:val="00A536DE"/>
    <w:rsid w:val="00A64B0B"/>
    <w:rsid w:val="00A65D7E"/>
    <w:rsid w:val="00A67C7D"/>
    <w:rsid w:val="00A724C0"/>
    <w:rsid w:val="00A95499"/>
    <w:rsid w:val="00A95B49"/>
    <w:rsid w:val="00A96AA7"/>
    <w:rsid w:val="00AA0BA0"/>
    <w:rsid w:val="00AA2480"/>
    <w:rsid w:val="00AA5944"/>
    <w:rsid w:val="00AA766E"/>
    <w:rsid w:val="00AB0816"/>
    <w:rsid w:val="00AC17FF"/>
    <w:rsid w:val="00AC5DF9"/>
    <w:rsid w:val="00AC5F37"/>
    <w:rsid w:val="00AD0B5A"/>
    <w:rsid w:val="00AD17D4"/>
    <w:rsid w:val="00AD5A88"/>
    <w:rsid w:val="00AD5C77"/>
    <w:rsid w:val="00AE2BA5"/>
    <w:rsid w:val="00AE3A5F"/>
    <w:rsid w:val="00AE45EB"/>
    <w:rsid w:val="00AE5F25"/>
    <w:rsid w:val="00AE7120"/>
    <w:rsid w:val="00AF281A"/>
    <w:rsid w:val="00AF3FCC"/>
    <w:rsid w:val="00AF4A41"/>
    <w:rsid w:val="00B00FE4"/>
    <w:rsid w:val="00B05060"/>
    <w:rsid w:val="00B11346"/>
    <w:rsid w:val="00B1139D"/>
    <w:rsid w:val="00B16C32"/>
    <w:rsid w:val="00B175A8"/>
    <w:rsid w:val="00B21A8B"/>
    <w:rsid w:val="00B3132F"/>
    <w:rsid w:val="00B40588"/>
    <w:rsid w:val="00B454D1"/>
    <w:rsid w:val="00B47744"/>
    <w:rsid w:val="00B47B78"/>
    <w:rsid w:val="00B52221"/>
    <w:rsid w:val="00B641A4"/>
    <w:rsid w:val="00B64DCA"/>
    <w:rsid w:val="00B66BEA"/>
    <w:rsid w:val="00B677C2"/>
    <w:rsid w:val="00B73D79"/>
    <w:rsid w:val="00B75AAD"/>
    <w:rsid w:val="00B77BBD"/>
    <w:rsid w:val="00B851E6"/>
    <w:rsid w:val="00B877EF"/>
    <w:rsid w:val="00B94215"/>
    <w:rsid w:val="00B9451E"/>
    <w:rsid w:val="00B962D1"/>
    <w:rsid w:val="00B97E0C"/>
    <w:rsid w:val="00BA4F97"/>
    <w:rsid w:val="00BA545C"/>
    <w:rsid w:val="00BB403C"/>
    <w:rsid w:val="00BB4213"/>
    <w:rsid w:val="00BB6CE9"/>
    <w:rsid w:val="00BC068B"/>
    <w:rsid w:val="00BC42B0"/>
    <w:rsid w:val="00BC61E4"/>
    <w:rsid w:val="00BD24DB"/>
    <w:rsid w:val="00BD4EE9"/>
    <w:rsid w:val="00BD7A03"/>
    <w:rsid w:val="00BE3C5A"/>
    <w:rsid w:val="00BF01C6"/>
    <w:rsid w:val="00BF33FF"/>
    <w:rsid w:val="00BF451F"/>
    <w:rsid w:val="00BF60A0"/>
    <w:rsid w:val="00C01DB9"/>
    <w:rsid w:val="00C02072"/>
    <w:rsid w:val="00C02F0A"/>
    <w:rsid w:val="00C04345"/>
    <w:rsid w:val="00C050A7"/>
    <w:rsid w:val="00C063CD"/>
    <w:rsid w:val="00C07061"/>
    <w:rsid w:val="00C14715"/>
    <w:rsid w:val="00C17DF2"/>
    <w:rsid w:val="00C22B07"/>
    <w:rsid w:val="00C2484D"/>
    <w:rsid w:val="00C25CDC"/>
    <w:rsid w:val="00C274DF"/>
    <w:rsid w:val="00C27D9C"/>
    <w:rsid w:val="00C336D3"/>
    <w:rsid w:val="00C33EC4"/>
    <w:rsid w:val="00C46FC5"/>
    <w:rsid w:val="00C476ED"/>
    <w:rsid w:val="00C5044E"/>
    <w:rsid w:val="00C515D1"/>
    <w:rsid w:val="00C54E2F"/>
    <w:rsid w:val="00C61FB3"/>
    <w:rsid w:val="00C62E38"/>
    <w:rsid w:val="00C665BE"/>
    <w:rsid w:val="00C66B39"/>
    <w:rsid w:val="00C70EF8"/>
    <w:rsid w:val="00C73ACB"/>
    <w:rsid w:val="00C75B76"/>
    <w:rsid w:val="00C8013F"/>
    <w:rsid w:val="00C801BA"/>
    <w:rsid w:val="00C8389B"/>
    <w:rsid w:val="00C90484"/>
    <w:rsid w:val="00C9152A"/>
    <w:rsid w:val="00C92B90"/>
    <w:rsid w:val="00CA0017"/>
    <w:rsid w:val="00CA017C"/>
    <w:rsid w:val="00CA516A"/>
    <w:rsid w:val="00CA7AC5"/>
    <w:rsid w:val="00CA7DC8"/>
    <w:rsid w:val="00CB4C2A"/>
    <w:rsid w:val="00CB635B"/>
    <w:rsid w:val="00CC0B3A"/>
    <w:rsid w:val="00CC1C90"/>
    <w:rsid w:val="00CC2921"/>
    <w:rsid w:val="00CC47E7"/>
    <w:rsid w:val="00CD7204"/>
    <w:rsid w:val="00CE2DB9"/>
    <w:rsid w:val="00CE4917"/>
    <w:rsid w:val="00CE70DE"/>
    <w:rsid w:val="00CE7422"/>
    <w:rsid w:val="00CE7C73"/>
    <w:rsid w:val="00CF00F5"/>
    <w:rsid w:val="00CF1A40"/>
    <w:rsid w:val="00CF5E60"/>
    <w:rsid w:val="00CF6D90"/>
    <w:rsid w:val="00CF6F54"/>
    <w:rsid w:val="00D01C2D"/>
    <w:rsid w:val="00D01FBF"/>
    <w:rsid w:val="00D03669"/>
    <w:rsid w:val="00D06A54"/>
    <w:rsid w:val="00D12C87"/>
    <w:rsid w:val="00D13E0B"/>
    <w:rsid w:val="00D15D7D"/>
    <w:rsid w:val="00D16608"/>
    <w:rsid w:val="00D2027A"/>
    <w:rsid w:val="00D237E0"/>
    <w:rsid w:val="00D244CD"/>
    <w:rsid w:val="00D31B2C"/>
    <w:rsid w:val="00D50637"/>
    <w:rsid w:val="00D51371"/>
    <w:rsid w:val="00D52A6A"/>
    <w:rsid w:val="00D5615D"/>
    <w:rsid w:val="00D61CF9"/>
    <w:rsid w:val="00D638D3"/>
    <w:rsid w:val="00D67784"/>
    <w:rsid w:val="00D67CAB"/>
    <w:rsid w:val="00D73770"/>
    <w:rsid w:val="00D83212"/>
    <w:rsid w:val="00D8366D"/>
    <w:rsid w:val="00D857FD"/>
    <w:rsid w:val="00D8716A"/>
    <w:rsid w:val="00D907BD"/>
    <w:rsid w:val="00D92B19"/>
    <w:rsid w:val="00D934A6"/>
    <w:rsid w:val="00DA1263"/>
    <w:rsid w:val="00DA1C24"/>
    <w:rsid w:val="00DA61AD"/>
    <w:rsid w:val="00DB0EAA"/>
    <w:rsid w:val="00DB1CE0"/>
    <w:rsid w:val="00DC15A8"/>
    <w:rsid w:val="00DC1923"/>
    <w:rsid w:val="00DC1ACC"/>
    <w:rsid w:val="00DC284B"/>
    <w:rsid w:val="00DC547B"/>
    <w:rsid w:val="00DC677F"/>
    <w:rsid w:val="00DD1125"/>
    <w:rsid w:val="00DD3826"/>
    <w:rsid w:val="00DD3B31"/>
    <w:rsid w:val="00DD3EBB"/>
    <w:rsid w:val="00DD54DD"/>
    <w:rsid w:val="00DD699E"/>
    <w:rsid w:val="00DE2178"/>
    <w:rsid w:val="00DF249B"/>
    <w:rsid w:val="00DF3B0F"/>
    <w:rsid w:val="00E035D6"/>
    <w:rsid w:val="00E04357"/>
    <w:rsid w:val="00E062A4"/>
    <w:rsid w:val="00E06E63"/>
    <w:rsid w:val="00E14E30"/>
    <w:rsid w:val="00E2057C"/>
    <w:rsid w:val="00E2244A"/>
    <w:rsid w:val="00E33750"/>
    <w:rsid w:val="00E40906"/>
    <w:rsid w:val="00E424F9"/>
    <w:rsid w:val="00E53CA7"/>
    <w:rsid w:val="00E6057C"/>
    <w:rsid w:val="00E62C10"/>
    <w:rsid w:val="00E63272"/>
    <w:rsid w:val="00E6337F"/>
    <w:rsid w:val="00E67B9E"/>
    <w:rsid w:val="00E67CCB"/>
    <w:rsid w:val="00E7511E"/>
    <w:rsid w:val="00E75385"/>
    <w:rsid w:val="00E77719"/>
    <w:rsid w:val="00E7773E"/>
    <w:rsid w:val="00E8139B"/>
    <w:rsid w:val="00E82053"/>
    <w:rsid w:val="00E82DA8"/>
    <w:rsid w:val="00E84C29"/>
    <w:rsid w:val="00E862AA"/>
    <w:rsid w:val="00E92BE4"/>
    <w:rsid w:val="00E97822"/>
    <w:rsid w:val="00E97ACE"/>
    <w:rsid w:val="00EA2C1C"/>
    <w:rsid w:val="00EA3A98"/>
    <w:rsid w:val="00EA4C65"/>
    <w:rsid w:val="00EA5BB4"/>
    <w:rsid w:val="00EA61A9"/>
    <w:rsid w:val="00EA6AD8"/>
    <w:rsid w:val="00EB02CB"/>
    <w:rsid w:val="00EB1C12"/>
    <w:rsid w:val="00EB324D"/>
    <w:rsid w:val="00EB32D6"/>
    <w:rsid w:val="00EB55CF"/>
    <w:rsid w:val="00EC4394"/>
    <w:rsid w:val="00EC6A98"/>
    <w:rsid w:val="00ED7D6B"/>
    <w:rsid w:val="00ED7EC6"/>
    <w:rsid w:val="00EE0ECD"/>
    <w:rsid w:val="00EE522A"/>
    <w:rsid w:val="00EF2EEC"/>
    <w:rsid w:val="00EF6D4B"/>
    <w:rsid w:val="00F00D7C"/>
    <w:rsid w:val="00F01802"/>
    <w:rsid w:val="00F0526D"/>
    <w:rsid w:val="00F11E08"/>
    <w:rsid w:val="00F126C6"/>
    <w:rsid w:val="00F129FC"/>
    <w:rsid w:val="00F13C39"/>
    <w:rsid w:val="00F2147E"/>
    <w:rsid w:val="00F21E53"/>
    <w:rsid w:val="00F2553D"/>
    <w:rsid w:val="00F263DC"/>
    <w:rsid w:val="00F31E63"/>
    <w:rsid w:val="00F360A1"/>
    <w:rsid w:val="00F41B95"/>
    <w:rsid w:val="00F41DD0"/>
    <w:rsid w:val="00F44552"/>
    <w:rsid w:val="00F47617"/>
    <w:rsid w:val="00F47793"/>
    <w:rsid w:val="00F54D34"/>
    <w:rsid w:val="00F55351"/>
    <w:rsid w:val="00F5660F"/>
    <w:rsid w:val="00F6257D"/>
    <w:rsid w:val="00F65387"/>
    <w:rsid w:val="00F70A20"/>
    <w:rsid w:val="00F71B8D"/>
    <w:rsid w:val="00F7227E"/>
    <w:rsid w:val="00F735E8"/>
    <w:rsid w:val="00F76234"/>
    <w:rsid w:val="00F77058"/>
    <w:rsid w:val="00F809AE"/>
    <w:rsid w:val="00F82B28"/>
    <w:rsid w:val="00F9511B"/>
    <w:rsid w:val="00F977D4"/>
    <w:rsid w:val="00F97E8A"/>
    <w:rsid w:val="00FA172D"/>
    <w:rsid w:val="00FA2197"/>
    <w:rsid w:val="00FA51B3"/>
    <w:rsid w:val="00FA77BD"/>
    <w:rsid w:val="00FB3118"/>
    <w:rsid w:val="00FB38D9"/>
    <w:rsid w:val="00FC0992"/>
    <w:rsid w:val="00FC22DD"/>
    <w:rsid w:val="00FC2813"/>
    <w:rsid w:val="00FC2C3A"/>
    <w:rsid w:val="00FC6857"/>
    <w:rsid w:val="00FD2E2B"/>
    <w:rsid w:val="00FD46B0"/>
    <w:rsid w:val="00FE3278"/>
    <w:rsid w:val="00FE3308"/>
    <w:rsid w:val="00FE474D"/>
    <w:rsid w:val="00FF20E5"/>
    <w:rsid w:val="00FF2CE0"/>
    <w:rsid w:val="00FF773D"/>
    <w:rsid w:val="00FF79F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397"/>
    <w:rPr>
      <w:rFonts w:ascii="Calibri" w:hAnsi="Calibri"/>
      <w:sz w:val="24"/>
      <w:lang w:eastAsia="en-US"/>
    </w:rPr>
  </w:style>
  <w:style w:type="paragraph" w:styleId="Heading1">
    <w:name w:val="heading 1"/>
    <w:basedOn w:val="Normal"/>
    <w:next w:val="BodyText"/>
    <w:link w:val="Heading1Char"/>
    <w:qFormat/>
    <w:rsid w:val="00232397"/>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232397"/>
    <w:pPr>
      <w:keepNext/>
      <w:spacing w:before="60" w:after="60"/>
      <w:jc w:val="center"/>
      <w:outlineLvl w:val="1"/>
    </w:pPr>
    <w:rPr>
      <w:b/>
      <w:snapToGrid w:val="0"/>
      <w:sz w:val="20"/>
    </w:rPr>
  </w:style>
  <w:style w:type="paragraph" w:styleId="Heading3">
    <w:name w:val="heading 3"/>
    <w:basedOn w:val="Normal"/>
    <w:next w:val="BodyText"/>
    <w:link w:val="Heading3Char"/>
    <w:qFormat/>
    <w:rsid w:val="00232397"/>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232397"/>
    <w:pPr>
      <w:keepNext/>
      <w:keepLines/>
      <w:spacing w:before="240" w:after="120"/>
      <w:outlineLvl w:val="3"/>
    </w:pPr>
    <w:rPr>
      <w:i/>
    </w:rPr>
  </w:style>
  <w:style w:type="paragraph" w:styleId="Heading5">
    <w:name w:val="heading 5"/>
    <w:basedOn w:val="Normal"/>
    <w:next w:val="Normal"/>
    <w:link w:val="Heading5Char"/>
    <w:autoRedefine/>
    <w:qFormat/>
    <w:rsid w:val="00232397"/>
    <w:pPr>
      <w:keepNext/>
      <w:numPr>
        <w:ilvl w:val="4"/>
        <w:numId w:val="14"/>
      </w:numPr>
      <w:outlineLvl w:val="4"/>
    </w:pPr>
    <w:rPr>
      <w:b/>
      <w:i/>
      <w:sz w:val="20"/>
    </w:rPr>
  </w:style>
  <w:style w:type="paragraph" w:styleId="Heading6">
    <w:name w:val="heading 6"/>
    <w:basedOn w:val="Normal"/>
    <w:next w:val="Normal"/>
    <w:link w:val="Heading6Char"/>
    <w:qFormat/>
    <w:rsid w:val="00232397"/>
    <w:pPr>
      <w:keepNext/>
      <w:jc w:val="right"/>
      <w:outlineLvl w:val="5"/>
    </w:pPr>
    <w:rPr>
      <w:b/>
      <w:sz w:val="20"/>
    </w:rPr>
  </w:style>
  <w:style w:type="paragraph" w:styleId="Heading7">
    <w:name w:val="heading 7"/>
    <w:basedOn w:val="Normal"/>
    <w:next w:val="Normal"/>
    <w:link w:val="Heading7Char"/>
    <w:qFormat/>
    <w:rsid w:val="00232397"/>
    <w:pPr>
      <w:keepNext/>
      <w:ind w:left="159" w:hanging="159"/>
      <w:outlineLvl w:val="6"/>
    </w:pPr>
    <w:rPr>
      <w:b/>
      <w:sz w:val="20"/>
    </w:rPr>
  </w:style>
  <w:style w:type="paragraph" w:styleId="Heading8">
    <w:name w:val="heading 8"/>
    <w:basedOn w:val="Normal"/>
    <w:next w:val="Normal"/>
    <w:link w:val="Heading8Char"/>
    <w:qFormat/>
    <w:rsid w:val="00232397"/>
    <w:pPr>
      <w:keepNext/>
      <w:numPr>
        <w:ilvl w:val="7"/>
        <w:numId w:val="14"/>
      </w:numPr>
      <w:outlineLvl w:val="7"/>
    </w:pPr>
    <w:rPr>
      <w:rFonts w:ascii="Arial" w:hAnsi="Arial"/>
      <w:b/>
      <w:snapToGrid w:val="0"/>
      <w:color w:val="000000"/>
      <w:sz w:val="20"/>
    </w:rPr>
  </w:style>
  <w:style w:type="paragraph" w:styleId="Heading9">
    <w:name w:val="heading 9"/>
    <w:basedOn w:val="Normal"/>
    <w:next w:val="Normal"/>
    <w:link w:val="Heading9Char"/>
    <w:qFormat/>
    <w:rsid w:val="00232397"/>
    <w:pPr>
      <w:keepNext/>
      <w:numPr>
        <w:ilvl w:val="8"/>
        <w:numId w:val="14"/>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106273"/>
    <w:rPr>
      <w:rFonts w:ascii="Calibri" w:hAnsi="Calibri"/>
      <w:b/>
      <w:snapToGrid w:val="0"/>
      <w:lang w:eastAsia="en-US"/>
    </w:rPr>
  </w:style>
  <w:style w:type="character" w:customStyle="1" w:styleId="Heading3Char">
    <w:name w:val="Heading 3 Char"/>
    <w:basedOn w:val="DefaultParagraphFont"/>
    <w:link w:val="Heading3"/>
    <w:rsid w:val="00106273"/>
    <w:rPr>
      <w:rFonts w:ascii="Arial" w:hAnsi="Arial" w:cs="Arial"/>
      <w:b/>
      <w:bCs/>
      <w:sz w:val="24"/>
      <w:szCs w:val="26"/>
      <w:lang w:eastAsia="en-US"/>
    </w:rPr>
  </w:style>
  <w:style w:type="character" w:customStyle="1" w:styleId="Heading6Char">
    <w:name w:val="Heading 6 Char"/>
    <w:basedOn w:val="DefaultParagraphFont"/>
    <w:link w:val="Heading6"/>
    <w:locked/>
    <w:rsid w:val="00106273"/>
    <w:rPr>
      <w:rFonts w:ascii="Calibri" w:hAnsi="Calibri"/>
      <w:b/>
      <w:lang w:eastAsia="en-US"/>
    </w:rPr>
  </w:style>
  <w:style w:type="character" w:customStyle="1" w:styleId="Heading7Char">
    <w:name w:val="Heading 7 Char"/>
    <w:basedOn w:val="DefaultParagraphFont"/>
    <w:link w:val="Heading7"/>
    <w:locked/>
    <w:rsid w:val="00106273"/>
    <w:rPr>
      <w:rFonts w:ascii="Calibri" w:hAnsi="Calibri"/>
      <w:b/>
      <w:lang w:eastAsia="en-US"/>
    </w:rPr>
  </w:style>
  <w:style w:type="paragraph" w:customStyle="1" w:styleId="TableHeadingCentre-BP4">
    <w:name w:val="Table Heading Centre - BP4"/>
    <w:basedOn w:val="Normal"/>
    <w:rsid w:val="00232397"/>
    <w:pPr>
      <w:keepNext/>
      <w:jc w:val="center"/>
    </w:pPr>
    <w:rPr>
      <w:b/>
      <w:sz w:val="18"/>
    </w:rPr>
  </w:style>
  <w:style w:type="paragraph" w:styleId="BodyText">
    <w:name w:val="Body Text"/>
    <w:basedOn w:val="Normal"/>
    <w:link w:val="BodyTextChar"/>
    <w:rsid w:val="00232397"/>
    <w:pPr>
      <w:keepNext/>
      <w:keepLines/>
      <w:spacing w:before="120" w:after="120"/>
      <w:jc w:val="both"/>
    </w:pPr>
  </w:style>
  <w:style w:type="paragraph" w:styleId="BodyTextIndent">
    <w:name w:val="Body Text Indent"/>
    <w:basedOn w:val="Normal"/>
    <w:next w:val="BodyText"/>
    <w:link w:val="BodyTextIndentChar"/>
    <w:rsid w:val="00232397"/>
    <w:pPr>
      <w:keepNext/>
      <w:keepLines/>
      <w:numPr>
        <w:numId w:val="10"/>
      </w:numPr>
      <w:spacing w:after="120"/>
      <w:jc w:val="both"/>
    </w:pPr>
    <w:rPr>
      <w:szCs w:val="24"/>
    </w:rPr>
  </w:style>
  <w:style w:type="character" w:customStyle="1" w:styleId="BodyTextIndentChar">
    <w:name w:val="Body Text Indent Char"/>
    <w:basedOn w:val="DefaultParagraphFont"/>
    <w:link w:val="BodyTextIndent"/>
    <w:rsid w:val="00106273"/>
    <w:rPr>
      <w:rFonts w:ascii="Calibri" w:hAnsi="Calibri"/>
      <w:sz w:val="24"/>
      <w:szCs w:val="24"/>
      <w:lang w:eastAsia="en-US"/>
    </w:rPr>
  </w:style>
  <w:style w:type="paragraph" w:styleId="BodyTextIndent2">
    <w:name w:val="Body Text Indent 2"/>
    <w:basedOn w:val="Normal"/>
    <w:link w:val="BodyTextIndent2Char"/>
    <w:rsid w:val="00232397"/>
    <w:pPr>
      <w:keepNext/>
      <w:keepLines/>
      <w:numPr>
        <w:numId w:val="11"/>
      </w:numPr>
      <w:spacing w:after="120"/>
      <w:jc w:val="both"/>
    </w:pPr>
  </w:style>
  <w:style w:type="paragraph" w:styleId="BodyTextIndent3">
    <w:name w:val="Body Text Indent 3"/>
    <w:basedOn w:val="Normal"/>
    <w:link w:val="BodyTextIndent3Char"/>
    <w:rsid w:val="00232397"/>
    <w:pPr>
      <w:keepNext/>
      <w:keepLines/>
      <w:numPr>
        <w:numId w:val="12"/>
      </w:numPr>
      <w:tabs>
        <w:tab w:val="left" w:pos="1134"/>
      </w:tabs>
      <w:spacing w:after="120"/>
      <w:jc w:val="both"/>
    </w:pPr>
    <w:rPr>
      <w:szCs w:val="24"/>
    </w:rPr>
  </w:style>
  <w:style w:type="paragraph" w:customStyle="1" w:styleId="BodyTextIndent4">
    <w:name w:val="Body Text Indent 4"/>
    <w:basedOn w:val="BodyText"/>
    <w:next w:val="BodyText"/>
    <w:rsid w:val="00232397"/>
    <w:pPr>
      <w:numPr>
        <w:numId w:val="13"/>
      </w:numPr>
      <w:spacing w:before="0"/>
    </w:pPr>
  </w:style>
  <w:style w:type="paragraph" w:customStyle="1" w:styleId="SIHeading1">
    <w:name w:val="SI Heading 1"/>
    <w:basedOn w:val="Normal"/>
    <w:next w:val="BodyText"/>
    <w:rsid w:val="00232397"/>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232397"/>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rsid w:val="00232397"/>
    <w:pPr>
      <w:numPr>
        <w:numId w:val="26"/>
      </w:numPr>
      <w:spacing w:before="60"/>
    </w:pPr>
    <w:rPr>
      <w:kern w:val="16"/>
      <w:sz w:val="20"/>
      <w:szCs w:val="24"/>
    </w:rPr>
  </w:style>
  <w:style w:type="paragraph" w:customStyle="1" w:styleId="TableTextRightBold-BP4">
    <w:name w:val="Table Text Right Bold - BP4"/>
    <w:basedOn w:val="Normal"/>
    <w:rsid w:val="00232397"/>
    <w:pPr>
      <w:jc w:val="right"/>
    </w:pPr>
    <w:rPr>
      <w:b/>
      <w:sz w:val="18"/>
    </w:rPr>
  </w:style>
  <w:style w:type="paragraph" w:customStyle="1" w:styleId="TableHeadingRight-BP4">
    <w:name w:val="Table Heading Right - BP4"/>
    <w:basedOn w:val="Normal"/>
    <w:rsid w:val="00232397"/>
    <w:pPr>
      <w:keepNext/>
      <w:jc w:val="right"/>
    </w:pPr>
    <w:rPr>
      <w:b/>
      <w:sz w:val="18"/>
      <w:szCs w:val="24"/>
    </w:rPr>
  </w:style>
  <w:style w:type="paragraph" w:customStyle="1" w:styleId="NoteText">
    <w:name w:val="Note Text"/>
    <w:basedOn w:val="Normal"/>
    <w:rsid w:val="00232397"/>
    <w:pPr>
      <w:jc w:val="both"/>
    </w:pPr>
    <w:rPr>
      <w:iCs/>
      <w:sz w:val="16"/>
    </w:rPr>
  </w:style>
  <w:style w:type="paragraph" w:styleId="Header">
    <w:name w:val="header"/>
    <w:basedOn w:val="Normal"/>
    <w:link w:val="HeaderChar"/>
    <w:rsid w:val="00232397"/>
    <w:pPr>
      <w:tabs>
        <w:tab w:val="center" w:pos="4153"/>
        <w:tab w:val="right" w:pos="8306"/>
      </w:tabs>
    </w:pPr>
  </w:style>
  <w:style w:type="paragraph" w:customStyle="1" w:styleId="NoteHeading1">
    <w:name w:val="Note Heading1"/>
    <w:basedOn w:val="Normal"/>
    <w:autoRedefine/>
    <w:rsid w:val="002616E5"/>
    <w:pPr>
      <w:keepNext/>
      <w:spacing w:before="120"/>
    </w:pPr>
    <w:rPr>
      <w:b/>
      <w:bCs/>
      <w:sz w:val="16"/>
      <w:szCs w:val="16"/>
    </w:rPr>
  </w:style>
  <w:style w:type="paragraph" w:customStyle="1" w:styleId="TableHeadingLeft-BP4">
    <w:name w:val="Table Heading Left - BP4"/>
    <w:basedOn w:val="Normal"/>
    <w:link w:val="TableHeadingLeft-BP4CharChar"/>
    <w:rsid w:val="00232397"/>
    <w:pPr>
      <w:keepNext/>
    </w:pPr>
    <w:rPr>
      <w:b/>
      <w:sz w:val="18"/>
      <w:lang w:eastAsia="en-AU"/>
    </w:rPr>
  </w:style>
  <w:style w:type="character" w:customStyle="1" w:styleId="TableHeadingLeft-BP4CharChar">
    <w:name w:val="Table Heading Left - BP4 Char Char"/>
    <w:basedOn w:val="DefaultParagraphFont"/>
    <w:link w:val="TableHeadingLeft-BP4"/>
    <w:rsid w:val="00106273"/>
    <w:rPr>
      <w:rFonts w:ascii="Calibri" w:hAnsi="Calibri"/>
      <w:b/>
      <w:sz w:val="18"/>
    </w:rPr>
  </w:style>
  <w:style w:type="paragraph" w:customStyle="1" w:styleId="TableTextRight-BP4">
    <w:name w:val="Table Text Right - BP4"/>
    <w:basedOn w:val="Normal"/>
    <w:rsid w:val="00232397"/>
    <w:pPr>
      <w:jc w:val="right"/>
    </w:pPr>
    <w:rPr>
      <w:sz w:val="18"/>
    </w:rPr>
  </w:style>
  <w:style w:type="paragraph" w:customStyle="1" w:styleId="TableTextLeftBold-BP4">
    <w:name w:val="Table Text Left Bold - BP4"/>
    <w:basedOn w:val="Normal"/>
    <w:link w:val="TableTextLeftBold-BP4CharChar"/>
    <w:rsid w:val="00232397"/>
    <w:pPr>
      <w:ind w:left="142" w:hanging="142"/>
    </w:pPr>
    <w:rPr>
      <w:b/>
      <w:sz w:val="18"/>
    </w:rPr>
  </w:style>
  <w:style w:type="character" w:customStyle="1" w:styleId="TableTextLeftBold-BP4CharChar">
    <w:name w:val="Table Text Left Bold - BP4 Char Char"/>
    <w:basedOn w:val="DefaultParagraphFont"/>
    <w:link w:val="TableTextLeftBold-BP4"/>
    <w:rsid w:val="00106273"/>
    <w:rPr>
      <w:rFonts w:ascii="Calibri" w:hAnsi="Calibri"/>
      <w:b/>
      <w:sz w:val="18"/>
      <w:lang w:eastAsia="en-US"/>
    </w:rPr>
  </w:style>
  <w:style w:type="paragraph" w:customStyle="1" w:styleId="TableTextLeft-BP4">
    <w:name w:val="Table Text Left - BP4"/>
    <w:basedOn w:val="Normal"/>
    <w:rsid w:val="00232397"/>
    <w:pPr>
      <w:ind w:left="142" w:hanging="142"/>
    </w:pPr>
    <w:rPr>
      <w:sz w:val="18"/>
      <w:szCs w:val="18"/>
    </w:rPr>
  </w:style>
  <w:style w:type="paragraph" w:customStyle="1" w:styleId="TableNumbersRight-BP4">
    <w:name w:val="Table Numbers Right - BP4"/>
    <w:basedOn w:val="Normal"/>
    <w:rsid w:val="00232397"/>
    <w:pPr>
      <w:jc w:val="right"/>
    </w:pPr>
    <w:rPr>
      <w:sz w:val="18"/>
    </w:rPr>
  </w:style>
  <w:style w:type="paragraph" w:customStyle="1" w:styleId="FooterBP">
    <w:name w:val="Footer BP"/>
    <w:basedOn w:val="Normal"/>
    <w:next w:val="Normal"/>
    <w:rsid w:val="00232397"/>
    <w:pPr>
      <w:pBdr>
        <w:top w:val="single" w:sz="4" w:space="1" w:color="auto"/>
      </w:pBdr>
      <w:tabs>
        <w:tab w:val="center" w:pos="4536"/>
        <w:tab w:val="right" w:pos="9356"/>
      </w:tabs>
      <w:ind w:left="-284" w:right="-329"/>
    </w:pPr>
    <w:rPr>
      <w:i/>
      <w:sz w:val="20"/>
    </w:rPr>
  </w:style>
  <w:style w:type="paragraph" w:styleId="Footer">
    <w:name w:val="footer"/>
    <w:basedOn w:val="Normal"/>
    <w:link w:val="FooterChar"/>
    <w:rsid w:val="00232397"/>
    <w:pPr>
      <w:tabs>
        <w:tab w:val="center" w:pos="4153"/>
        <w:tab w:val="right" w:pos="8306"/>
      </w:tabs>
    </w:pPr>
  </w:style>
  <w:style w:type="paragraph" w:customStyle="1" w:styleId="Heading3TopofPage">
    <w:name w:val="Heading 3 Top of Page"/>
    <w:basedOn w:val="Heading3"/>
    <w:next w:val="BodyText"/>
    <w:link w:val="Heading3TopofPageChar"/>
    <w:rsid w:val="00232397"/>
    <w:pPr>
      <w:spacing w:before="0"/>
    </w:pPr>
    <w:rPr>
      <w:rFonts w:cs="Times New Roman"/>
      <w:lang w:eastAsia="en-AU"/>
    </w:rPr>
  </w:style>
  <w:style w:type="paragraph" w:customStyle="1" w:styleId="Heading3Centred">
    <w:name w:val="Heading 3 Centred"/>
    <w:basedOn w:val="Heading3"/>
    <w:next w:val="BodyText"/>
    <w:rsid w:val="00232397"/>
    <w:pPr>
      <w:spacing w:before="0"/>
      <w:jc w:val="center"/>
    </w:pPr>
    <w:rPr>
      <w:rFonts w:cs="Times New Roman"/>
      <w:lang w:eastAsia="en-AU"/>
    </w:rPr>
  </w:style>
  <w:style w:type="paragraph" w:customStyle="1" w:styleId="AITableText">
    <w:name w:val="AI Table Text"/>
    <w:basedOn w:val="Normal"/>
    <w:link w:val="AITableTextChar"/>
    <w:rsid w:val="00232397"/>
    <w:pPr>
      <w:jc w:val="right"/>
    </w:pPr>
    <w:rPr>
      <w:sz w:val="20"/>
      <w:szCs w:val="24"/>
    </w:rPr>
  </w:style>
  <w:style w:type="character" w:customStyle="1" w:styleId="AITableTextChar">
    <w:name w:val="AI Table Text Char"/>
    <w:basedOn w:val="DefaultParagraphFont"/>
    <w:link w:val="AITableText"/>
    <w:rsid w:val="00106273"/>
    <w:rPr>
      <w:rFonts w:ascii="Calibri" w:hAnsi="Calibri"/>
      <w:szCs w:val="24"/>
      <w:lang w:eastAsia="en-US"/>
    </w:rPr>
  </w:style>
  <w:style w:type="paragraph" w:customStyle="1" w:styleId="SinglePara">
    <w:name w:val="Single Para"/>
    <w:basedOn w:val="Normal"/>
    <w:rsid w:val="00232397"/>
  </w:style>
  <w:style w:type="paragraph" w:customStyle="1" w:styleId="xl25">
    <w:name w:val="xl25"/>
    <w:basedOn w:val="Normal"/>
    <w:rsid w:val="00232397"/>
    <w:pPr>
      <w:spacing w:before="100" w:beforeAutospacing="1" w:after="100" w:afterAutospacing="1"/>
    </w:pPr>
    <w:rPr>
      <w:rFonts w:eastAsia="Arial Unicode MS"/>
      <w:sz w:val="18"/>
      <w:szCs w:val="18"/>
    </w:rPr>
  </w:style>
  <w:style w:type="paragraph" w:styleId="PlainText">
    <w:name w:val="Plain Text"/>
    <w:basedOn w:val="Normal"/>
    <w:link w:val="PlainTextChar"/>
    <w:rsid w:val="00232397"/>
    <w:rPr>
      <w:sz w:val="20"/>
      <w:lang w:val="en-US"/>
    </w:rPr>
  </w:style>
  <w:style w:type="paragraph" w:styleId="BalloonText">
    <w:name w:val="Balloon Text"/>
    <w:basedOn w:val="Normal"/>
    <w:link w:val="BalloonTextChar"/>
    <w:semiHidden/>
    <w:rsid w:val="00232397"/>
    <w:rPr>
      <w:rFonts w:ascii="Tahoma" w:hAnsi="Tahoma" w:cs="Tahoma"/>
      <w:sz w:val="16"/>
      <w:szCs w:val="16"/>
    </w:rPr>
  </w:style>
  <w:style w:type="paragraph" w:customStyle="1" w:styleId="Sub-Heading">
    <w:name w:val="Sub-Heading"/>
    <w:basedOn w:val="Normal"/>
    <w:next w:val="BodyText"/>
    <w:rsid w:val="00232397"/>
    <w:pPr>
      <w:keepNext/>
      <w:spacing w:before="240" w:after="120"/>
      <w:outlineLvl w:val="0"/>
    </w:pPr>
    <w:rPr>
      <w:rFonts w:ascii="Arial" w:hAnsi="Arial"/>
      <w:i/>
    </w:rPr>
  </w:style>
  <w:style w:type="paragraph" w:customStyle="1" w:styleId="Sub-Heading2">
    <w:name w:val="Sub-Heading 2"/>
    <w:basedOn w:val="BodyText"/>
    <w:rsid w:val="00232397"/>
    <w:rPr>
      <w:i/>
    </w:rPr>
  </w:style>
  <w:style w:type="paragraph" w:customStyle="1" w:styleId="TableName">
    <w:name w:val="Table Name"/>
    <w:basedOn w:val="Normal"/>
    <w:rsid w:val="00232397"/>
    <w:pPr>
      <w:keepNext/>
      <w:keepLines/>
      <w:spacing w:after="120"/>
      <w:jc w:val="center"/>
    </w:pPr>
    <w:rPr>
      <w:rFonts w:ascii="Arial" w:hAnsi="Arial"/>
      <w:b/>
      <w:sz w:val="20"/>
    </w:rPr>
  </w:style>
  <w:style w:type="paragraph" w:customStyle="1" w:styleId="AIblurb">
    <w:name w:val="AI blurb"/>
    <w:basedOn w:val="Normal"/>
    <w:rsid w:val="00232397"/>
    <w:pPr>
      <w:spacing w:before="120" w:after="240"/>
      <w:ind w:left="380"/>
      <w:jc w:val="both"/>
    </w:pPr>
    <w:rPr>
      <w:sz w:val="20"/>
    </w:rPr>
  </w:style>
  <w:style w:type="paragraph" w:customStyle="1" w:styleId="AIIndent">
    <w:name w:val="AI Indent"/>
    <w:basedOn w:val="Normal"/>
    <w:rsid w:val="00232397"/>
    <w:pPr>
      <w:tabs>
        <w:tab w:val="num" w:pos="360"/>
      </w:tabs>
      <w:ind w:left="357" w:hanging="357"/>
    </w:pPr>
    <w:rPr>
      <w:sz w:val="20"/>
    </w:rPr>
  </w:style>
  <w:style w:type="paragraph" w:customStyle="1" w:styleId="AINotes">
    <w:name w:val="AI Notes"/>
    <w:basedOn w:val="Normal"/>
    <w:link w:val="AINotesChar"/>
    <w:rsid w:val="00232397"/>
    <w:pPr>
      <w:numPr>
        <w:numId w:val="8"/>
      </w:numPr>
      <w:jc w:val="both"/>
    </w:pPr>
    <w:rPr>
      <w:sz w:val="16"/>
    </w:rPr>
  </w:style>
  <w:style w:type="paragraph" w:customStyle="1" w:styleId="n">
    <w:name w:val="n"/>
    <w:basedOn w:val="Normal"/>
    <w:rsid w:val="00232397"/>
    <w:pPr>
      <w:jc w:val="both"/>
    </w:pPr>
    <w:rPr>
      <w:sz w:val="16"/>
      <w:szCs w:val="24"/>
    </w:rPr>
  </w:style>
  <w:style w:type="paragraph" w:customStyle="1" w:styleId="Notes">
    <w:name w:val="Notes"/>
    <w:basedOn w:val="Normal"/>
    <w:rsid w:val="00232397"/>
    <w:pPr>
      <w:spacing w:before="120"/>
      <w:ind w:left="28"/>
    </w:pPr>
    <w:rPr>
      <w:b/>
      <w:sz w:val="20"/>
      <w:szCs w:val="24"/>
    </w:rPr>
  </w:style>
  <w:style w:type="paragraph" w:customStyle="1" w:styleId="TableHeadingCentre-BP3">
    <w:name w:val="Table Heading Centre - BP3"/>
    <w:basedOn w:val="TableHeadingCentre-BP4"/>
    <w:rsid w:val="00232397"/>
    <w:rPr>
      <w:sz w:val="20"/>
    </w:rPr>
  </w:style>
  <w:style w:type="paragraph" w:customStyle="1" w:styleId="TableHeadingLeft-BP3">
    <w:name w:val="Table Heading Left - BP3"/>
    <w:basedOn w:val="TableHeadingLeft-BP4"/>
    <w:rsid w:val="00232397"/>
    <w:rPr>
      <w:sz w:val="20"/>
    </w:rPr>
  </w:style>
  <w:style w:type="paragraph" w:customStyle="1" w:styleId="TableHeadingRight-BP3">
    <w:name w:val="Table Heading Right - BP3"/>
    <w:basedOn w:val="TableHeadingRight-BP4"/>
    <w:rsid w:val="00232397"/>
    <w:rPr>
      <w:sz w:val="20"/>
    </w:rPr>
  </w:style>
  <w:style w:type="paragraph" w:customStyle="1" w:styleId="TableNumbersRight-BP3">
    <w:name w:val="Table Numbers Right - BP3"/>
    <w:basedOn w:val="TableNumbersRight-BP4"/>
    <w:rsid w:val="00232397"/>
    <w:rPr>
      <w:sz w:val="20"/>
    </w:rPr>
  </w:style>
  <w:style w:type="paragraph" w:customStyle="1" w:styleId="TableTextLeft-BP3">
    <w:name w:val="Table Text Left - BP3"/>
    <w:basedOn w:val="TableTextLeft-BP4"/>
    <w:rsid w:val="00232397"/>
    <w:rPr>
      <w:sz w:val="20"/>
    </w:rPr>
  </w:style>
  <w:style w:type="paragraph" w:customStyle="1" w:styleId="TableTextLeftBold-BP3">
    <w:name w:val="Table Text Left Bold - BP3"/>
    <w:basedOn w:val="TableTextLeftBold-BP4"/>
    <w:rsid w:val="00232397"/>
    <w:rPr>
      <w:sz w:val="20"/>
    </w:rPr>
  </w:style>
  <w:style w:type="paragraph" w:customStyle="1" w:styleId="TableTextRight-BP3">
    <w:name w:val="Table Text Right - BP3"/>
    <w:basedOn w:val="TableTextRight-BP4"/>
    <w:rsid w:val="00232397"/>
    <w:rPr>
      <w:sz w:val="20"/>
    </w:rPr>
  </w:style>
  <w:style w:type="paragraph" w:customStyle="1" w:styleId="TableTextRightBold-BP3">
    <w:name w:val="Table Text Right Bold - BP3"/>
    <w:basedOn w:val="TableTextRightBold-BP4"/>
    <w:rsid w:val="00232397"/>
  </w:style>
  <w:style w:type="paragraph" w:customStyle="1" w:styleId="TableTextLeft-BP4FS">
    <w:name w:val="Table Text Left - BP4 FS"/>
    <w:basedOn w:val="TableTextLeft-BP4"/>
    <w:rsid w:val="00232397"/>
    <w:pPr>
      <w:ind w:left="227"/>
    </w:pPr>
  </w:style>
  <w:style w:type="paragraph" w:customStyle="1" w:styleId="TableNumber">
    <w:name w:val="Table Number"/>
    <w:basedOn w:val="TableName"/>
    <w:next w:val="TableName"/>
    <w:rsid w:val="00232397"/>
    <w:pPr>
      <w:spacing w:before="60" w:after="0"/>
    </w:pPr>
  </w:style>
  <w:style w:type="paragraph" w:customStyle="1" w:styleId="TableHeadingCentre-BP410pt">
    <w:name w:val="Table Heading Centre - BP4 10pt"/>
    <w:basedOn w:val="TableHeadingCentre-BP4"/>
    <w:rsid w:val="00232397"/>
    <w:rPr>
      <w:sz w:val="20"/>
    </w:rPr>
  </w:style>
  <w:style w:type="paragraph" w:customStyle="1" w:styleId="TableHeadingLeft-BP410pt">
    <w:name w:val="Table Heading Left - BP4 10pt"/>
    <w:basedOn w:val="TableHeadingLeft-BP4"/>
    <w:rsid w:val="00232397"/>
    <w:rPr>
      <w:sz w:val="20"/>
    </w:rPr>
  </w:style>
  <w:style w:type="paragraph" w:customStyle="1" w:styleId="TableHeadingRight-BP410pt">
    <w:name w:val="Table Heading Right - BP4 10pt"/>
    <w:basedOn w:val="TableHeadingRight-BP4"/>
    <w:rsid w:val="00232397"/>
    <w:rPr>
      <w:sz w:val="20"/>
    </w:rPr>
  </w:style>
  <w:style w:type="paragraph" w:customStyle="1" w:styleId="TableTextLeft-BP410pt">
    <w:name w:val="Table Text Left - BP4 10pt"/>
    <w:basedOn w:val="TableTextLeft-BP4"/>
    <w:rsid w:val="00232397"/>
    <w:rPr>
      <w:sz w:val="20"/>
    </w:rPr>
  </w:style>
  <w:style w:type="paragraph" w:customStyle="1" w:styleId="TableTextLeftBold-BP410pt">
    <w:name w:val="Table Text Left Bold - BP4 10pt"/>
    <w:basedOn w:val="TableTextLeftBold-BP4"/>
    <w:rsid w:val="00232397"/>
    <w:rPr>
      <w:sz w:val="20"/>
    </w:rPr>
  </w:style>
  <w:style w:type="paragraph" w:customStyle="1" w:styleId="TableTextRight-BP410pt">
    <w:name w:val="Table Text Right - BP4 10pt"/>
    <w:basedOn w:val="TableTextRight-BP4"/>
    <w:rsid w:val="00232397"/>
    <w:rPr>
      <w:sz w:val="20"/>
    </w:rPr>
  </w:style>
  <w:style w:type="paragraph" w:customStyle="1" w:styleId="TableTextRightBold-BP410pt">
    <w:name w:val="Table Text Right Bold - BP4 10pt"/>
    <w:basedOn w:val="TableTextRightBold-BP4"/>
    <w:rsid w:val="00232397"/>
    <w:rPr>
      <w:sz w:val="20"/>
    </w:rPr>
  </w:style>
  <w:style w:type="paragraph" w:customStyle="1" w:styleId="TableHeadingRight">
    <w:name w:val="Table Heading Right"/>
    <w:basedOn w:val="Normal"/>
    <w:rsid w:val="00232397"/>
    <w:pPr>
      <w:keepNext/>
      <w:jc w:val="right"/>
    </w:pPr>
    <w:rPr>
      <w:b/>
      <w:sz w:val="20"/>
      <w:szCs w:val="24"/>
    </w:rPr>
  </w:style>
  <w:style w:type="paragraph" w:customStyle="1" w:styleId="TableHeadingLeft">
    <w:name w:val="Table Heading Left"/>
    <w:basedOn w:val="Normal"/>
    <w:link w:val="TableHeadingLeftChar"/>
    <w:rsid w:val="00232397"/>
    <w:pPr>
      <w:keepNext/>
    </w:pPr>
    <w:rPr>
      <w:b/>
      <w:sz w:val="20"/>
      <w:lang w:eastAsia="en-AU"/>
    </w:rPr>
  </w:style>
  <w:style w:type="character" w:customStyle="1" w:styleId="TableHeadingLeftChar">
    <w:name w:val="Table Heading Left Char"/>
    <w:basedOn w:val="DefaultParagraphFont"/>
    <w:link w:val="TableHeadingLeft"/>
    <w:rsid w:val="00106273"/>
    <w:rPr>
      <w:rFonts w:ascii="Calibri" w:hAnsi="Calibri"/>
      <w:b/>
    </w:rPr>
  </w:style>
  <w:style w:type="paragraph" w:customStyle="1" w:styleId="TableTextRight">
    <w:name w:val="Table Text Right"/>
    <w:basedOn w:val="Normal"/>
    <w:rsid w:val="00232397"/>
    <w:pPr>
      <w:ind w:left="357" w:hanging="357"/>
      <w:jc w:val="right"/>
    </w:pPr>
    <w:rPr>
      <w:sz w:val="20"/>
    </w:rPr>
  </w:style>
  <w:style w:type="paragraph" w:customStyle="1" w:styleId="TableTextLeftBold">
    <w:name w:val="Table Text Left Bold"/>
    <w:basedOn w:val="Normal"/>
    <w:link w:val="TableTextLeftBoldChar"/>
    <w:rsid w:val="00232397"/>
    <w:pPr>
      <w:ind w:left="357" w:hanging="357"/>
    </w:pPr>
    <w:rPr>
      <w:b/>
      <w:sz w:val="20"/>
    </w:rPr>
  </w:style>
  <w:style w:type="character" w:customStyle="1" w:styleId="TableTextLeftBoldChar">
    <w:name w:val="Table Text Left Bold Char"/>
    <w:basedOn w:val="DefaultParagraphFont"/>
    <w:link w:val="TableTextLeftBold"/>
    <w:rsid w:val="00106273"/>
    <w:rPr>
      <w:rFonts w:ascii="Calibri" w:hAnsi="Calibri"/>
      <w:b/>
      <w:lang w:eastAsia="en-US"/>
    </w:rPr>
  </w:style>
  <w:style w:type="paragraph" w:customStyle="1" w:styleId="1n">
    <w:name w:val="1. n"/>
    <w:basedOn w:val="n"/>
    <w:rsid w:val="00232397"/>
    <w:rPr>
      <w:iCs/>
      <w:szCs w:val="20"/>
    </w:rPr>
  </w:style>
  <w:style w:type="character" w:customStyle="1" w:styleId="Heading3TopofPageChar">
    <w:name w:val="Heading 3 Top of Page Char"/>
    <w:basedOn w:val="Heading3Char"/>
    <w:link w:val="Heading3TopofPage"/>
    <w:rsid w:val="00106273"/>
    <w:rPr>
      <w:rFonts w:ascii="Arial" w:hAnsi="Arial" w:cs="Arial"/>
      <w:b/>
      <w:bCs/>
      <w:sz w:val="24"/>
      <w:szCs w:val="26"/>
      <w:lang w:eastAsia="en-US"/>
    </w:rPr>
  </w:style>
  <w:style w:type="character" w:styleId="PageNumber">
    <w:name w:val="page number"/>
    <w:basedOn w:val="DefaultParagraphFont"/>
    <w:rsid w:val="00232397"/>
  </w:style>
  <w:style w:type="numbering" w:styleId="111111">
    <w:name w:val="Outline List 2"/>
    <w:basedOn w:val="NoList"/>
    <w:rsid w:val="00232397"/>
    <w:pPr>
      <w:numPr>
        <w:numId w:val="6"/>
      </w:numPr>
    </w:pPr>
  </w:style>
  <w:style w:type="numbering" w:styleId="1ai">
    <w:name w:val="Outline List 1"/>
    <w:basedOn w:val="NoList"/>
    <w:rsid w:val="00232397"/>
    <w:pPr>
      <w:numPr>
        <w:numId w:val="7"/>
      </w:numPr>
    </w:pPr>
  </w:style>
  <w:style w:type="paragraph" w:customStyle="1" w:styleId="an">
    <w:name w:val="a. n"/>
    <w:basedOn w:val="n"/>
    <w:rsid w:val="00232397"/>
    <w:rPr>
      <w:iCs/>
      <w:szCs w:val="20"/>
    </w:rPr>
  </w:style>
  <w:style w:type="numbering" w:styleId="ArticleSection">
    <w:name w:val="Outline List 3"/>
    <w:basedOn w:val="NoList"/>
    <w:rsid w:val="00232397"/>
    <w:pPr>
      <w:numPr>
        <w:numId w:val="9"/>
      </w:numPr>
    </w:pPr>
  </w:style>
  <w:style w:type="paragraph" w:styleId="BlockText">
    <w:name w:val="Block Text"/>
    <w:basedOn w:val="Normal"/>
    <w:rsid w:val="00232397"/>
    <w:pPr>
      <w:spacing w:after="120"/>
      <w:ind w:left="1440" w:right="1440"/>
    </w:pPr>
  </w:style>
  <w:style w:type="paragraph" w:styleId="BodyText2">
    <w:name w:val="Body Text 2"/>
    <w:basedOn w:val="Normal"/>
    <w:link w:val="BodyText2Char"/>
    <w:rsid w:val="00232397"/>
    <w:pPr>
      <w:spacing w:after="120" w:line="480" w:lineRule="auto"/>
    </w:pPr>
  </w:style>
  <w:style w:type="character" w:customStyle="1" w:styleId="BodyText2Char">
    <w:name w:val="Body Text 2 Char"/>
    <w:basedOn w:val="DefaultParagraphFont"/>
    <w:link w:val="BodyText2"/>
    <w:rsid w:val="00980701"/>
    <w:rPr>
      <w:rFonts w:ascii="Calibri" w:hAnsi="Calibri"/>
      <w:sz w:val="24"/>
      <w:lang w:eastAsia="en-US"/>
    </w:rPr>
  </w:style>
  <w:style w:type="paragraph" w:styleId="BodyText3">
    <w:name w:val="Body Text 3"/>
    <w:basedOn w:val="Normal"/>
    <w:link w:val="BodyText3Char"/>
    <w:rsid w:val="00232397"/>
    <w:pPr>
      <w:spacing w:after="120"/>
    </w:pPr>
    <w:rPr>
      <w:sz w:val="16"/>
      <w:szCs w:val="16"/>
    </w:rPr>
  </w:style>
  <w:style w:type="character" w:customStyle="1" w:styleId="BodyText3Char">
    <w:name w:val="Body Text 3 Char"/>
    <w:basedOn w:val="DefaultParagraphFont"/>
    <w:link w:val="BodyText3"/>
    <w:rsid w:val="00980701"/>
    <w:rPr>
      <w:rFonts w:ascii="Calibri" w:hAnsi="Calibri"/>
      <w:sz w:val="16"/>
      <w:szCs w:val="16"/>
      <w:lang w:eastAsia="en-US"/>
    </w:rPr>
  </w:style>
  <w:style w:type="paragraph" w:styleId="BodyTextFirstIndent">
    <w:name w:val="Body Text First Indent"/>
    <w:basedOn w:val="BodyText"/>
    <w:link w:val="BodyTextFirstIndentChar"/>
    <w:rsid w:val="00232397"/>
    <w:pPr>
      <w:spacing w:before="0"/>
      <w:ind w:firstLine="210"/>
      <w:jc w:val="left"/>
    </w:pPr>
  </w:style>
  <w:style w:type="character" w:customStyle="1" w:styleId="BodyTextChar">
    <w:name w:val="Body Text Char"/>
    <w:basedOn w:val="DefaultParagraphFont"/>
    <w:link w:val="BodyText"/>
    <w:rsid w:val="00980701"/>
    <w:rPr>
      <w:rFonts w:ascii="Calibri" w:hAnsi="Calibri"/>
      <w:sz w:val="24"/>
      <w:lang w:eastAsia="en-US"/>
    </w:rPr>
  </w:style>
  <w:style w:type="character" w:customStyle="1" w:styleId="BodyTextFirstIndentChar">
    <w:name w:val="Body Text First Indent Char"/>
    <w:basedOn w:val="BodyTextChar"/>
    <w:link w:val="BodyTextFirstIndent"/>
    <w:rsid w:val="00980701"/>
    <w:rPr>
      <w:rFonts w:ascii="Calibri" w:hAnsi="Calibri"/>
      <w:sz w:val="24"/>
      <w:lang w:eastAsia="en-US"/>
    </w:rPr>
  </w:style>
  <w:style w:type="paragraph" w:styleId="BodyTextFirstIndent2">
    <w:name w:val="Body Text First Indent 2"/>
    <w:basedOn w:val="BodyTextIndent"/>
    <w:link w:val="BodyTextFirstIndent2Char"/>
    <w:rsid w:val="00232397"/>
    <w:pPr>
      <w:numPr>
        <w:numId w:val="0"/>
      </w:numPr>
      <w:ind w:left="283" w:firstLine="210"/>
      <w:jc w:val="left"/>
    </w:pPr>
  </w:style>
  <w:style w:type="character" w:customStyle="1" w:styleId="BodyTextFirstIndent2Char">
    <w:name w:val="Body Text First Indent 2 Char"/>
    <w:basedOn w:val="BodyTextIndentChar"/>
    <w:link w:val="BodyTextFirstIndent2"/>
    <w:rsid w:val="00980701"/>
    <w:rPr>
      <w:rFonts w:ascii="Calibri" w:hAnsi="Calibri"/>
      <w:sz w:val="24"/>
      <w:szCs w:val="24"/>
      <w:lang w:eastAsia="en-US"/>
    </w:rPr>
  </w:style>
  <w:style w:type="character" w:customStyle="1" w:styleId="CharChar">
    <w:name w:val="Char Char"/>
    <w:basedOn w:val="DefaultParagraphFont"/>
    <w:rsid w:val="00232397"/>
    <w:rPr>
      <w:rFonts w:ascii="Calibri" w:hAnsi="Calibri"/>
      <w:sz w:val="24"/>
      <w:lang w:val="en-AU" w:eastAsia="en-US" w:bidi="ar-SA"/>
    </w:rPr>
  </w:style>
  <w:style w:type="character" w:customStyle="1" w:styleId="CharChar1">
    <w:name w:val="Char Char1"/>
    <w:basedOn w:val="DefaultParagraphFont"/>
    <w:rsid w:val="00232397"/>
    <w:rPr>
      <w:rFonts w:ascii="Arial" w:hAnsi="Arial" w:cs="Arial"/>
      <w:b/>
      <w:bCs/>
      <w:sz w:val="24"/>
      <w:szCs w:val="26"/>
      <w:lang w:val="en-AU" w:eastAsia="en-US" w:bidi="ar-SA"/>
    </w:rPr>
  </w:style>
  <w:style w:type="paragraph" w:styleId="Closing">
    <w:name w:val="Closing"/>
    <w:basedOn w:val="Normal"/>
    <w:link w:val="ClosingChar"/>
    <w:rsid w:val="00232397"/>
    <w:pPr>
      <w:ind w:left="4252"/>
    </w:pPr>
  </w:style>
  <w:style w:type="character" w:customStyle="1" w:styleId="ClosingChar">
    <w:name w:val="Closing Char"/>
    <w:basedOn w:val="DefaultParagraphFont"/>
    <w:link w:val="Closing"/>
    <w:rsid w:val="00980701"/>
    <w:rPr>
      <w:rFonts w:ascii="Calibri" w:hAnsi="Calibri"/>
      <w:sz w:val="24"/>
      <w:lang w:eastAsia="en-US"/>
    </w:rPr>
  </w:style>
  <w:style w:type="table" w:styleId="ColorfulGrid-Accent2">
    <w:name w:val="Colorful Grid Accent 2"/>
    <w:basedOn w:val="TableNormal"/>
    <w:uiPriority w:val="73"/>
    <w:rsid w:val="0023239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3239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3239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3239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3239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rsid w:val="00232397"/>
    <w:rPr>
      <w:rFonts w:ascii="Calibri" w:hAnsi="Calibri"/>
      <w:sz w:val="16"/>
      <w:szCs w:val="16"/>
    </w:rPr>
  </w:style>
  <w:style w:type="paragraph" w:styleId="CommentText">
    <w:name w:val="annotation text"/>
    <w:basedOn w:val="Normal"/>
    <w:link w:val="CommentTextChar"/>
    <w:rsid w:val="00232397"/>
    <w:rPr>
      <w:sz w:val="20"/>
    </w:rPr>
  </w:style>
  <w:style w:type="character" w:customStyle="1" w:styleId="CommentTextChar">
    <w:name w:val="Comment Text Char"/>
    <w:basedOn w:val="DefaultParagraphFont"/>
    <w:link w:val="CommentText"/>
    <w:rsid w:val="00980701"/>
    <w:rPr>
      <w:rFonts w:ascii="Calibri" w:hAnsi="Calibri"/>
      <w:lang w:eastAsia="en-US"/>
    </w:rPr>
  </w:style>
  <w:style w:type="paragraph" w:styleId="CommentSubject">
    <w:name w:val="annotation subject"/>
    <w:basedOn w:val="CommentText"/>
    <w:next w:val="CommentText"/>
    <w:link w:val="CommentSubjectChar"/>
    <w:rsid w:val="00232397"/>
    <w:rPr>
      <w:b/>
      <w:bCs/>
    </w:rPr>
  </w:style>
  <w:style w:type="character" w:customStyle="1" w:styleId="CommentSubjectChar">
    <w:name w:val="Comment Subject Char"/>
    <w:basedOn w:val="CommentTextChar"/>
    <w:link w:val="CommentSubject"/>
    <w:rsid w:val="00980701"/>
    <w:rPr>
      <w:rFonts w:ascii="Calibri" w:hAnsi="Calibri"/>
      <w:b/>
      <w:bCs/>
      <w:lang w:eastAsia="en-US"/>
    </w:rPr>
  </w:style>
  <w:style w:type="paragraph" w:styleId="Date">
    <w:name w:val="Date"/>
    <w:basedOn w:val="Normal"/>
    <w:next w:val="Normal"/>
    <w:link w:val="DateChar"/>
    <w:rsid w:val="00232397"/>
  </w:style>
  <w:style w:type="character" w:customStyle="1" w:styleId="DateChar">
    <w:name w:val="Date Char"/>
    <w:basedOn w:val="DefaultParagraphFont"/>
    <w:link w:val="Date"/>
    <w:rsid w:val="00980701"/>
    <w:rPr>
      <w:rFonts w:ascii="Calibri" w:hAnsi="Calibri"/>
      <w:sz w:val="24"/>
      <w:lang w:eastAsia="en-US"/>
    </w:rPr>
  </w:style>
  <w:style w:type="paragraph" w:styleId="E-mailSignature">
    <w:name w:val="E-mail Signature"/>
    <w:basedOn w:val="Normal"/>
    <w:link w:val="E-mailSignatureChar"/>
    <w:rsid w:val="00232397"/>
  </w:style>
  <w:style w:type="character" w:customStyle="1" w:styleId="E-mailSignatureChar">
    <w:name w:val="E-mail Signature Char"/>
    <w:basedOn w:val="DefaultParagraphFont"/>
    <w:link w:val="E-mailSignature"/>
    <w:rsid w:val="00980701"/>
    <w:rPr>
      <w:rFonts w:ascii="Calibri" w:hAnsi="Calibri"/>
      <w:sz w:val="24"/>
      <w:lang w:eastAsia="en-US"/>
    </w:rPr>
  </w:style>
  <w:style w:type="character" w:styleId="Emphasis">
    <w:name w:val="Emphasis"/>
    <w:basedOn w:val="DefaultParagraphFont"/>
    <w:qFormat/>
    <w:rsid w:val="00232397"/>
    <w:rPr>
      <w:rFonts w:ascii="Calibri" w:hAnsi="Calibri"/>
      <w:i/>
      <w:iCs/>
    </w:rPr>
  </w:style>
  <w:style w:type="character" w:styleId="EndnoteReference">
    <w:name w:val="endnote reference"/>
    <w:basedOn w:val="DefaultParagraphFont"/>
    <w:rsid w:val="00232397"/>
    <w:rPr>
      <w:rFonts w:ascii="Calibri" w:hAnsi="Calibri"/>
      <w:vertAlign w:val="superscript"/>
    </w:rPr>
  </w:style>
  <w:style w:type="paragraph" w:styleId="EndnoteText">
    <w:name w:val="endnote text"/>
    <w:basedOn w:val="Normal"/>
    <w:link w:val="EndnoteTextChar"/>
    <w:rsid w:val="00232397"/>
    <w:rPr>
      <w:sz w:val="20"/>
    </w:rPr>
  </w:style>
  <w:style w:type="character" w:customStyle="1" w:styleId="EndnoteTextChar">
    <w:name w:val="Endnote Text Char"/>
    <w:basedOn w:val="DefaultParagraphFont"/>
    <w:link w:val="EndnoteText"/>
    <w:rsid w:val="00980701"/>
    <w:rPr>
      <w:rFonts w:ascii="Calibri" w:hAnsi="Calibri"/>
      <w:lang w:eastAsia="en-US"/>
    </w:rPr>
  </w:style>
  <w:style w:type="paragraph" w:styleId="EnvelopeAddress">
    <w:name w:val="envelope address"/>
    <w:basedOn w:val="Normal"/>
    <w:rsid w:val="00232397"/>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232397"/>
    <w:rPr>
      <w:rFonts w:ascii="Arial" w:hAnsi="Arial" w:cs="Arial"/>
      <w:sz w:val="20"/>
    </w:rPr>
  </w:style>
  <w:style w:type="character" w:styleId="FollowedHyperlink">
    <w:name w:val="FollowedHyperlink"/>
    <w:basedOn w:val="DefaultParagraphFont"/>
    <w:rsid w:val="00232397"/>
    <w:rPr>
      <w:color w:val="800080"/>
      <w:u w:val="single"/>
    </w:rPr>
  </w:style>
  <w:style w:type="character" w:styleId="FootnoteReference">
    <w:name w:val="footnote reference"/>
    <w:basedOn w:val="DefaultParagraphFont"/>
    <w:rsid w:val="00232397"/>
    <w:rPr>
      <w:rFonts w:ascii="Calibri" w:hAnsi="Calibri"/>
      <w:vertAlign w:val="superscript"/>
    </w:rPr>
  </w:style>
  <w:style w:type="paragraph" w:styleId="FootnoteText">
    <w:name w:val="footnote text"/>
    <w:basedOn w:val="Normal"/>
    <w:link w:val="FootnoteTextChar"/>
    <w:rsid w:val="00232397"/>
    <w:rPr>
      <w:sz w:val="20"/>
    </w:rPr>
  </w:style>
  <w:style w:type="character" w:customStyle="1" w:styleId="FootnoteTextChar">
    <w:name w:val="Footnote Text Char"/>
    <w:basedOn w:val="DefaultParagraphFont"/>
    <w:link w:val="FootnoteText"/>
    <w:rsid w:val="00980701"/>
    <w:rPr>
      <w:rFonts w:ascii="Calibri" w:hAnsi="Calibri"/>
      <w:lang w:eastAsia="en-US"/>
    </w:rPr>
  </w:style>
  <w:style w:type="character" w:styleId="HTMLAcronym">
    <w:name w:val="HTML Acronym"/>
    <w:basedOn w:val="DefaultParagraphFont"/>
    <w:rsid w:val="00232397"/>
  </w:style>
  <w:style w:type="paragraph" w:styleId="HTMLAddress">
    <w:name w:val="HTML Address"/>
    <w:basedOn w:val="Normal"/>
    <w:link w:val="HTMLAddressChar"/>
    <w:rsid w:val="00232397"/>
    <w:rPr>
      <w:i/>
      <w:iCs/>
    </w:rPr>
  </w:style>
  <w:style w:type="character" w:customStyle="1" w:styleId="HTMLAddressChar">
    <w:name w:val="HTML Address Char"/>
    <w:basedOn w:val="DefaultParagraphFont"/>
    <w:link w:val="HTMLAddress"/>
    <w:rsid w:val="00980701"/>
    <w:rPr>
      <w:rFonts w:ascii="Calibri" w:hAnsi="Calibri"/>
      <w:i/>
      <w:iCs/>
      <w:sz w:val="24"/>
      <w:lang w:eastAsia="en-US"/>
    </w:rPr>
  </w:style>
  <w:style w:type="character" w:styleId="HTMLCite">
    <w:name w:val="HTML Cite"/>
    <w:basedOn w:val="DefaultParagraphFont"/>
    <w:rsid w:val="00232397"/>
    <w:rPr>
      <w:i/>
      <w:iCs/>
    </w:rPr>
  </w:style>
  <w:style w:type="character" w:styleId="HTMLCode">
    <w:name w:val="HTML Code"/>
    <w:basedOn w:val="DefaultParagraphFont"/>
    <w:rsid w:val="00232397"/>
    <w:rPr>
      <w:rFonts w:ascii="Courier New" w:hAnsi="Courier New" w:cs="Courier New"/>
      <w:sz w:val="20"/>
      <w:szCs w:val="20"/>
    </w:rPr>
  </w:style>
  <w:style w:type="character" w:styleId="HTMLDefinition">
    <w:name w:val="HTML Definition"/>
    <w:basedOn w:val="DefaultParagraphFont"/>
    <w:rsid w:val="00232397"/>
    <w:rPr>
      <w:i/>
      <w:iCs/>
    </w:rPr>
  </w:style>
  <w:style w:type="character" w:styleId="HTMLKeyboard">
    <w:name w:val="HTML Keyboard"/>
    <w:basedOn w:val="DefaultParagraphFont"/>
    <w:rsid w:val="00232397"/>
    <w:rPr>
      <w:rFonts w:ascii="Courier New" w:hAnsi="Courier New" w:cs="Courier New"/>
      <w:sz w:val="20"/>
      <w:szCs w:val="20"/>
    </w:rPr>
  </w:style>
  <w:style w:type="paragraph" w:styleId="HTMLPreformatted">
    <w:name w:val="HTML Preformatted"/>
    <w:basedOn w:val="Normal"/>
    <w:link w:val="HTMLPreformattedChar"/>
    <w:rsid w:val="00232397"/>
    <w:rPr>
      <w:rFonts w:ascii="Courier New" w:hAnsi="Courier New" w:cs="Courier New"/>
      <w:sz w:val="20"/>
    </w:rPr>
  </w:style>
  <w:style w:type="character" w:customStyle="1" w:styleId="HTMLPreformattedChar">
    <w:name w:val="HTML Preformatted Char"/>
    <w:basedOn w:val="DefaultParagraphFont"/>
    <w:link w:val="HTMLPreformatted"/>
    <w:rsid w:val="00980701"/>
    <w:rPr>
      <w:rFonts w:ascii="Courier New" w:hAnsi="Courier New" w:cs="Courier New"/>
      <w:lang w:eastAsia="en-US"/>
    </w:rPr>
  </w:style>
  <w:style w:type="character" w:styleId="HTMLSample">
    <w:name w:val="HTML Sample"/>
    <w:basedOn w:val="DefaultParagraphFont"/>
    <w:rsid w:val="00232397"/>
    <w:rPr>
      <w:rFonts w:ascii="Courier New" w:hAnsi="Courier New" w:cs="Courier New"/>
    </w:rPr>
  </w:style>
  <w:style w:type="character" w:styleId="HTMLTypewriter">
    <w:name w:val="HTML Typewriter"/>
    <w:basedOn w:val="DefaultParagraphFont"/>
    <w:rsid w:val="00232397"/>
    <w:rPr>
      <w:rFonts w:ascii="Courier New" w:hAnsi="Courier New" w:cs="Courier New"/>
      <w:sz w:val="20"/>
      <w:szCs w:val="20"/>
    </w:rPr>
  </w:style>
  <w:style w:type="character" w:styleId="HTMLVariable">
    <w:name w:val="HTML Variable"/>
    <w:basedOn w:val="DefaultParagraphFont"/>
    <w:rsid w:val="00232397"/>
    <w:rPr>
      <w:i/>
      <w:iCs/>
    </w:rPr>
  </w:style>
  <w:style w:type="character" w:styleId="Hyperlink">
    <w:name w:val="Hyperlink"/>
    <w:basedOn w:val="DefaultParagraphFont"/>
    <w:rsid w:val="00232397"/>
    <w:rPr>
      <w:color w:val="0000FF"/>
      <w:u w:val="single"/>
    </w:rPr>
  </w:style>
  <w:style w:type="paragraph" w:styleId="Index1">
    <w:name w:val="index 1"/>
    <w:basedOn w:val="Normal"/>
    <w:next w:val="Normal"/>
    <w:autoRedefine/>
    <w:rsid w:val="00232397"/>
    <w:pPr>
      <w:ind w:left="240" w:hanging="240"/>
    </w:pPr>
  </w:style>
  <w:style w:type="paragraph" w:styleId="Index2">
    <w:name w:val="index 2"/>
    <w:basedOn w:val="Normal"/>
    <w:next w:val="Normal"/>
    <w:autoRedefine/>
    <w:rsid w:val="00232397"/>
    <w:pPr>
      <w:ind w:left="480" w:hanging="240"/>
    </w:pPr>
  </w:style>
  <w:style w:type="paragraph" w:styleId="Index3">
    <w:name w:val="index 3"/>
    <w:basedOn w:val="Normal"/>
    <w:next w:val="Normal"/>
    <w:autoRedefine/>
    <w:rsid w:val="00232397"/>
    <w:pPr>
      <w:ind w:left="720" w:hanging="240"/>
    </w:pPr>
  </w:style>
  <w:style w:type="paragraph" w:styleId="Index4">
    <w:name w:val="index 4"/>
    <w:basedOn w:val="Normal"/>
    <w:next w:val="Normal"/>
    <w:autoRedefine/>
    <w:rsid w:val="00232397"/>
    <w:pPr>
      <w:ind w:left="960" w:hanging="240"/>
    </w:pPr>
  </w:style>
  <w:style w:type="paragraph" w:styleId="Index5">
    <w:name w:val="index 5"/>
    <w:basedOn w:val="Normal"/>
    <w:next w:val="Normal"/>
    <w:autoRedefine/>
    <w:rsid w:val="00232397"/>
    <w:pPr>
      <w:ind w:left="1200" w:hanging="240"/>
    </w:pPr>
  </w:style>
  <w:style w:type="paragraph" w:styleId="Index6">
    <w:name w:val="index 6"/>
    <w:basedOn w:val="Normal"/>
    <w:next w:val="Normal"/>
    <w:autoRedefine/>
    <w:rsid w:val="00232397"/>
    <w:pPr>
      <w:ind w:left="1440" w:hanging="240"/>
    </w:pPr>
  </w:style>
  <w:style w:type="paragraph" w:styleId="Index7">
    <w:name w:val="index 7"/>
    <w:basedOn w:val="Normal"/>
    <w:next w:val="Normal"/>
    <w:autoRedefine/>
    <w:rsid w:val="00232397"/>
    <w:pPr>
      <w:ind w:left="1680" w:hanging="240"/>
    </w:pPr>
  </w:style>
  <w:style w:type="paragraph" w:styleId="Index8">
    <w:name w:val="index 8"/>
    <w:basedOn w:val="Normal"/>
    <w:next w:val="Normal"/>
    <w:autoRedefine/>
    <w:rsid w:val="00232397"/>
    <w:pPr>
      <w:ind w:left="1920" w:hanging="240"/>
    </w:pPr>
  </w:style>
  <w:style w:type="paragraph" w:styleId="Index9">
    <w:name w:val="index 9"/>
    <w:basedOn w:val="Normal"/>
    <w:next w:val="Normal"/>
    <w:autoRedefine/>
    <w:rsid w:val="00232397"/>
    <w:pPr>
      <w:ind w:left="2160" w:hanging="240"/>
    </w:pPr>
  </w:style>
  <w:style w:type="paragraph" w:styleId="IndexHeading">
    <w:name w:val="index heading"/>
    <w:basedOn w:val="Normal"/>
    <w:next w:val="Index1"/>
    <w:rsid w:val="00232397"/>
    <w:rPr>
      <w:b/>
      <w:bCs/>
    </w:rPr>
  </w:style>
  <w:style w:type="character" w:styleId="LineNumber">
    <w:name w:val="line number"/>
    <w:basedOn w:val="DefaultParagraphFont"/>
    <w:rsid w:val="00232397"/>
  </w:style>
  <w:style w:type="paragraph" w:styleId="List">
    <w:name w:val="List"/>
    <w:basedOn w:val="Normal"/>
    <w:rsid w:val="00232397"/>
    <w:pPr>
      <w:ind w:left="283" w:hanging="283"/>
    </w:pPr>
  </w:style>
  <w:style w:type="paragraph" w:styleId="List2">
    <w:name w:val="List 2"/>
    <w:basedOn w:val="Normal"/>
    <w:rsid w:val="00232397"/>
    <w:pPr>
      <w:ind w:left="566" w:hanging="283"/>
    </w:pPr>
  </w:style>
  <w:style w:type="paragraph" w:styleId="List3">
    <w:name w:val="List 3"/>
    <w:basedOn w:val="Normal"/>
    <w:rsid w:val="00232397"/>
    <w:pPr>
      <w:ind w:left="849" w:hanging="283"/>
    </w:pPr>
  </w:style>
  <w:style w:type="paragraph" w:styleId="List4">
    <w:name w:val="List 4"/>
    <w:basedOn w:val="Normal"/>
    <w:rsid w:val="00232397"/>
    <w:pPr>
      <w:ind w:left="1132" w:hanging="283"/>
    </w:pPr>
  </w:style>
  <w:style w:type="paragraph" w:styleId="List5">
    <w:name w:val="List 5"/>
    <w:basedOn w:val="Normal"/>
    <w:rsid w:val="00232397"/>
    <w:pPr>
      <w:ind w:left="1415" w:hanging="283"/>
    </w:pPr>
  </w:style>
  <w:style w:type="paragraph" w:styleId="ListBullet">
    <w:name w:val="List Bullet"/>
    <w:basedOn w:val="Normal"/>
    <w:rsid w:val="00232397"/>
    <w:pPr>
      <w:numPr>
        <w:numId w:val="15"/>
      </w:numPr>
    </w:pPr>
  </w:style>
  <w:style w:type="paragraph" w:styleId="ListBullet2">
    <w:name w:val="List Bullet 2"/>
    <w:basedOn w:val="Normal"/>
    <w:rsid w:val="00232397"/>
    <w:pPr>
      <w:numPr>
        <w:numId w:val="16"/>
      </w:numPr>
    </w:pPr>
  </w:style>
  <w:style w:type="paragraph" w:styleId="ListBullet3">
    <w:name w:val="List Bullet 3"/>
    <w:basedOn w:val="Normal"/>
    <w:rsid w:val="00232397"/>
    <w:pPr>
      <w:numPr>
        <w:numId w:val="17"/>
      </w:numPr>
    </w:pPr>
  </w:style>
  <w:style w:type="paragraph" w:styleId="ListBullet4">
    <w:name w:val="List Bullet 4"/>
    <w:basedOn w:val="Normal"/>
    <w:rsid w:val="00232397"/>
    <w:pPr>
      <w:numPr>
        <w:numId w:val="18"/>
      </w:numPr>
    </w:pPr>
  </w:style>
  <w:style w:type="paragraph" w:styleId="ListBullet5">
    <w:name w:val="List Bullet 5"/>
    <w:basedOn w:val="Normal"/>
    <w:rsid w:val="00232397"/>
    <w:pPr>
      <w:numPr>
        <w:numId w:val="19"/>
      </w:numPr>
    </w:pPr>
  </w:style>
  <w:style w:type="paragraph" w:styleId="ListContinue">
    <w:name w:val="List Continue"/>
    <w:basedOn w:val="Normal"/>
    <w:rsid w:val="00232397"/>
    <w:pPr>
      <w:spacing w:after="120"/>
      <w:ind w:left="283"/>
    </w:pPr>
  </w:style>
  <w:style w:type="paragraph" w:styleId="ListContinue2">
    <w:name w:val="List Continue 2"/>
    <w:basedOn w:val="Normal"/>
    <w:rsid w:val="00232397"/>
    <w:pPr>
      <w:spacing w:after="120"/>
      <w:ind w:left="566"/>
    </w:pPr>
  </w:style>
  <w:style w:type="paragraph" w:styleId="ListContinue3">
    <w:name w:val="List Continue 3"/>
    <w:basedOn w:val="Normal"/>
    <w:rsid w:val="00232397"/>
    <w:pPr>
      <w:spacing w:after="120"/>
      <w:ind w:left="849"/>
    </w:pPr>
  </w:style>
  <w:style w:type="paragraph" w:styleId="ListContinue4">
    <w:name w:val="List Continue 4"/>
    <w:basedOn w:val="Normal"/>
    <w:rsid w:val="00232397"/>
    <w:pPr>
      <w:spacing w:after="120"/>
      <w:ind w:left="1132"/>
    </w:pPr>
  </w:style>
  <w:style w:type="paragraph" w:styleId="ListContinue5">
    <w:name w:val="List Continue 5"/>
    <w:basedOn w:val="Normal"/>
    <w:rsid w:val="00232397"/>
    <w:pPr>
      <w:spacing w:after="120"/>
      <w:ind w:left="1415"/>
    </w:pPr>
  </w:style>
  <w:style w:type="paragraph" w:styleId="ListNumber">
    <w:name w:val="List Number"/>
    <w:basedOn w:val="Normal"/>
    <w:rsid w:val="00232397"/>
    <w:pPr>
      <w:numPr>
        <w:numId w:val="20"/>
      </w:numPr>
    </w:pPr>
  </w:style>
  <w:style w:type="paragraph" w:styleId="ListNumber2">
    <w:name w:val="List Number 2"/>
    <w:basedOn w:val="Normal"/>
    <w:rsid w:val="00232397"/>
    <w:pPr>
      <w:numPr>
        <w:numId w:val="21"/>
      </w:numPr>
    </w:pPr>
  </w:style>
  <w:style w:type="paragraph" w:styleId="ListNumber3">
    <w:name w:val="List Number 3"/>
    <w:basedOn w:val="Normal"/>
    <w:rsid w:val="00232397"/>
    <w:pPr>
      <w:numPr>
        <w:numId w:val="22"/>
      </w:numPr>
    </w:pPr>
  </w:style>
  <w:style w:type="paragraph" w:styleId="ListNumber4">
    <w:name w:val="List Number 4"/>
    <w:basedOn w:val="Normal"/>
    <w:rsid w:val="00232397"/>
    <w:pPr>
      <w:numPr>
        <w:numId w:val="23"/>
      </w:numPr>
    </w:pPr>
  </w:style>
  <w:style w:type="paragraph" w:styleId="ListNumber5">
    <w:name w:val="List Number 5"/>
    <w:basedOn w:val="Normal"/>
    <w:rsid w:val="00232397"/>
    <w:pPr>
      <w:numPr>
        <w:numId w:val="24"/>
      </w:numPr>
    </w:pPr>
  </w:style>
  <w:style w:type="paragraph" w:styleId="ListParagraph">
    <w:name w:val="List Paragraph"/>
    <w:basedOn w:val="Normal"/>
    <w:qFormat/>
    <w:rsid w:val="00232397"/>
    <w:pPr>
      <w:ind w:left="720"/>
    </w:pPr>
    <w:rPr>
      <w:szCs w:val="24"/>
    </w:rPr>
  </w:style>
  <w:style w:type="paragraph" w:styleId="MessageHeader">
    <w:name w:val="Message Header"/>
    <w:basedOn w:val="Normal"/>
    <w:link w:val="MessageHeaderChar"/>
    <w:rsid w:val="0023239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980701"/>
    <w:rPr>
      <w:rFonts w:ascii="Arial" w:hAnsi="Arial" w:cs="Arial"/>
      <w:sz w:val="24"/>
      <w:szCs w:val="24"/>
      <w:shd w:val="pct20" w:color="auto" w:fill="auto"/>
      <w:lang w:eastAsia="en-US"/>
    </w:rPr>
  </w:style>
  <w:style w:type="paragraph" w:styleId="NormalWeb">
    <w:name w:val="Normal (Web)"/>
    <w:basedOn w:val="Normal"/>
    <w:rsid w:val="00232397"/>
    <w:rPr>
      <w:szCs w:val="24"/>
    </w:rPr>
  </w:style>
  <w:style w:type="paragraph" w:styleId="NormalIndent">
    <w:name w:val="Normal Indent"/>
    <w:basedOn w:val="Normal"/>
    <w:rsid w:val="00232397"/>
    <w:pPr>
      <w:ind w:left="720"/>
    </w:pPr>
  </w:style>
  <w:style w:type="paragraph" w:styleId="NoteHeading">
    <w:name w:val="Note Heading"/>
    <w:basedOn w:val="Normal"/>
    <w:next w:val="Normal"/>
    <w:link w:val="NoteHeadingChar"/>
    <w:rsid w:val="00232397"/>
    <w:pPr>
      <w:spacing w:before="120"/>
    </w:pPr>
    <w:rPr>
      <w:b/>
      <w:sz w:val="16"/>
    </w:rPr>
  </w:style>
  <w:style w:type="character" w:customStyle="1" w:styleId="NoteHeadingChar">
    <w:name w:val="Note Heading Char"/>
    <w:basedOn w:val="DefaultParagraphFont"/>
    <w:link w:val="NoteHeading"/>
    <w:rsid w:val="00980701"/>
    <w:rPr>
      <w:rFonts w:ascii="Calibri" w:hAnsi="Calibri"/>
      <w:b/>
      <w:sz w:val="16"/>
      <w:lang w:eastAsia="en-US"/>
    </w:rPr>
  </w:style>
  <w:style w:type="paragraph" w:styleId="Salutation">
    <w:name w:val="Salutation"/>
    <w:basedOn w:val="Normal"/>
    <w:next w:val="Normal"/>
    <w:link w:val="SalutationChar"/>
    <w:rsid w:val="00232397"/>
  </w:style>
  <w:style w:type="character" w:customStyle="1" w:styleId="SalutationChar">
    <w:name w:val="Salutation Char"/>
    <w:basedOn w:val="DefaultParagraphFont"/>
    <w:link w:val="Salutation"/>
    <w:rsid w:val="00980701"/>
    <w:rPr>
      <w:rFonts w:ascii="Calibri" w:hAnsi="Calibri"/>
      <w:sz w:val="24"/>
      <w:lang w:eastAsia="en-US"/>
    </w:rPr>
  </w:style>
  <w:style w:type="paragraph" w:styleId="Signature">
    <w:name w:val="Signature"/>
    <w:basedOn w:val="Normal"/>
    <w:link w:val="SignatureChar"/>
    <w:rsid w:val="00232397"/>
    <w:pPr>
      <w:ind w:left="4252"/>
    </w:pPr>
  </w:style>
  <w:style w:type="character" w:customStyle="1" w:styleId="SignatureChar">
    <w:name w:val="Signature Char"/>
    <w:basedOn w:val="DefaultParagraphFont"/>
    <w:link w:val="Signature"/>
    <w:rsid w:val="00980701"/>
    <w:rPr>
      <w:rFonts w:ascii="Calibri" w:hAnsi="Calibri"/>
      <w:sz w:val="24"/>
      <w:lang w:eastAsia="en-US"/>
    </w:rPr>
  </w:style>
  <w:style w:type="character" w:styleId="Strong">
    <w:name w:val="Strong"/>
    <w:basedOn w:val="DefaultParagraphFont"/>
    <w:qFormat/>
    <w:rsid w:val="00232397"/>
    <w:rPr>
      <w:b/>
      <w:bCs/>
    </w:rPr>
  </w:style>
  <w:style w:type="paragraph" w:styleId="Subtitle">
    <w:name w:val="Subtitle"/>
    <w:basedOn w:val="Normal"/>
    <w:link w:val="SubtitleChar"/>
    <w:qFormat/>
    <w:rsid w:val="00232397"/>
    <w:pPr>
      <w:spacing w:after="60"/>
      <w:jc w:val="center"/>
      <w:outlineLvl w:val="1"/>
    </w:pPr>
    <w:rPr>
      <w:rFonts w:ascii="Arial" w:hAnsi="Arial" w:cs="Arial"/>
      <w:szCs w:val="24"/>
    </w:rPr>
  </w:style>
  <w:style w:type="character" w:customStyle="1" w:styleId="SubtitleChar">
    <w:name w:val="Subtitle Char"/>
    <w:basedOn w:val="DefaultParagraphFont"/>
    <w:link w:val="Subtitle"/>
    <w:rsid w:val="00980701"/>
    <w:rPr>
      <w:rFonts w:ascii="Arial" w:hAnsi="Arial" w:cs="Arial"/>
      <w:sz w:val="24"/>
      <w:szCs w:val="24"/>
      <w:lang w:eastAsia="en-US"/>
    </w:rPr>
  </w:style>
  <w:style w:type="table" w:styleId="Table3Deffects1">
    <w:name w:val="Table 3D effects 1"/>
    <w:basedOn w:val="TableNormal"/>
    <w:rsid w:val="0023239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3239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3239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3239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3239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3239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3239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3239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3239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3239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3239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3239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3239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3239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239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3239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3239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323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3239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3239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3239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3239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3239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3239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3239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3239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232397"/>
    <w:pPr>
      <w:keepNext/>
      <w:jc w:val="center"/>
    </w:pPr>
    <w:rPr>
      <w:b/>
      <w:sz w:val="20"/>
    </w:rPr>
  </w:style>
  <w:style w:type="table" w:styleId="TableList1">
    <w:name w:val="Table List 1"/>
    <w:basedOn w:val="TableNormal"/>
    <w:rsid w:val="0023239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3239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3239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32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3239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3239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3239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3239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umbersRight">
    <w:name w:val="Table Numbers Right"/>
    <w:basedOn w:val="TableHeadingRight"/>
    <w:rsid w:val="00232397"/>
    <w:rPr>
      <w:b w:val="0"/>
    </w:rPr>
  </w:style>
  <w:style w:type="paragraph" w:styleId="TableofAuthorities">
    <w:name w:val="table of authorities"/>
    <w:basedOn w:val="Normal"/>
    <w:next w:val="Normal"/>
    <w:rsid w:val="00232397"/>
    <w:pPr>
      <w:ind w:left="240" w:hanging="240"/>
    </w:pPr>
  </w:style>
  <w:style w:type="paragraph" w:styleId="TableofFigures">
    <w:name w:val="table of figures"/>
    <w:basedOn w:val="Normal"/>
    <w:next w:val="Normal"/>
    <w:rsid w:val="00232397"/>
  </w:style>
  <w:style w:type="table" w:styleId="TableProfessional">
    <w:name w:val="Table Professional"/>
    <w:basedOn w:val="TableNormal"/>
    <w:rsid w:val="0023239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3239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3239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3239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3239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3239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232397"/>
    <w:pPr>
      <w:numPr>
        <w:numId w:val="25"/>
      </w:numPr>
      <w:spacing w:before="60"/>
    </w:pPr>
    <w:rPr>
      <w:rFonts w:ascii="Calibri" w:hAnsi="Calibri"/>
      <w:szCs w:val="24"/>
      <w:lang w:eastAsia="en-US"/>
    </w:rPr>
  </w:style>
  <w:style w:type="paragraph" w:customStyle="1" w:styleId="TableTextLeft">
    <w:name w:val="Table Text Left"/>
    <w:basedOn w:val="Normal"/>
    <w:rsid w:val="00232397"/>
    <w:pPr>
      <w:ind w:left="357" w:hanging="357"/>
    </w:pPr>
    <w:rPr>
      <w:sz w:val="20"/>
      <w:szCs w:val="18"/>
    </w:rPr>
  </w:style>
  <w:style w:type="paragraph" w:customStyle="1" w:styleId="TableTextRightBold">
    <w:name w:val="Table Text Right Bold"/>
    <w:basedOn w:val="Normal"/>
    <w:rsid w:val="00232397"/>
    <w:pPr>
      <w:ind w:left="357" w:hanging="357"/>
      <w:jc w:val="right"/>
    </w:pPr>
    <w:rPr>
      <w:b/>
      <w:sz w:val="20"/>
    </w:rPr>
  </w:style>
  <w:style w:type="table" w:styleId="TableTheme">
    <w:name w:val="Table Theme"/>
    <w:basedOn w:val="TableNormal"/>
    <w:rsid w:val="002323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3239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3239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3239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3239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80701"/>
    <w:rPr>
      <w:rFonts w:ascii="Arial" w:hAnsi="Arial" w:cs="Arial"/>
      <w:b/>
      <w:bCs/>
      <w:kern w:val="28"/>
      <w:sz w:val="32"/>
      <w:szCs w:val="32"/>
      <w:lang w:eastAsia="en-US"/>
    </w:rPr>
  </w:style>
  <w:style w:type="paragraph" w:styleId="TOAHeading">
    <w:name w:val="toa heading"/>
    <w:basedOn w:val="Normal"/>
    <w:next w:val="Normal"/>
    <w:rsid w:val="00232397"/>
    <w:pPr>
      <w:spacing w:before="120"/>
    </w:pPr>
    <w:rPr>
      <w:b/>
      <w:bCs/>
      <w:szCs w:val="24"/>
    </w:rPr>
  </w:style>
  <w:style w:type="paragraph" w:styleId="TOC1">
    <w:name w:val="toc 1"/>
    <w:basedOn w:val="Normal"/>
    <w:next w:val="Normal"/>
    <w:autoRedefine/>
    <w:rsid w:val="00232397"/>
  </w:style>
  <w:style w:type="paragraph" w:styleId="TOC2">
    <w:name w:val="toc 2"/>
    <w:basedOn w:val="Normal"/>
    <w:next w:val="Normal"/>
    <w:autoRedefine/>
    <w:rsid w:val="00232397"/>
    <w:pPr>
      <w:ind w:left="240"/>
    </w:pPr>
  </w:style>
  <w:style w:type="paragraph" w:styleId="TOC3">
    <w:name w:val="toc 3"/>
    <w:basedOn w:val="Normal"/>
    <w:next w:val="Normal"/>
    <w:autoRedefine/>
    <w:rsid w:val="00232397"/>
    <w:pPr>
      <w:ind w:left="480"/>
    </w:pPr>
  </w:style>
  <w:style w:type="paragraph" w:styleId="TOC4">
    <w:name w:val="toc 4"/>
    <w:basedOn w:val="Normal"/>
    <w:next w:val="Normal"/>
    <w:autoRedefine/>
    <w:rsid w:val="00232397"/>
    <w:pPr>
      <w:ind w:left="720"/>
    </w:pPr>
  </w:style>
  <w:style w:type="paragraph" w:styleId="TOC5">
    <w:name w:val="toc 5"/>
    <w:basedOn w:val="Normal"/>
    <w:next w:val="Normal"/>
    <w:autoRedefine/>
    <w:rsid w:val="00232397"/>
    <w:pPr>
      <w:ind w:left="960"/>
    </w:pPr>
  </w:style>
  <w:style w:type="paragraph" w:styleId="TOC6">
    <w:name w:val="toc 6"/>
    <w:basedOn w:val="Normal"/>
    <w:next w:val="Normal"/>
    <w:autoRedefine/>
    <w:rsid w:val="00232397"/>
    <w:pPr>
      <w:ind w:left="1200"/>
    </w:pPr>
  </w:style>
  <w:style w:type="paragraph" w:styleId="TOC7">
    <w:name w:val="toc 7"/>
    <w:basedOn w:val="Normal"/>
    <w:next w:val="Normal"/>
    <w:autoRedefine/>
    <w:rsid w:val="00232397"/>
    <w:pPr>
      <w:ind w:left="1440"/>
    </w:pPr>
  </w:style>
  <w:style w:type="paragraph" w:styleId="TOC8">
    <w:name w:val="toc 8"/>
    <w:basedOn w:val="Normal"/>
    <w:next w:val="Normal"/>
    <w:autoRedefine/>
    <w:rsid w:val="00232397"/>
    <w:pPr>
      <w:ind w:left="1680"/>
    </w:pPr>
  </w:style>
  <w:style w:type="paragraph" w:styleId="TOC9">
    <w:name w:val="toc 9"/>
    <w:basedOn w:val="Normal"/>
    <w:next w:val="Normal"/>
    <w:autoRedefine/>
    <w:rsid w:val="00232397"/>
    <w:pPr>
      <w:ind w:left="1920"/>
    </w:pPr>
  </w:style>
  <w:style w:type="character" w:customStyle="1" w:styleId="Heading1Char">
    <w:name w:val="Heading 1 Char"/>
    <w:basedOn w:val="DefaultParagraphFont"/>
    <w:link w:val="Heading1"/>
    <w:rsid w:val="005B1259"/>
    <w:rPr>
      <w:rFonts w:ascii="Arial" w:hAnsi="Arial"/>
      <w:b/>
      <w:caps/>
      <w:kern w:val="28"/>
      <w:sz w:val="28"/>
      <w:lang w:eastAsia="en-US"/>
    </w:rPr>
  </w:style>
  <w:style w:type="character" w:customStyle="1" w:styleId="Heading4Char">
    <w:name w:val="Heading 4 Char"/>
    <w:basedOn w:val="DefaultParagraphFont"/>
    <w:link w:val="Heading4"/>
    <w:rsid w:val="005B1259"/>
    <w:rPr>
      <w:rFonts w:ascii="Calibri" w:hAnsi="Calibri"/>
      <w:i/>
      <w:sz w:val="24"/>
      <w:lang w:eastAsia="en-US"/>
    </w:rPr>
  </w:style>
  <w:style w:type="character" w:customStyle="1" w:styleId="Heading5Char">
    <w:name w:val="Heading 5 Char"/>
    <w:basedOn w:val="DefaultParagraphFont"/>
    <w:link w:val="Heading5"/>
    <w:rsid w:val="005B1259"/>
    <w:rPr>
      <w:rFonts w:ascii="Calibri" w:hAnsi="Calibri"/>
      <w:b/>
      <w:i/>
      <w:lang w:eastAsia="en-US"/>
    </w:rPr>
  </w:style>
  <w:style w:type="character" w:customStyle="1" w:styleId="Heading8Char">
    <w:name w:val="Heading 8 Char"/>
    <w:basedOn w:val="DefaultParagraphFont"/>
    <w:link w:val="Heading8"/>
    <w:rsid w:val="005B1259"/>
    <w:rPr>
      <w:rFonts w:ascii="Arial" w:hAnsi="Arial"/>
      <w:b/>
      <w:snapToGrid w:val="0"/>
      <w:color w:val="000000"/>
      <w:lang w:eastAsia="en-US"/>
    </w:rPr>
  </w:style>
  <w:style w:type="character" w:customStyle="1" w:styleId="Heading9Char">
    <w:name w:val="Heading 9 Char"/>
    <w:basedOn w:val="DefaultParagraphFont"/>
    <w:link w:val="Heading9"/>
    <w:rsid w:val="005B1259"/>
    <w:rPr>
      <w:rFonts w:ascii="Arial" w:hAnsi="Arial" w:cs="Arial"/>
      <w:b/>
      <w:snapToGrid w:val="0"/>
      <w:color w:val="000000"/>
      <w:sz w:val="18"/>
      <w:lang w:eastAsia="en-US"/>
    </w:rPr>
  </w:style>
  <w:style w:type="character" w:customStyle="1" w:styleId="BodyTextIndent2Char">
    <w:name w:val="Body Text Indent 2 Char"/>
    <w:basedOn w:val="DefaultParagraphFont"/>
    <w:link w:val="BodyTextIndent2"/>
    <w:rsid w:val="005B1259"/>
    <w:rPr>
      <w:rFonts w:ascii="Calibri" w:hAnsi="Calibri"/>
      <w:sz w:val="24"/>
      <w:lang w:eastAsia="en-US"/>
    </w:rPr>
  </w:style>
  <w:style w:type="character" w:customStyle="1" w:styleId="BodyTextIndent3Char">
    <w:name w:val="Body Text Indent 3 Char"/>
    <w:basedOn w:val="DefaultParagraphFont"/>
    <w:link w:val="BodyTextIndent3"/>
    <w:rsid w:val="005B1259"/>
    <w:rPr>
      <w:rFonts w:ascii="Calibri" w:hAnsi="Calibri"/>
      <w:sz w:val="24"/>
      <w:szCs w:val="24"/>
      <w:lang w:eastAsia="en-US"/>
    </w:rPr>
  </w:style>
  <w:style w:type="character" w:customStyle="1" w:styleId="HeaderChar">
    <w:name w:val="Header Char"/>
    <w:basedOn w:val="DefaultParagraphFont"/>
    <w:link w:val="Header"/>
    <w:rsid w:val="005B1259"/>
    <w:rPr>
      <w:rFonts w:ascii="Calibri" w:hAnsi="Calibri"/>
      <w:sz w:val="24"/>
      <w:lang w:eastAsia="en-US"/>
    </w:rPr>
  </w:style>
  <w:style w:type="character" w:customStyle="1" w:styleId="FooterChar">
    <w:name w:val="Footer Char"/>
    <w:basedOn w:val="DefaultParagraphFont"/>
    <w:link w:val="Footer"/>
    <w:rsid w:val="005B1259"/>
    <w:rPr>
      <w:rFonts w:ascii="Calibri" w:hAnsi="Calibri"/>
      <w:sz w:val="24"/>
      <w:lang w:eastAsia="en-US"/>
    </w:rPr>
  </w:style>
  <w:style w:type="character" w:customStyle="1" w:styleId="PlainTextChar">
    <w:name w:val="Plain Text Char"/>
    <w:basedOn w:val="DefaultParagraphFont"/>
    <w:link w:val="PlainText"/>
    <w:rsid w:val="005B1259"/>
    <w:rPr>
      <w:rFonts w:ascii="Calibri" w:hAnsi="Calibri"/>
      <w:lang w:val="en-US" w:eastAsia="en-US"/>
    </w:rPr>
  </w:style>
  <w:style w:type="character" w:customStyle="1" w:styleId="BalloonTextChar">
    <w:name w:val="Balloon Text Char"/>
    <w:basedOn w:val="DefaultParagraphFont"/>
    <w:link w:val="BalloonText"/>
    <w:semiHidden/>
    <w:rsid w:val="005B1259"/>
    <w:rPr>
      <w:rFonts w:ascii="Tahoma" w:hAnsi="Tahoma" w:cs="Tahoma"/>
      <w:sz w:val="16"/>
      <w:szCs w:val="16"/>
      <w:lang w:eastAsia="en-US"/>
    </w:rPr>
  </w:style>
  <w:style w:type="paragraph" w:customStyle="1" w:styleId="para">
    <w:name w:val="para"/>
    <w:basedOn w:val="Normal"/>
    <w:rsid w:val="00876A1C"/>
    <w:pPr>
      <w:spacing w:before="120" w:line="300" w:lineRule="atLeast"/>
      <w:ind w:left="567"/>
    </w:pPr>
    <w:rPr>
      <w:rFonts w:ascii="Times" w:hAnsi="Times"/>
      <w:sz w:val="20"/>
    </w:rPr>
  </w:style>
  <w:style w:type="character" w:customStyle="1" w:styleId="AINotesChar">
    <w:name w:val="AI Notes Char"/>
    <w:basedOn w:val="DefaultParagraphFont"/>
    <w:link w:val="AINotes"/>
    <w:locked/>
    <w:rsid w:val="00587EAC"/>
    <w:rPr>
      <w:rFonts w:ascii="Calibri" w:hAnsi="Calibri"/>
      <w:sz w:val="16"/>
      <w:lang w:eastAsia="en-US"/>
    </w:rPr>
  </w:style>
  <w:style w:type="paragraph" w:customStyle="1" w:styleId="Default">
    <w:name w:val="Default"/>
    <w:rsid w:val="00657EA5"/>
    <w:pPr>
      <w:autoSpaceDE w:val="0"/>
      <w:autoSpaceDN w:val="0"/>
      <w:adjustRightInd w:val="0"/>
    </w:pPr>
    <w:rPr>
      <w:rFonts w:ascii="Calibri" w:hAnsi="Calibri" w:cs="Calibri"/>
      <w:color w:val="000000"/>
      <w:sz w:val="24"/>
      <w:szCs w:val="24"/>
    </w:rPr>
  </w:style>
  <w:style w:type="character" w:customStyle="1" w:styleId="Heading3Char1">
    <w:name w:val="Heading 3 Char1"/>
    <w:basedOn w:val="DefaultParagraphFont"/>
    <w:rsid w:val="006339DB"/>
    <w:rPr>
      <w:rFonts w:ascii="Arial" w:hAnsi="Arial" w:cs="Arial"/>
      <w:b/>
      <w:bCs/>
      <w:sz w:val="24"/>
      <w:szCs w:val="26"/>
      <w:lang w:val="en-AU" w:eastAsia="en-US" w:bidi="ar-SA"/>
    </w:rPr>
  </w:style>
  <w:style w:type="paragraph" w:customStyle="1" w:styleId="Noteheading0">
    <w:name w:val="Note heading"/>
    <w:basedOn w:val="Normal"/>
    <w:autoRedefine/>
    <w:semiHidden/>
    <w:rsid w:val="006339DB"/>
    <w:pPr>
      <w:spacing w:before="120"/>
      <w:ind w:left="28"/>
    </w:pPr>
    <w:rPr>
      <w:b/>
      <w:bCs/>
      <w:sz w:val="20"/>
    </w:rPr>
  </w:style>
  <w:style w:type="character" w:customStyle="1" w:styleId="BodyTextIndentChar1">
    <w:name w:val="Body Text Indent Char1"/>
    <w:basedOn w:val="DefaultParagraphFont"/>
    <w:rsid w:val="006339DB"/>
    <w:rPr>
      <w:sz w:val="24"/>
      <w:szCs w:val="24"/>
      <w:lang w:val="en-AU" w:eastAsia="en-US" w:bidi="ar-SA"/>
    </w:rPr>
  </w:style>
  <w:style w:type="paragraph" w:customStyle="1" w:styleId="TableTextNumbersBold">
    <w:name w:val="Table Text Numbers Bold"/>
    <w:basedOn w:val="Normal"/>
    <w:rsid w:val="006339DB"/>
    <w:pPr>
      <w:jc w:val="right"/>
    </w:pPr>
    <w:rPr>
      <w:b/>
      <w:sz w:val="18"/>
    </w:rPr>
  </w:style>
  <w:style w:type="paragraph" w:customStyle="1" w:styleId="TableHeading">
    <w:name w:val="Table Heading"/>
    <w:basedOn w:val="Normal"/>
    <w:rsid w:val="006339DB"/>
    <w:pPr>
      <w:spacing w:after="120"/>
      <w:jc w:val="center"/>
    </w:pPr>
    <w:rPr>
      <w:rFonts w:ascii="Arial" w:hAnsi="Arial"/>
      <w:b/>
    </w:rPr>
  </w:style>
  <w:style w:type="paragraph" w:customStyle="1" w:styleId="TableTextLeftBoldparassmaller">
    <w:name w:val="Table Text Left Bold paras smaller"/>
    <w:basedOn w:val="TableTextLeftBold"/>
    <w:rsid w:val="006339DB"/>
    <w:pPr>
      <w:keepNext/>
      <w:spacing w:before="20" w:after="20"/>
      <w:ind w:left="164" w:hanging="164"/>
    </w:pPr>
    <w:rPr>
      <w:sz w:val="18"/>
    </w:rPr>
  </w:style>
  <w:style w:type="paragraph" w:customStyle="1" w:styleId="TableTextNumbersCentred">
    <w:name w:val="Table Text Numbers Centred"/>
    <w:basedOn w:val="Normal"/>
    <w:rsid w:val="006339DB"/>
    <w:pPr>
      <w:jc w:val="center"/>
    </w:pPr>
    <w:rPr>
      <w:sz w:val="18"/>
      <w:szCs w:val="18"/>
    </w:rPr>
  </w:style>
  <w:style w:type="paragraph" w:customStyle="1" w:styleId="aNoteText">
    <w:name w:val="a) Note Text"/>
    <w:basedOn w:val="NoteText"/>
    <w:rsid w:val="006339DB"/>
  </w:style>
  <w:style w:type="paragraph" w:customStyle="1" w:styleId="NoteTexta">
    <w:name w:val="Note Text a)"/>
    <w:basedOn w:val="NoteText"/>
    <w:rsid w:val="006339DB"/>
  </w:style>
  <w:style w:type="paragraph" w:customStyle="1" w:styleId="NoteTexta0">
    <w:name w:val="Note Text a"/>
    <w:basedOn w:val="NoteText"/>
    <w:rsid w:val="006339DB"/>
    <w:pPr>
      <w:tabs>
        <w:tab w:val="num" w:pos="357"/>
      </w:tabs>
      <w:ind w:left="357" w:hanging="357"/>
    </w:pPr>
  </w:style>
  <w:style w:type="paragraph" w:customStyle="1" w:styleId="TableFootnoteText">
    <w:name w:val="Table Footnote Text"/>
    <w:basedOn w:val="FootnoteText"/>
    <w:autoRedefine/>
    <w:rsid w:val="006339DB"/>
    <w:pPr>
      <w:keepNext/>
      <w:tabs>
        <w:tab w:val="left" w:pos="426"/>
      </w:tabs>
      <w:spacing w:after="120"/>
      <w:contextualSpacing/>
      <w:jc w:val="both"/>
    </w:pPr>
    <w:rPr>
      <w:i/>
      <w:iCs/>
      <w:sz w:val="16"/>
      <w:szCs w:val="16"/>
    </w:rPr>
  </w:style>
  <w:style w:type="paragraph" w:customStyle="1" w:styleId="TableTextNumbers">
    <w:name w:val="Table Text Numbers"/>
    <w:basedOn w:val="Normal"/>
    <w:autoRedefine/>
    <w:rsid w:val="006339DB"/>
    <w:pPr>
      <w:spacing w:before="60" w:after="60"/>
      <w:jc w:val="right"/>
    </w:pPr>
    <w:rPr>
      <w:sz w:val="18"/>
      <w:szCs w:val="18"/>
    </w:rPr>
  </w:style>
  <w:style w:type="paragraph" w:customStyle="1" w:styleId="TableTextLeftNoIndent">
    <w:name w:val="Table Text Left No Indent"/>
    <w:basedOn w:val="TableTextLeft"/>
    <w:autoRedefine/>
    <w:rsid w:val="006339DB"/>
    <w:pPr>
      <w:spacing w:before="40" w:after="40"/>
      <w:ind w:left="0" w:firstLine="0"/>
    </w:pPr>
    <w:rPr>
      <w:lang w:val="en-GB"/>
    </w:rPr>
  </w:style>
  <w:style w:type="paragraph" w:customStyle="1" w:styleId="BodyText1">
    <w:name w:val="Body Text 1"/>
    <w:basedOn w:val="Normal"/>
    <w:rsid w:val="006339DB"/>
    <w:pPr>
      <w:jc w:val="both"/>
    </w:pPr>
  </w:style>
  <w:style w:type="paragraph" w:customStyle="1" w:styleId="PText">
    <w:name w:val="PText"/>
    <w:basedOn w:val="Normal"/>
    <w:rsid w:val="006339DB"/>
    <w:rPr>
      <w:sz w:val="20"/>
    </w:rPr>
  </w:style>
  <w:style w:type="paragraph" w:customStyle="1" w:styleId="Sub-Heading3">
    <w:name w:val="Sub-Heading 3"/>
    <w:basedOn w:val="Sub-Heading2"/>
    <w:rsid w:val="006339DB"/>
    <w:pPr>
      <w:keepNext w:val="0"/>
      <w:keepLines w:val="0"/>
      <w:spacing w:after="0"/>
      <w:jc w:val="left"/>
    </w:pPr>
    <w:rPr>
      <w:sz w:val="20"/>
      <w:szCs w:val="24"/>
    </w:rPr>
  </w:style>
  <w:style w:type="paragraph" w:customStyle="1" w:styleId="Tableformat">
    <w:name w:val="Table format"/>
    <w:basedOn w:val="BodyText"/>
    <w:rsid w:val="006339DB"/>
    <w:pPr>
      <w:keepLines w:val="0"/>
      <w:spacing w:before="100" w:beforeAutospacing="1" w:after="100" w:afterAutospacing="1"/>
    </w:pPr>
    <w:rPr>
      <w:b/>
      <w:bCs/>
      <w:color w:val="000000"/>
      <w:sz w:val="20"/>
      <w:szCs w:val="24"/>
    </w:rPr>
  </w:style>
  <w:style w:type="paragraph" w:customStyle="1" w:styleId="Text">
    <w:name w:val="Text"/>
    <w:basedOn w:val="Normal"/>
    <w:rsid w:val="006339DB"/>
    <w:pPr>
      <w:jc w:val="both"/>
    </w:pPr>
  </w:style>
  <w:style w:type="paragraph" w:customStyle="1" w:styleId="Sub-Heading1">
    <w:name w:val="Sub-Heading 1"/>
    <w:basedOn w:val="Normal"/>
    <w:next w:val="Normal"/>
    <w:autoRedefine/>
    <w:rsid w:val="006339DB"/>
    <w:pPr>
      <w:keepNext/>
      <w:spacing w:before="240" w:after="240"/>
      <w:outlineLvl w:val="0"/>
    </w:pPr>
    <w:rPr>
      <w:rFonts w:ascii="Arial" w:hAnsi="Arial"/>
      <w:i/>
    </w:rPr>
  </w:style>
  <w:style w:type="paragraph" w:customStyle="1" w:styleId="Sub-Headings">
    <w:name w:val="Sub-Headings"/>
    <w:basedOn w:val="Normal"/>
    <w:rsid w:val="006339DB"/>
    <w:pPr>
      <w:keepNext/>
      <w:spacing w:before="240" w:after="120"/>
      <w:outlineLvl w:val="0"/>
    </w:pPr>
    <w:rPr>
      <w:rFonts w:ascii="Arial" w:hAnsi="Arial" w:cs="Arial"/>
      <w:bCs/>
      <w:i/>
    </w:rPr>
  </w:style>
  <w:style w:type="paragraph" w:customStyle="1" w:styleId="AIBlurb0">
    <w:name w:val="AI Blurb"/>
    <w:basedOn w:val="Normal"/>
    <w:rsid w:val="006339DB"/>
    <w:pPr>
      <w:jc w:val="both"/>
    </w:pPr>
    <w:rPr>
      <w:rFonts w:ascii="Times New (W1)" w:hAnsi="Times New (W1)"/>
      <w:sz w:val="20"/>
    </w:rPr>
  </w:style>
  <w:style w:type="paragraph" w:customStyle="1" w:styleId="TableGraphic">
    <w:name w:val="TableGraphic"/>
    <w:basedOn w:val="Normal"/>
    <w:next w:val="Normal"/>
    <w:rsid w:val="006339DB"/>
    <w:pPr>
      <w:keepNext/>
      <w:spacing w:after="20"/>
      <w:ind w:right="-113"/>
    </w:pPr>
    <w:rPr>
      <w:rFonts w:ascii="Tahoma" w:hAnsi="Tahoma" w:cs="Tahoma"/>
      <w:b/>
      <w:bCs/>
      <w:color w:val="000000"/>
      <w:sz w:val="20"/>
    </w:rPr>
  </w:style>
  <w:style w:type="paragraph" w:customStyle="1" w:styleId="TableText">
    <w:name w:val="TableText"/>
    <w:basedOn w:val="BodyText"/>
    <w:rsid w:val="006339DB"/>
    <w:pPr>
      <w:keepNext w:val="0"/>
      <w:keepLines w:val="0"/>
      <w:spacing w:before="100" w:beforeAutospacing="1" w:afterAutospacing="1"/>
      <w:jc w:val="left"/>
    </w:pPr>
    <w:rPr>
      <w:rFonts w:ascii="Arial" w:hAnsi="Arial"/>
      <w:color w:val="000000"/>
      <w:kern w:val="28"/>
      <w:sz w:val="22"/>
      <w:szCs w:val="24"/>
    </w:rPr>
  </w:style>
  <w:style w:type="paragraph" w:customStyle="1" w:styleId="Chapters">
    <w:name w:val="Chapters"/>
    <w:basedOn w:val="Normal"/>
    <w:rsid w:val="006339DB"/>
    <w:pPr>
      <w:tabs>
        <w:tab w:val="left" w:pos="284"/>
        <w:tab w:val="left" w:pos="1985"/>
        <w:tab w:val="left" w:pos="7797"/>
        <w:tab w:val="right" w:pos="8505"/>
      </w:tabs>
    </w:pPr>
    <w:rPr>
      <w:rFonts w:ascii="Arial" w:hAnsi="Arial"/>
      <w:b/>
      <w:sz w:val="28"/>
    </w:rPr>
  </w:style>
  <w:style w:type="paragraph" w:customStyle="1" w:styleId="Text1">
    <w:name w:val="Text 1"/>
    <w:basedOn w:val="Normal"/>
    <w:rsid w:val="006339DB"/>
    <w:pPr>
      <w:jc w:val="both"/>
    </w:pPr>
    <w:rPr>
      <w:rFonts w:ascii="Arial" w:hAnsi="Arial"/>
    </w:rPr>
  </w:style>
  <w:style w:type="paragraph" w:customStyle="1" w:styleId="Footnote">
    <w:name w:val="Footnote"/>
    <w:basedOn w:val="Normal"/>
    <w:rsid w:val="006339DB"/>
    <w:rPr>
      <w:vertAlign w:val="superscript"/>
      <w:lang w:eastAsia="en-AU"/>
    </w:rPr>
  </w:style>
  <w:style w:type="paragraph" w:customStyle="1" w:styleId="MajorHeading">
    <w:name w:val="Major Heading"/>
    <w:basedOn w:val="Normal"/>
    <w:rsid w:val="006339DB"/>
    <w:pPr>
      <w:pBdr>
        <w:bottom w:val="single" w:sz="18" w:space="1" w:color="auto"/>
      </w:pBdr>
      <w:tabs>
        <w:tab w:val="right" w:pos="9072"/>
      </w:tabs>
      <w:spacing w:before="240" w:after="240"/>
    </w:pPr>
    <w:rPr>
      <w:rFonts w:ascii="Arial" w:hAnsi="Arial" w:cs="Arial"/>
      <w:b/>
      <w:bCs/>
      <w:caps/>
      <w:sz w:val="28"/>
      <w:szCs w:val="28"/>
      <w:lang w:val="en-GB"/>
    </w:rPr>
  </w:style>
  <w:style w:type="paragraph" w:customStyle="1" w:styleId="Notes-Graph">
    <w:name w:val="Notes - Graph"/>
    <w:basedOn w:val="n"/>
    <w:rsid w:val="006339DB"/>
    <w:pPr>
      <w:spacing w:before="20" w:after="120"/>
    </w:pPr>
    <w:rPr>
      <w:iCs/>
      <w:szCs w:val="20"/>
    </w:rPr>
  </w:style>
  <w:style w:type="paragraph" w:customStyle="1" w:styleId="TableText1">
    <w:name w:val="Table Text 1"/>
    <w:basedOn w:val="Normal"/>
    <w:rsid w:val="006339DB"/>
    <w:rPr>
      <w:sz w:val="18"/>
      <w:lang w:eastAsia="en-AU"/>
    </w:rPr>
  </w:style>
  <w:style w:type="paragraph" w:customStyle="1" w:styleId="TableTextHeading1">
    <w:name w:val="Table Text Heading 1"/>
    <w:basedOn w:val="Normal"/>
    <w:rsid w:val="006339DB"/>
    <w:pPr>
      <w:jc w:val="right"/>
    </w:pPr>
    <w:rPr>
      <w:b/>
      <w:sz w:val="18"/>
      <w:lang w:eastAsia="en-AU"/>
    </w:rPr>
  </w:style>
  <w:style w:type="paragraph" w:customStyle="1" w:styleId="TableTextHeading2">
    <w:name w:val="Table Text Heading 2"/>
    <w:basedOn w:val="Normal"/>
    <w:rsid w:val="006339DB"/>
    <w:rPr>
      <w:b/>
      <w:sz w:val="18"/>
      <w:lang w:eastAsia="en-AU"/>
    </w:rPr>
  </w:style>
  <w:style w:type="paragraph" w:customStyle="1" w:styleId="TableTextTotals">
    <w:name w:val="Table Text Totals"/>
    <w:basedOn w:val="Normal"/>
    <w:rsid w:val="006339DB"/>
    <w:pPr>
      <w:jc w:val="right"/>
    </w:pPr>
    <w:rPr>
      <w:b/>
      <w:sz w:val="18"/>
      <w:lang w:eastAsia="en-AU"/>
    </w:rPr>
  </w:style>
  <w:style w:type="paragraph" w:customStyle="1" w:styleId="xl30">
    <w:name w:val="xl30"/>
    <w:basedOn w:val="Normal"/>
    <w:rsid w:val="006339DB"/>
    <w:pPr>
      <w:spacing w:before="100" w:beforeAutospacing="1" w:after="100" w:afterAutospacing="1"/>
    </w:pPr>
    <w:rPr>
      <w:rFonts w:eastAsia="Arial Unicode MS"/>
      <w:b/>
      <w:bCs/>
      <w:sz w:val="18"/>
      <w:szCs w:val="18"/>
    </w:rPr>
  </w:style>
  <w:style w:type="paragraph" w:styleId="DocumentMap">
    <w:name w:val="Document Map"/>
    <w:basedOn w:val="Normal"/>
    <w:link w:val="DocumentMapChar"/>
    <w:rsid w:val="006339DB"/>
    <w:pPr>
      <w:shd w:val="clear" w:color="auto" w:fill="000080"/>
    </w:pPr>
    <w:rPr>
      <w:rFonts w:ascii="Tahoma" w:hAnsi="Tahoma" w:cs="Tahoma"/>
      <w:sz w:val="20"/>
    </w:rPr>
  </w:style>
  <w:style w:type="character" w:customStyle="1" w:styleId="DocumentMapChar">
    <w:name w:val="Document Map Char"/>
    <w:basedOn w:val="DefaultParagraphFont"/>
    <w:link w:val="DocumentMap"/>
    <w:rsid w:val="006339DB"/>
    <w:rPr>
      <w:rFonts w:ascii="Tahoma" w:hAnsi="Tahoma" w:cs="Tahoma"/>
      <w:shd w:val="clear" w:color="auto" w:fill="000080"/>
      <w:lang w:eastAsia="en-US"/>
    </w:rPr>
  </w:style>
  <w:style w:type="paragraph" w:styleId="Revision">
    <w:name w:val="Revision"/>
    <w:hidden/>
    <w:uiPriority w:val="99"/>
    <w:semiHidden/>
    <w:rsid w:val="006339DB"/>
    <w:rPr>
      <w:rFonts w:ascii="Calibri" w:hAnsi="Calibri"/>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51005">
      <w:bodyDiv w:val="1"/>
      <w:marLeft w:val="0"/>
      <w:marRight w:val="0"/>
      <w:marTop w:val="0"/>
      <w:marBottom w:val="0"/>
      <w:divBdr>
        <w:top w:val="none" w:sz="0" w:space="0" w:color="auto"/>
        <w:left w:val="none" w:sz="0" w:space="0" w:color="auto"/>
        <w:bottom w:val="none" w:sz="0" w:space="0" w:color="auto"/>
        <w:right w:val="none" w:sz="0" w:space="0" w:color="auto"/>
      </w:divBdr>
    </w:div>
    <w:div w:id="68233359">
      <w:bodyDiv w:val="1"/>
      <w:marLeft w:val="0"/>
      <w:marRight w:val="0"/>
      <w:marTop w:val="0"/>
      <w:marBottom w:val="0"/>
      <w:divBdr>
        <w:top w:val="none" w:sz="0" w:space="0" w:color="auto"/>
        <w:left w:val="none" w:sz="0" w:space="0" w:color="auto"/>
        <w:bottom w:val="none" w:sz="0" w:space="0" w:color="auto"/>
        <w:right w:val="none" w:sz="0" w:space="0" w:color="auto"/>
      </w:divBdr>
    </w:div>
    <w:div w:id="236332933">
      <w:bodyDiv w:val="1"/>
      <w:marLeft w:val="0"/>
      <w:marRight w:val="0"/>
      <w:marTop w:val="0"/>
      <w:marBottom w:val="0"/>
      <w:divBdr>
        <w:top w:val="none" w:sz="0" w:space="0" w:color="auto"/>
        <w:left w:val="none" w:sz="0" w:space="0" w:color="auto"/>
        <w:bottom w:val="none" w:sz="0" w:space="0" w:color="auto"/>
        <w:right w:val="none" w:sz="0" w:space="0" w:color="auto"/>
      </w:divBdr>
    </w:div>
    <w:div w:id="296188424">
      <w:bodyDiv w:val="1"/>
      <w:marLeft w:val="0"/>
      <w:marRight w:val="0"/>
      <w:marTop w:val="0"/>
      <w:marBottom w:val="0"/>
      <w:divBdr>
        <w:top w:val="none" w:sz="0" w:space="0" w:color="auto"/>
        <w:left w:val="none" w:sz="0" w:space="0" w:color="auto"/>
        <w:bottom w:val="none" w:sz="0" w:space="0" w:color="auto"/>
        <w:right w:val="none" w:sz="0" w:space="0" w:color="auto"/>
      </w:divBdr>
    </w:div>
    <w:div w:id="415707303">
      <w:bodyDiv w:val="1"/>
      <w:marLeft w:val="0"/>
      <w:marRight w:val="0"/>
      <w:marTop w:val="0"/>
      <w:marBottom w:val="0"/>
      <w:divBdr>
        <w:top w:val="none" w:sz="0" w:space="0" w:color="auto"/>
        <w:left w:val="none" w:sz="0" w:space="0" w:color="auto"/>
        <w:bottom w:val="none" w:sz="0" w:space="0" w:color="auto"/>
        <w:right w:val="none" w:sz="0" w:space="0" w:color="auto"/>
      </w:divBdr>
    </w:div>
    <w:div w:id="459493677">
      <w:bodyDiv w:val="1"/>
      <w:marLeft w:val="0"/>
      <w:marRight w:val="0"/>
      <w:marTop w:val="0"/>
      <w:marBottom w:val="0"/>
      <w:divBdr>
        <w:top w:val="none" w:sz="0" w:space="0" w:color="auto"/>
        <w:left w:val="none" w:sz="0" w:space="0" w:color="auto"/>
        <w:bottom w:val="none" w:sz="0" w:space="0" w:color="auto"/>
        <w:right w:val="none" w:sz="0" w:space="0" w:color="auto"/>
      </w:divBdr>
    </w:div>
    <w:div w:id="581187590">
      <w:bodyDiv w:val="1"/>
      <w:marLeft w:val="0"/>
      <w:marRight w:val="0"/>
      <w:marTop w:val="0"/>
      <w:marBottom w:val="0"/>
      <w:divBdr>
        <w:top w:val="none" w:sz="0" w:space="0" w:color="auto"/>
        <w:left w:val="none" w:sz="0" w:space="0" w:color="auto"/>
        <w:bottom w:val="none" w:sz="0" w:space="0" w:color="auto"/>
        <w:right w:val="none" w:sz="0" w:space="0" w:color="auto"/>
      </w:divBdr>
    </w:div>
    <w:div w:id="833451248">
      <w:bodyDiv w:val="1"/>
      <w:marLeft w:val="0"/>
      <w:marRight w:val="0"/>
      <w:marTop w:val="0"/>
      <w:marBottom w:val="0"/>
      <w:divBdr>
        <w:top w:val="none" w:sz="0" w:space="0" w:color="auto"/>
        <w:left w:val="none" w:sz="0" w:space="0" w:color="auto"/>
        <w:bottom w:val="none" w:sz="0" w:space="0" w:color="auto"/>
        <w:right w:val="none" w:sz="0" w:space="0" w:color="auto"/>
      </w:divBdr>
    </w:div>
    <w:div w:id="849485745">
      <w:bodyDiv w:val="1"/>
      <w:marLeft w:val="0"/>
      <w:marRight w:val="0"/>
      <w:marTop w:val="0"/>
      <w:marBottom w:val="0"/>
      <w:divBdr>
        <w:top w:val="none" w:sz="0" w:space="0" w:color="auto"/>
        <w:left w:val="none" w:sz="0" w:space="0" w:color="auto"/>
        <w:bottom w:val="none" w:sz="0" w:space="0" w:color="auto"/>
        <w:right w:val="none" w:sz="0" w:space="0" w:color="auto"/>
      </w:divBdr>
    </w:div>
    <w:div w:id="1013726642">
      <w:bodyDiv w:val="1"/>
      <w:marLeft w:val="0"/>
      <w:marRight w:val="0"/>
      <w:marTop w:val="0"/>
      <w:marBottom w:val="0"/>
      <w:divBdr>
        <w:top w:val="none" w:sz="0" w:space="0" w:color="auto"/>
        <w:left w:val="none" w:sz="0" w:space="0" w:color="auto"/>
        <w:bottom w:val="none" w:sz="0" w:space="0" w:color="auto"/>
        <w:right w:val="none" w:sz="0" w:space="0" w:color="auto"/>
      </w:divBdr>
    </w:div>
    <w:div w:id="1380933110">
      <w:bodyDiv w:val="1"/>
      <w:marLeft w:val="0"/>
      <w:marRight w:val="0"/>
      <w:marTop w:val="0"/>
      <w:marBottom w:val="0"/>
      <w:divBdr>
        <w:top w:val="none" w:sz="0" w:space="0" w:color="auto"/>
        <w:left w:val="none" w:sz="0" w:space="0" w:color="auto"/>
        <w:bottom w:val="none" w:sz="0" w:space="0" w:color="auto"/>
        <w:right w:val="none" w:sz="0" w:space="0" w:color="auto"/>
      </w:divBdr>
    </w:div>
    <w:div w:id="150019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B22DC-D69E-493C-8697-F0DF957B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7183</Words>
  <Characters>40307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DEPARTMENT OF TREASURY</vt:lpstr>
    </vt:vector>
  </TitlesOfParts>
  <Company>ACT Government</Company>
  <LinksUpToDate>false</LinksUpToDate>
  <CharactersWithSpaces>47396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Appendix F - Discontinued Agencies</dc:title>
  <dc:subject>Appendix F - Discontinued Agencies</dc:subject>
  <dc:creator>Chief Minister and Treasury Directorate</dc:creator>
  <cp:lastModifiedBy>Keaton Paterson</cp:lastModifiedBy>
  <cp:revision>4</cp:revision>
  <cp:lastPrinted>2013-05-22T05:39:00Z</cp:lastPrinted>
  <dcterms:created xsi:type="dcterms:W3CDTF">2013-05-29T04:32:00Z</dcterms:created>
  <dcterms:modified xsi:type="dcterms:W3CDTF">2013-05-30T07:23:00Z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