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65" w:rsidRDefault="00094D65">
      <w:pPr>
        <w:pStyle w:val="Heading1"/>
      </w:pPr>
      <w:r>
        <w:t>HOME LOAN PORTFOLI</w:t>
      </w:r>
      <w:r w:rsidR="00295592">
        <w:t>O</w:t>
      </w:r>
    </w:p>
    <w:p w:rsidR="00094D65" w:rsidRDefault="00094D65">
      <w:pPr>
        <w:pStyle w:val="Heading3"/>
      </w:pPr>
      <w:bookmarkStart w:id="0" w:name="_Toc95285378"/>
      <w:r>
        <w:t>Purpose</w:t>
      </w:r>
    </w:p>
    <w:p w:rsidR="00094D65" w:rsidRPr="00CB53EC" w:rsidRDefault="00094D65" w:rsidP="00CB53EC">
      <w:pPr>
        <w:pStyle w:val="BodyText"/>
      </w:pPr>
      <w:r w:rsidRPr="00CB53EC">
        <w:t>The Home Loan Portfolio is responsible for the administration of home loans, which were granted by the Commissioner for ACT Housing to assist low</w:t>
      </w:r>
      <w:r w:rsidRPr="00CB53EC">
        <w:noBreakHyphen/>
        <w:t xml:space="preserve">income households in achieving home ownership.  All </w:t>
      </w:r>
      <w:r w:rsidR="002202F2">
        <w:t xml:space="preserve">ACT Government home </w:t>
      </w:r>
      <w:proofErr w:type="gramStart"/>
      <w:r w:rsidR="002202F2">
        <w:t>buyer</w:t>
      </w:r>
      <w:proofErr w:type="gramEnd"/>
      <w:r w:rsidR="002202F2">
        <w:t xml:space="preserve"> lending ceased in 1996</w:t>
      </w:r>
      <w:r w:rsidRPr="00CB53EC">
        <w:t>.</w:t>
      </w:r>
    </w:p>
    <w:p w:rsidR="00094D65" w:rsidRPr="00CB53EC" w:rsidRDefault="00094D65" w:rsidP="00CB53EC">
      <w:pPr>
        <w:pStyle w:val="BodyText"/>
      </w:pPr>
      <w:r w:rsidRPr="00CB53EC">
        <w:t>The Portfolio’s objective is to administer the remaining home loans effectively and efficiently.</w:t>
      </w:r>
    </w:p>
    <w:p w:rsidR="00094D65" w:rsidRDefault="00094D65">
      <w:pPr>
        <w:pStyle w:val="Heading3"/>
      </w:pPr>
      <w:r>
        <w:t>201</w:t>
      </w:r>
      <w:r w:rsidR="004C60C8">
        <w:t>3</w:t>
      </w:r>
      <w:r>
        <w:noBreakHyphen/>
        <w:t>1</w:t>
      </w:r>
      <w:r w:rsidR="004C60C8">
        <w:t>4</w:t>
      </w:r>
      <w:r>
        <w:t xml:space="preserve"> Priorities</w:t>
      </w:r>
    </w:p>
    <w:p w:rsidR="00094D65" w:rsidRDefault="00094D65">
      <w:pPr>
        <w:pStyle w:val="BodyText"/>
      </w:pPr>
      <w:r>
        <w:t>Strategic and operational issues to be pursued in 201</w:t>
      </w:r>
      <w:r w:rsidR="004C60C8">
        <w:t>3</w:t>
      </w:r>
      <w:r>
        <w:noBreakHyphen/>
        <w:t>1</w:t>
      </w:r>
      <w:r w:rsidR="004C60C8">
        <w:t>4</w:t>
      </w:r>
      <w:r>
        <w:t xml:space="preserve"> include:</w:t>
      </w:r>
    </w:p>
    <w:p w:rsidR="00094D65" w:rsidRPr="00CB53EC" w:rsidRDefault="00094D65" w:rsidP="00CB53EC">
      <w:pPr>
        <w:pStyle w:val="BodyTextIndent"/>
      </w:pPr>
      <w:r w:rsidRPr="00CB53EC">
        <w:t>actively managing deferred assistance provided to borrowers; and</w:t>
      </w:r>
    </w:p>
    <w:p w:rsidR="00094D65" w:rsidRDefault="00094D65" w:rsidP="00CB53EC">
      <w:pPr>
        <w:pStyle w:val="BodyTextIndent"/>
      </w:pPr>
      <w:proofErr w:type="gramStart"/>
      <w:r w:rsidRPr="00CB53EC">
        <w:t>continuing</w:t>
      </w:r>
      <w:proofErr w:type="gramEnd"/>
      <w:r w:rsidRPr="00CB53EC">
        <w:t xml:space="preserve"> to review and monitor loans in arrears.</w:t>
      </w:r>
    </w:p>
    <w:p w:rsidR="00094D65" w:rsidRPr="004B64C0" w:rsidRDefault="00094D65" w:rsidP="00F97604">
      <w:pPr>
        <w:pStyle w:val="Heading3"/>
        <w:spacing w:before="320"/>
      </w:pPr>
      <w:r w:rsidRPr="004B64C0">
        <w:t>Estimated Employment Level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6"/>
        <w:gridCol w:w="2543"/>
        <w:gridCol w:w="1642"/>
        <w:gridCol w:w="1642"/>
        <w:gridCol w:w="1637"/>
      </w:tblGrid>
      <w:tr w:rsidR="00094D65" w:rsidTr="001725CB">
        <w:trPr>
          <w:trHeight w:hRule="exact" w:val="510"/>
        </w:trPr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Pr="005B7223" w:rsidRDefault="00094D65">
            <w:pPr>
              <w:pStyle w:val="TableTextRightBold-BP410pt"/>
              <w:rPr>
                <w:color w:val="000000"/>
              </w:rPr>
            </w:pPr>
            <w:r w:rsidRPr="005B7223">
              <w:rPr>
                <w:color w:val="000000"/>
              </w:rPr>
              <w:t>201</w:t>
            </w:r>
            <w:r w:rsidR="004C60C8">
              <w:rPr>
                <w:color w:val="000000"/>
              </w:rPr>
              <w:t>1</w:t>
            </w:r>
            <w:r w:rsidRPr="005B7223">
              <w:rPr>
                <w:color w:val="000000"/>
              </w:rPr>
              <w:t>-1</w:t>
            </w:r>
            <w:r w:rsidR="004C60C8">
              <w:rPr>
                <w:color w:val="000000"/>
              </w:rPr>
              <w:t>2</w:t>
            </w:r>
          </w:p>
          <w:p w:rsidR="00094D65" w:rsidRPr="005B7223" w:rsidRDefault="00094D65">
            <w:pPr>
              <w:pStyle w:val="TableTextRightBold-BP410pt"/>
              <w:rPr>
                <w:color w:val="000000"/>
              </w:rPr>
            </w:pPr>
            <w:r w:rsidRPr="005B7223">
              <w:rPr>
                <w:color w:val="000000"/>
              </w:rPr>
              <w:t>Actual Outcome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094D65" w:rsidRPr="005B7223" w:rsidRDefault="00094D65">
            <w:pPr>
              <w:pStyle w:val="TableTextRightBold-BP410p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>
            <w:pPr>
              <w:pStyle w:val="TableTextRightBold-BP410pt"/>
            </w:pPr>
            <w:r>
              <w:t>201</w:t>
            </w:r>
            <w:r w:rsidR="00BF0D5F">
              <w:t>2</w:t>
            </w:r>
            <w:r>
              <w:t>-1</w:t>
            </w:r>
            <w:r w:rsidR="00BF0D5F">
              <w:t>3</w:t>
            </w:r>
          </w:p>
          <w:p w:rsidR="00094D65" w:rsidRDefault="00094D65">
            <w:pPr>
              <w:pStyle w:val="TableTextRightBold-BP410pt"/>
            </w:pPr>
            <w:r>
              <w:t>Budget</w:t>
            </w:r>
          </w:p>
          <w:p w:rsidR="00094D65" w:rsidRDefault="00094D65">
            <w:pPr>
              <w:pStyle w:val="TableTextRightBold-BP410pt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>
            <w:pPr>
              <w:pStyle w:val="TableTextRightBold-BP410pt"/>
            </w:pPr>
            <w:r>
              <w:t>201</w:t>
            </w:r>
            <w:r w:rsidR="00BF0D5F">
              <w:t>2</w:t>
            </w:r>
            <w:r>
              <w:t>-1</w:t>
            </w:r>
            <w:r w:rsidR="00BF0D5F">
              <w:t>3</w:t>
            </w:r>
          </w:p>
          <w:p w:rsidR="00094D65" w:rsidRDefault="00094D65">
            <w:pPr>
              <w:pStyle w:val="TableTextRightBold-BP410pt"/>
            </w:pPr>
            <w:r>
              <w:t>Est. Outcome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094D65" w:rsidRDefault="00094D65">
            <w:pPr>
              <w:pStyle w:val="TableTextRightBold-BP410pt"/>
            </w:pPr>
            <w:r>
              <w:t>201</w:t>
            </w:r>
            <w:r w:rsidR="00BF0D5F">
              <w:t>3</w:t>
            </w:r>
            <w:r>
              <w:t>-1</w:t>
            </w:r>
            <w:r w:rsidR="00BF0D5F">
              <w:t>4</w:t>
            </w:r>
          </w:p>
          <w:p w:rsidR="00094D65" w:rsidRDefault="00094D65">
            <w:pPr>
              <w:pStyle w:val="TableTextRightBold-BP410pt"/>
            </w:pPr>
            <w:r>
              <w:t>Budget</w:t>
            </w:r>
          </w:p>
          <w:p w:rsidR="00094D65" w:rsidRDefault="00094D65">
            <w:pPr>
              <w:pStyle w:val="TableTextRightBold-BP410pt"/>
            </w:pPr>
          </w:p>
        </w:tc>
      </w:tr>
      <w:tr w:rsidR="00094D65" w:rsidTr="001725CB">
        <w:trPr>
          <w:trHeight w:val="392"/>
        </w:trPr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D65" w:rsidRDefault="00BF0D5F">
            <w:pPr>
              <w:pStyle w:val="TableTextRight-BP410pt"/>
            </w:pPr>
            <w: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" w:type="dxa"/>
              <w:left w:w="421" w:type="dxa"/>
              <w:bottom w:w="0" w:type="dxa"/>
              <w:right w:w="18" w:type="dxa"/>
            </w:tcMar>
            <w:vAlign w:val="center"/>
          </w:tcPr>
          <w:p w:rsidR="00094D65" w:rsidRDefault="00094D65">
            <w:pPr>
              <w:pStyle w:val="TableTextLeftBold-BP410pt"/>
              <w:ind w:hanging="405"/>
              <w:rPr>
                <w:vertAlign w:val="superscript"/>
              </w:rPr>
            </w:pPr>
            <w:r>
              <w:t>Staffing (FTE)</w:t>
            </w:r>
            <w:r w:rsidR="001725CB" w:rsidRPr="005B7223">
              <w:rPr>
                <w:vertAlign w:val="superscript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D65" w:rsidRDefault="00BF0D5F">
            <w:pPr>
              <w:pStyle w:val="TableTextRight-BP410pt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D65" w:rsidRDefault="00BF0D5F">
            <w:pPr>
              <w:pStyle w:val="TableTextRight-BP410pt"/>
            </w:pPr>
            <w: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094D65" w:rsidRPr="00CB53EC" w:rsidRDefault="00094D65" w:rsidP="000C21F9">
            <w:pPr>
              <w:pStyle w:val="TableTextRight-BP410pt"/>
              <w:rPr>
                <w:vertAlign w:val="superscript"/>
              </w:rPr>
            </w:pPr>
            <w:r>
              <w:t>1</w:t>
            </w:r>
          </w:p>
        </w:tc>
      </w:tr>
    </w:tbl>
    <w:p w:rsidR="00094D65" w:rsidRPr="004B64C0" w:rsidRDefault="00094D65" w:rsidP="0044238B">
      <w:pPr>
        <w:pStyle w:val="Heading3"/>
        <w:spacing w:before="320"/>
      </w:pPr>
      <w:bookmarkStart w:id="1" w:name="Temp"/>
      <w:bookmarkEnd w:id="1"/>
      <w:r w:rsidRPr="004B64C0">
        <w:t>Output Classes</w:t>
      </w:r>
    </w:p>
    <w:tbl>
      <w:tblPr>
        <w:tblW w:w="9100" w:type="dxa"/>
        <w:jc w:val="center"/>
        <w:tblLook w:val="0000"/>
      </w:tblPr>
      <w:tblGrid>
        <w:gridCol w:w="5991"/>
        <w:gridCol w:w="1559"/>
        <w:gridCol w:w="1550"/>
      </w:tblGrid>
      <w:tr w:rsidR="00094D65" w:rsidTr="00AE144D">
        <w:trPr>
          <w:jc w:val="center"/>
        </w:trPr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D65" w:rsidRDefault="00094D65">
            <w:pPr>
              <w:pStyle w:val="Heading2"/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D65" w:rsidRDefault="00094D65">
            <w:pPr>
              <w:pStyle w:val="TableHeadingCentre-BP410pt"/>
            </w:pPr>
            <w:r>
              <w:t>Total Cost</w:t>
            </w:r>
          </w:p>
        </w:tc>
      </w:tr>
      <w:tr w:rsidR="00094D65" w:rsidTr="00AE144D">
        <w:trPr>
          <w:jc w:val="center"/>
        </w:trPr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D65" w:rsidRDefault="00094D65">
            <w:pPr>
              <w:pStyle w:val="SinglePara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 w:rsidP="00BC76E8">
            <w:pPr>
              <w:pStyle w:val="TableTextRightBold-BP410pt"/>
            </w:pPr>
            <w:r>
              <w:t>201</w:t>
            </w:r>
            <w:r w:rsidR="00BC76E8">
              <w:t>2</w:t>
            </w:r>
            <w:r>
              <w:noBreakHyphen/>
              <w:t>1</w:t>
            </w:r>
            <w:r w:rsidR="00BC76E8">
              <w:t>3</w:t>
            </w:r>
            <w:r>
              <w:br/>
              <w:t>Est. Outcome</w:t>
            </w:r>
            <w:r>
              <w:br/>
              <w:t xml:space="preserve"> $’000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>
            <w:pPr>
              <w:pStyle w:val="TableTextRightBold-BP410pt"/>
            </w:pPr>
            <w:r>
              <w:t>201</w:t>
            </w:r>
            <w:r w:rsidR="00BC76E8">
              <w:t>3</w:t>
            </w:r>
            <w:r>
              <w:noBreakHyphen/>
              <w:t>1</w:t>
            </w:r>
            <w:r w:rsidR="00BC76E8">
              <w:t>4</w:t>
            </w:r>
            <w:r>
              <w:t xml:space="preserve"> </w:t>
            </w:r>
          </w:p>
          <w:p w:rsidR="00094D65" w:rsidRDefault="00094D65">
            <w:pPr>
              <w:pStyle w:val="TableTextRightBold-BP410pt"/>
            </w:pPr>
            <w:r>
              <w:t>Budget</w:t>
            </w:r>
            <w:r>
              <w:br/>
              <w:t>$’000</w:t>
            </w:r>
          </w:p>
        </w:tc>
      </w:tr>
      <w:tr w:rsidR="00094D65" w:rsidRPr="005B7223" w:rsidTr="00AE144D">
        <w:trPr>
          <w:jc w:val="center"/>
        </w:trPr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D65" w:rsidRPr="005B7223" w:rsidRDefault="00094D65">
            <w:pPr>
              <w:pStyle w:val="TableTextLeftBold-BP410pt"/>
            </w:pPr>
            <w:r w:rsidRPr="005B7223">
              <w:t xml:space="preserve">Output Class 1: </w:t>
            </w:r>
          </w:p>
          <w:p w:rsidR="00094D65" w:rsidRPr="005B7223" w:rsidRDefault="00094D65">
            <w:pPr>
              <w:pStyle w:val="TableTextLeftBold-BP410pt"/>
            </w:pPr>
            <w:r w:rsidRPr="005B7223">
              <w:t>Home Loan Portfolio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4D65" w:rsidRPr="005B7223" w:rsidRDefault="00794D96" w:rsidP="00BC76E8">
            <w:pPr>
              <w:pStyle w:val="TableTextRight-BP410pt"/>
            </w:pPr>
            <w:r>
              <w:t>4,</w:t>
            </w:r>
            <w:r w:rsidR="00BC76E8">
              <w:t>001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5FA" w:rsidRDefault="00633E68">
            <w:pPr>
              <w:pStyle w:val="TableTextRight-BP410pt"/>
            </w:pPr>
            <w:r>
              <w:t>3,86</w:t>
            </w:r>
            <w:r w:rsidR="00474466">
              <w:t>1</w:t>
            </w:r>
          </w:p>
        </w:tc>
      </w:tr>
      <w:tr w:rsidR="00094D65" w:rsidRPr="005B7223" w:rsidTr="00AE144D">
        <w:trPr>
          <w:jc w:val="center"/>
        </w:trPr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D65" w:rsidRPr="005B7223" w:rsidRDefault="00094D65">
            <w:pPr>
              <w:pStyle w:val="TableTextLeftBold-BP410pt"/>
            </w:pPr>
            <w:r w:rsidRPr="005B7223">
              <w:t>Output 1.1:  Home Loan Portfolio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4D65" w:rsidRPr="005B7223" w:rsidRDefault="00794D96" w:rsidP="00BC76E8">
            <w:pPr>
              <w:pStyle w:val="TableTextRight-BP410pt"/>
            </w:pPr>
            <w:r>
              <w:t>4,</w:t>
            </w:r>
            <w:r w:rsidR="00BC76E8">
              <w:t>001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5FA" w:rsidRDefault="00633E68">
            <w:pPr>
              <w:pStyle w:val="TableTextRight-BP410pt"/>
            </w:pPr>
            <w:r>
              <w:t>3,86</w:t>
            </w:r>
            <w:r w:rsidR="00474466">
              <w:t>1</w:t>
            </w:r>
          </w:p>
        </w:tc>
      </w:tr>
    </w:tbl>
    <w:p w:rsidR="00094D65" w:rsidRDefault="00094D65">
      <w:pPr>
        <w:pStyle w:val="Heading4"/>
      </w:pPr>
      <w:r w:rsidRPr="005B7223">
        <w:t>Output Description</w:t>
      </w:r>
    </w:p>
    <w:p w:rsidR="00094D65" w:rsidRDefault="00094D65">
      <w:pPr>
        <w:pStyle w:val="BodyText"/>
      </w:pPr>
      <w:r>
        <w:t xml:space="preserve">This output provides for the administration of the Home Loan Portfolio in line with the loan and deferral agreements between the Commissioner for Social Housing and the </w:t>
      </w:r>
      <w:r w:rsidR="000031EB">
        <w:t>borrower</w:t>
      </w:r>
      <w:r>
        <w:t>s.</w:t>
      </w:r>
    </w:p>
    <w:p w:rsidR="00094D65" w:rsidRDefault="00094D65">
      <w:pPr>
        <w:pStyle w:val="BodyText"/>
      </w:pPr>
      <w:r>
        <w:t>In 201</w:t>
      </w:r>
      <w:r w:rsidR="00BF0D5F">
        <w:t>3</w:t>
      </w:r>
      <w:r>
        <w:noBreakHyphen/>
        <w:t>1</w:t>
      </w:r>
      <w:r w:rsidR="00BF0D5F">
        <w:t>4</w:t>
      </w:r>
      <w:r>
        <w:t xml:space="preserve"> the Home Loan Portfolio will:</w:t>
      </w:r>
    </w:p>
    <w:p w:rsidR="00094D65" w:rsidRDefault="00094D65" w:rsidP="003E633D">
      <w:pPr>
        <w:pStyle w:val="BodyTextIndent"/>
        <w:keepNext w:val="0"/>
        <w:keepLines w:val="0"/>
        <w:numPr>
          <w:ilvl w:val="0"/>
          <w:numId w:val="1"/>
        </w:numPr>
      </w:pPr>
      <w:r>
        <w:t xml:space="preserve">manage between </w:t>
      </w:r>
      <w:r w:rsidR="00654809">
        <w:t>93</w:t>
      </w:r>
      <w:r w:rsidR="00BF0D5F">
        <w:t xml:space="preserve"> </w:t>
      </w:r>
      <w:r>
        <w:t>(201</w:t>
      </w:r>
      <w:r w:rsidR="00BF0D5F">
        <w:t>2</w:t>
      </w:r>
      <w:r>
        <w:noBreakHyphen/>
        <w:t>1</w:t>
      </w:r>
      <w:r w:rsidR="00BF0D5F">
        <w:t>3</w:t>
      </w:r>
      <w:r>
        <w:t xml:space="preserve"> estimated outcome) and </w:t>
      </w:r>
      <w:r w:rsidR="00BF0D5F">
        <w:t>77</w:t>
      </w:r>
      <w:r>
        <w:t xml:space="preserve"> (projection to 30 June 201</w:t>
      </w:r>
      <w:r w:rsidR="00BF0D5F">
        <w:t>4</w:t>
      </w:r>
      <w:r>
        <w:t>) loans; and</w:t>
      </w:r>
    </w:p>
    <w:p w:rsidR="00094D65" w:rsidRDefault="00094D65" w:rsidP="003E633D">
      <w:pPr>
        <w:pStyle w:val="BodyTextIndent"/>
        <w:keepNext w:val="0"/>
        <w:keepLines w:val="0"/>
        <w:numPr>
          <w:ilvl w:val="0"/>
          <w:numId w:val="1"/>
        </w:numPr>
      </w:pPr>
      <w:proofErr w:type="gramStart"/>
      <w:r>
        <w:t>comply</w:t>
      </w:r>
      <w:proofErr w:type="gramEnd"/>
      <w:r>
        <w:t xml:space="preserve"> with the Commonwealth Government’s loan repayment schedule.</w:t>
      </w:r>
    </w:p>
    <w:bookmarkEnd w:id="0"/>
    <w:p w:rsidR="008C7551" w:rsidRDefault="008C7551">
      <w:pPr>
        <w:rPr>
          <w:rFonts w:ascii="Arial" w:hAnsi="Arial" w:cs="Arial"/>
          <w:b/>
          <w:bCs/>
          <w:szCs w:val="26"/>
        </w:rPr>
      </w:pPr>
      <w:r>
        <w:br w:type="page"/>
      </w:r>
    </w:p>
    <w:p w:rsidR="008C7551" w:rsidRDefault="008C7551" w:rsidP="003E633D">
      <w:pPr>
        <w:pStyle w:val="Heading3"/>
        <w:sectPr w:rsidR="008C7551" w:rsidSect="00746EB9">
          <w:footerReference w:type="default" r:id="rId8"/>
          <w:pgSz w:w="11907" w:h="16840" w:code="9"/>
          <w:pgMar w:top="1151" w:right="1440" w:bottom="1729" w:left="1440" w:header="720" w:footer="720" w:gutter="0"/>
          <w:pgNumType w:start="195"/>
          <w:cols w:space="720"/>
        </w:sectPr>
      </w:pPr>
    </w:p>
    <w:p w:rsidR="00094D65" w:rsidRDefault="00094D65" w:rsidP="003E633D">
      <w:pPr>
        <w:pStyle w:val="Heading3"/>
      </w:pPr>
      <w:r>
        <w:lastRenderedPageBreak/>
        <w:t>Accountability Indicators</w:t>
      </w:r>
    </w:p>
    <w:tbl>
      <w:tblPr>
        <w:tblW w:w="9100" w:type="dxa"/>
        <w:tblLook w:val="0000"/>
      </w:tblPr>
      <w:tblGrid>
        <w:gridCol w:w="4193"/>
        <w:gridCol w:w="1634"/>
        <w:gridCol w:w="1639"/>
        <w:gridCol w:w="1634"/>
      </w:tblGrid>
      <w:tr w:rsidR="00094D65" w:rsidTr="00A92CC7">
        <w:trPr>
          <w:trHeight w:val="303"/>
        </w:trPr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>
            <w:pPr>
              <w:pStyle w:val="Heading6"/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 w:rsidP="0088180C">
            <w:pPr>
              <w:pStyle w:val="TableHeadingRight-BP410pt"/>
            </w:pPr>
            <w:r>
              <w:t>201</w:t>
            </w:r>
            <w:r w:rsidR="0088180C">
              <w:t>2</w:t>
            </w:r>
            <w:r>
              <w:noBreakHyphen/>
              <w:t>1</w:t>
            </w:r>
            <w:r w:rsidR="0088180C">
              <w:t>3</w:t>
            </w:r>
            <w:r>
              <w:br/>
              <w:t>Target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 w:rsidP="00052434">
            <w:pPr>
              <w:pStyle w:val="TableHeadingRight-BP410pt"/>
            </w:pPr>
            <w:r>
              <w:t>201</w:t>
            </w:r>
            <w:r w:rsidR="0088180C">
              <w:t>2</w:t>
            </w:r>
            <w:r>
              <w:noBreakHyphen/>
              <w:t>1</w:t>
            </w:r>
            <w:r w:rsidR="0088180C">
              <w:t>3</w:t>
            </w:r>
            <w:r>
              <w:br/>
              <w:t>Est. Outcome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 w:rsidP="00052434">
            <w:pPr>
              <w:pStyle w:val="TableHeadingRight-BP410pt"/>
            </w:pPr>
            <w:r>
              <w:t>201</w:t>
            </w:r>
            <w:r w:rsidR="0088180C">
              <w:t>3</w:t>
            </w:r>
            <w:r>
              <w:noBreakHyphen/>
              <w:t>1</w:t>
            </w:r>
            <w:r w:rsidR="0088180C">
              <w:t>4</w:t>
            </w:r>
            <w:r>
              <w:br/>
              <w:t>Target</w:t>
            </w:r>
          </w:p>
        </w:tc>
      </w:tr>
      <w:tr w:rsidR="00094D65" w:rsidTr="00A92CC7"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65" w:rsidRDefault="00094D65">
            <w:pPr>
              <w:pStyle w:val="Heading7"/>
            </w:pPr>
            <w:r>
              <w:t>1.1:  Home Loan Portfolio</w:t>
            </w:r>
          </w:p>
        </w:tc>
      </w:tr>
      <w:tr w:rsidR="00094D65" w:rsidRPr="005B7223" w:rsidTr="00A92CC7"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19F" w:rsidRDefault="00094D65" w:rsidP="004203C3">
            <w:pPr>
              <w:pStyle w:val="Tabletextindenta"/>
            </w:pPr>
            <w:r w:rsidRPr="005B7223">
              <w:t xml:space="preserve">Administration cost per </w:t>
            </w:r>
            <w:r w:rsidR="004203C3">
              <w:t>home loan mana</w:t>
            </w:r>
            <w:r w:rsidRPr="005B7223">
              <w:t>ged</w:t>
            </w:r>
            <w:r w:rsidR="001725CB">
              <w:rPr>
                <w:vertAlign w:val="superscript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D65" w:rsidRPr="005B7223" w:rsidRDefault="00094D65" w:rsidP="00052434">
            <w:pPr>
              <w:pStyle w:val="TableTextRight-BP410pt"/>
            </w:pPr>
            <w:r w:rsidRPr="005B7223">
              <w:t>$2,</w:t>
            </w:r>
            <w:r w:rsidR="0088180C">
              <w:t>110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D65" w:rsidRPr="005B7223" w:rsidRDefault="00D8555A" w:rsidP="00182803">
            <w:pPr>
              <w:pStyle w:val="TableTextRight-BP410pt"/>
            </w:pPr>
            <w:r>
              <w:t>$2,550</w:t>
            </w:r>
            <w:r w:rsidR="00182803">
              <w:rPr>
                <w:szCs w:val="24"/>
                <w:vertAlign w:val="superscript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D65" w:rsidRPr="005B7223" w:rsidRDefault="00D8555A" w:rsidP="00182803">
            <w:pPr>
              <w:pStyle w:val="TableTextRight-BP410pt"/>
            </w:pPr>
            <w:r>
              <w:t>$2,</w:t>
            </w:r>
            <w:r w:rsidR="00520EE3">
              <w:t>870</w:t>
            </w:r>
            <w:r w:rsidR="00182803">
              <w:rPr>
                <w:szCs w:val="24"/>
                <w:vertAlign w:val="superscript"/>
              </w:rPr>
              <w:t>3</w:t>
            </w:r>
          </w:p>
        </w:tc>
      </w:tr>
    </w:tbl>
    <w:p w:rsidR="00094D65" w:rsidRPr="005B7223" w:rsidRDefault="00094D65">
      <w:pPr>
        <w:pStyle w:val="NoteHeading0"/>
      </w:pPr>
      <w:r w:rsidRPr="005B7223">
        <w:t>Note</w:t>
      </w:r>
      <w:r w:rsidR="00A86706">
        <w:t>s</w:t>
      </w:r>
      <w:r w:rsidRPr="005B7223">
        <w:t>:</w:t>
      </w:r>
    </w:p>
    <w:p w:rsidR="00182803" w:rsidRDefault="00BE4591" w:rsidP="00EA6741">
      <w:pPr>
        <w:pStyle w:val="AINotes"/>
        <w:numPr>
          <w:ilvl w:val="0"/>
          <w:numId w:val="4"/>
        </w:numPr>
        <w:tabs>
          <w:tab w:val="num" w:pos="357"/>
        </w:tabs>
        <w:ind w:left="357" w:hanging="357"/>
      </w:pPr>
      <w:r>
        <w:t xml:space="preserve">The administration cost per home loan excludes cost of Commonwealth loans.  </w:t>
      </w:r>
    </w:p>
    <w:p w:rsidR="00EA6741" w:rsidRDefault="00094D65" w:rsidP="00EA6741">
      <w:pPr>
        <w:pStyle w:val="AINotes"/>
        <w:numPr>
          <w:ilvl w:val="0"/>
          <w:numId w:val="4"/>
        </w:numPr>
        <w:tabs>
          <w:tab w:val="num" w:pos="357"/>
        </w:tabs>
        <w:ind w:left="357" w:hanging="357"/>
      </w:pPr>
      <w:r w:rsidRPr="005B7223">
        <w:t xml:space="preserve">The </w:t>
      </w:r>
      <w:r w:rsidR="00BE4591">
        <w:t>increase</w:t>
      </w:r>
      <w:r w:rsidR="00BE4591" w:rsidRPr="005B7223">
        <w:t xml:space="preserve"> </w:t>
      </w:r>
      <w:r w:rsidR="003E633D">
        <w:t>in the 201</w:t>
      </w:r>
      <w:r w:rsidR="00BE4591">
        <w:t>2</w:t>
      </w:r>
      <w:r w:rsidR="003E633D">
        <w:t>-1</w:t>
      </w:r>
      <w:r w:rsidR="00BE4591">
        <w:t>3</w:t>
      </w:r>
      <w:r w:rsidR="003E633D">
        <w:t xml:space="preserve"> e</w:t>
      </w:r>
      <w:r w:rsidRPr="005B7223">
        <w:t xml:space="preserve">stimated </w:t>
      </w:r>
      <w:proofErr w:type="gramStart"/>
      <w:r w:rsidR="003E633D">
        <w:t>o</w:t>
      </w:r>
      <w:r w:rsidRPr="005B7223">
        <w:t>utcome</w:t>
      </w:r>
      <w:proofErr w:type="gramEnd"/>
      <w:r w:rsidRPr="005B7223">
        <w:t xml:space="preserve"> from the 201</w:t>
      </w:r>
      <w:r w:rsidR="00BE4591">
        <w:t>2</w:t>
      </w:r>
      <w:r w:rsidRPr="005B7223">
        <w:t>-1</w:t>
      </w:r>
      <w:r w:rsidR="00BE4591">
        <w:t>3</w:t>
      </w:r>
      <w:r w:rsidRPr="005B7223">
        <w:t xml:space="preserve"> </w:t>
      </w:r>
      <w:r w:rsidR="003E633D">
        <w:t>t</w:t>
      </w:r>
      <w:r w:rsidRPr="005B7223">
        <w:t xml:space="preserve">arget is due </w:t>
      </w:r>
      <w:r w:rsidR="00164DF7">
        <w:t>to</w:t>
      </w:r>
      <w:r w:rsidR="00CE486E">
        <w:t xml:space="preserve"> </w:t>
      </w:r>
      <w:r w:rsidR="00520EE3">
        <w:t xml:space="preserve">the </w:t>
      </w:r>
      <w:r w:rsidR="00BE4591">
        <w:t>recognition of I</w:t>
      </w:r>
      <w:r w:rsidR="00A86706">
        <w:t xml:space="preserve">nformation Communication and </w:t>
      </w:r>
      <w:r w:rsidR="00BE4591">
        <w:t>T</w:t>
      </w:r>
      <w:r w:rsidR="00A86706">
        <w:t>echnology</w:t>
      </w:r>
      <w:r w:rsidR="00BE4591">
        <w:t xml:space="preserve"> expenses which w</w:t>
      </w:r>
      <w:r w:rsidR="00520EE3">
        <w:t xml:space="preserve">ere </w:t>
      </w:r>
      <w:r w:rsidR="00BE4591">
        <w:t>capitalised in previous budget forecast</w:t>
      </w:r>
      <w:r w:rsidR="00520EE3">
        <w:t>s</w:t>
      </w:r>
      <w:r w:rsidRPr="005B7223">
        <w:t>.</w:t>
      </w:r>
      <w:r w:rsidR="00EE7815">
        <w:t xml:space="preserve">  </w:t>
      </w:r>
    </w:p>
    <w:p w:rsidR="00CB15C6" w:rsidRDefault="001F0438">
      <w:pPr>
        <w:pStyle w:val="AINotes"/>
        <w:numPr>
          <w:ilvl w:val="0"/>
          <w:numId w:val="4"/>
        </w:numPr>
        <w:tabs>
          <w:tab w:val="num" w:pos="357"/>
        </w:tabs>
        <w:ind w:left="357" w:hanging="357"/>
      </w:pPr>
      <w:r>
        <w:t xml:space="preserve">The higher cost per loan in 2013-14 is the result of </w:t>
      </w:r>
      <w:r w:rsidR="002B0673">
        <w:t>partially</w:t>
      </w:r>
      <w:r>
        <w:t xml:space="preserve"> fixed administration costs applied to a lower number of outstanding loans (</w:t>
      </w:r>
      <w:r w:rsidR="00C457FA">
        <w:t xml:space="preserve">expected </w:t>
      </w:r>
      <w:r w:rsidR="00520EE3">
        <w:t>to be 77 loans</w:t>
      </w:r>
      <w:r>
        <w:t xml:space="preserve"> by 30 June 2014</w:t>
      </w:r>
      <w:r w:rsidR="00520EE3">
        <w:t>)</w:t>
      </w:r>
      <w:r>
        <w:t>.</w:t>
      </w:r>
      <w:r w:rsidR="00094D65">
        <w:br w:type="page"/>
      </w:r>
    </w:p>
    <w:tbl>
      <w:tblPr>
        <w:tblW w:w="9356" w:type="dxa"/>
        <w:tblInd w:w="108" w:type="dxa"/>
        <w:tblLook w:val="04A0"/>
      </w:tblPr>
      <w:tblGrid>
        <w:gridCol w:w="1050"/>
        <w:gridCol w:w="2384"/>
        <w:gridCol w:w="1102"/>
        <w:gridCol w:w="1049"/>
        <w:gridCol w:w="621"/>
        <w:gridCol w:w="1050"/>
        <w:gridCol w:w="1050"/>
        <w:gridCol w:w="1050"/>
      </w:tblGrid>
      <w:tr w:rsidR="00C24050" w:rsidTr="004203C3">
        <w:trPr>
          <w:tblHeader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2" w:name="RANGE!A1:H31"/>
            <w:r>
              <w:rPr>
                <w:rFonts w:ascii="Arial" w:hAnsi="Arial" w:cs="Arial"/>
                <w:b/>
                <w:bCs/>
              </w:rPr>
              <w:lastRenderedPageBreak/>
              <w:t>Home Loan Portfolio</w:t>
            </w:r>
            <w:bookmarkEnd w:id="2"/>
          </w:p>
        </w:tc>
      </w:tr>
      <w:tr w:rsidR="00C24050" w:rsidTr="004203C3">
        <w:trPr>
          <w:tblHeader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Operating Statement</w:t>
            </w:r>
          </w:p>
        </w:tc>
      </w:tr>
      <w:tr w:rsidR="00C24050" w:rsidTr="004203C3">
        <w:trPr>
          <w:tblHeader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C24050" w:rsidTr="004203C3">
        <w:trPr>
          <w:tblHeader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C24050" w:rsidTr="004203C3">
        <w:trPr>
          <w:tblHeader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C24050" w:rsidTr="004203C3">
        <w:trPr>
          <w:tblHeader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4,445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7D6F1D">
            <w:pPr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 from</w:t>
            </w:r>
            <w:r w:rsidR="000D2C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Investments with the Territory Banking Account</w:t>
            </w:r>
            <w:r w:rsidR="00AC6B2A" w:rsidRPr="000D2CB0">
              <w:rPr>
                <w:sz w:val="20"/>
                <w:vertAlign w:val="superscript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3,610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3,156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Revenue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4,778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Revenue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4,566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4,126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3,835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3,424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4,778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4,566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4,126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3,835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3,424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Expenses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Expenses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Superannuation Expenses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and Services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Depreciation and </w:t>
            </w:r>
            <w:r>
              <w:rPr>
                <w:sz w:val="18"/>
                <w:szCs w:val="18"/>
              </w:rPr>
              <w:br/>
              <w:t xml:space="preserve">   Amortisation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3,764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 Costs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3,764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3,231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3,995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r w:rsidR="00137177">
              <w:rPr>
                <w:b/>
                <w:bCs/>
                <w:sz w:val="18"/>
                <w:szCs w:val="18"/>
              </w:rPr>
              <w:t xml:space="preserve">Ordinary </w:t>
            </w:r>
            <w:r>
              <w:rPr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4,001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3,861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3,433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783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783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</w:t>
            </w:r>
          </w:p>
        </w:tc>
      </w:tr>
      <w:tr w:rsidR="00C24050" w:rsidTr="004203C3"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2202F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7D6F1D" w:rsidRDefault="007D6F1D" w:rsidP="007D6F1D">
      <w:pPr>
        <w:pStyle w:val="Notes"/>
        <w:rPr>
          <w:sz w:val="16"/>
          <w:szCs w:val="16"/>
        </w:rPr>
      </w:pPr>
      <w:r>
        <w:rPr>
          <w:sz w:val="16"/>
          <w:szCs w:val="16"/>
        </w:rPr>
        <w:t>Note:</w:t>
      </w:r>
    </w:p>
    <w:p w:rsidR="007D6F1D" w:rsidRPr="007D6F1D" w:rsidRDefault="007D6F1D" w:rsidP="007D6F1D">
      <w:pPr>
        <w:pStyle w:val="AINotes"/>
        <w:numPr>
          <w:ilvl w:val="0"/>
          <w:numId w:val="35"/>
        </w:numPr>
      </w:pPr>
      <w:r w:rsidRPr="007D6F1D">
        <w:rPr>
          <w:lang w:val="en-US"/>
        </w:rPr>
        <w:t>Interest received from investments with the Territory Banking Account is no longer presented as Interest Income.</w:t>
      </w:r>
      <w:r w:rsidR="004203C3">
        <w:rPr>
          <w:lang w:val="en-US"/>
        </w:rPr>
        <w:t xml:space="preserve"> </w:t>
      </w:r>
      <w:r w:rsidRPr="007D6F1D">
        <w:rPr>
          <w:lang w:val="en-US"/>
        </w:rPr>
        <w:t xml:space="preserve"> These amounts are now reflected under the line item Distribution from the Territory Banking Account. This treatment is not reflected in the 2012</w:t>
      </w:r>
      <w:r w:rsidRPr="007D6F1D">
        <w:rPr>
          <w:lang w:val="en-US"/>
        </w:rPr>
        <w:noBreakHyphen/>
        <w:t>13 Budget figures.</w:t>
      </w:r>
    </w:p>
    <w:p w:rsidR="00BA40DC" w:rsidRPr="007D6F1D" w:rsidRDefault="00BA40DC" w:rsidP="007D6F1D">
      <w:pPr>
        <w:pStyle w:val="AINotes"/>
        <w:numPr>
          <w:ilvl w:val="0"/>
          <w:numId w:val="35"/>
        </w:numPr>
      </w:pPr>
      <w:r>
        <w:br w:type="page"/>
      </w:r>
    </w:p>
    <w:tbl>
      <w:tblPr>
        <w:tblW w:w="9392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C24050" w:rsidTr="001D72C4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RANGE!A1:H44"/>
            <w:r>
              <w:rPr>
                <w:rFonts w:ascii="Arial" w:hAnsi="Arial" w:cs="Arial"/>
                <w:b/>
                <w:bCs/>
              </w:rPr>
              <w:lastRenderedPageBreak/>
              <w:t>Home Loan Portfolio</w:t>
            </w:r>
            <w:bookmarkEnd w:id="3"/>
          </w:p>
        </w:tc>
      </w:tr>
      <w:tr w:rsidR="00C24050" w:rsidTr="001D72C4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Balance Sheet</w:t>
            </w:r>
          </w:p>
        </w:tc>
      </w:tr>
      <w:tr w:rsidR="00C24050" w:rsidTr="001D72C4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C24050" w:rsidTr="001D72C4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4050" w:rsidRDefault="00C24050" w:rsidP="00C240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C24050" w:rsidTr="001D72C4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C24050" w:rsidTr="001D72C4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and Cash</w:t>
            </w:r>
            <w:r>
              <w:rPr>
                <w:sz w:val="18"/>
                <w:szCs w:val="18"/>
              </w:rPr>
              <w:br/>
              <w:t xml:space="preserve">   Equivalents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11,715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11,641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11,589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11,555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11,519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11,393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93,669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Intangibles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102,081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110,151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105,577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100,222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97,094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93,920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113,796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121,792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117,166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111,777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108,613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105,313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Interest-Bearing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3,478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3,009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3,576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Interest-Bearing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65,032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77,987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77,987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74,966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71,809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68,501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65,032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80,996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80,972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78,081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75,059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71,899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68,608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32,800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39,085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36,705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D72C4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72C4" w:rsidRDefault="001D72C4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72C4" w:rsidRDefault="001D72C4" w:rsidP="001D72C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REPRESENTED BY FUNDS EMPLOYED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72C4" w:rsidRDefault="001D72C4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72C4" w:rsidRDefault="001D72C4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72C4" w:rsidRDefault="001D72C4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72C4" w:rsidRDefault="001D72C4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72C4" w:rsidRDefault="001D72C4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36,705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32,800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FUNDS EMPLOYED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39,085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36,705</w:t>
            </w:r>
          </w:p>
        </w:tc>
      </w:tr>
      <w:tr w:rsidR="00C24050" w:rsidTr="001D72C4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BA40DC" w:rsidRDefault="00BA40DC">
      <w:pPr>
        <w:rPr>
          <w:sz w:val="16"/>
        </w:rPr>
      </w:pPr>
      <w:r>
        <w:br w:type="page"/>
      </w:r>
    </w:p>
    <w:tbl>
      <w:tblPr>
        <w:tblW w:w="9392" w:type="dxa"/>
        <w:tblInd w:w="-283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C24050" w:rsidTr="00E20E49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Home Loan Portfolio</w:t>
            </w:r>
          </w:p>
        </w:tc>
      </w:tr>
      <w:tr w:rsidR="00C24050" w:rsidTr="00E20E49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Statement of Changes in Equity</w:t>
            </w:r>
          </w:p>
        </w:tc>
      </w:tr>
      <w:tr w:rsidR="00C24050" w:rsidTr="00C24050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C24050" w:rsidTr="00C24050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C24050" w:rsidTr="00C24050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C24050" w:rsidTr="00C24050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32,517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36,714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32,517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Start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40,755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39,085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36,714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Comprehensive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Result for the</w:t>
            </w:r>
            <w:r>
              <w:rPr>
                <w:sz w:val="18"/>
                <w:szCs w:val="18"/>
              </w:rPr>
              <w:br/>
              <w:t xml:space="preserve">  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-53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-53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Movement in 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20E49" w:rsidTr="00BA7BE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20E49" w:rsidRDefault="00E20E49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0E49" w:rsidRDefault="00E20E49" w:rsidP="00E20E49">
            <w:pPr>
              <w:spacing w:after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Transactions Involving Owners Affecting</w:t>
            </w:r>
            <w:r>
              <w:rPr>
                <w:b/>
                <w:bCs/>
                <w:sz w:val="18"/>
                <w:szCs w:val="18"/>
              </w:rPr>
              <w:br/>
              <w:t xml:space="preserve">   Accumulated Funds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20E49" w:rsidRDefault="00E20E49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20E49" w:rsidRDefault="00E20E49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20E49" w:rsidRDefault="00E20E49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20E49" w:rsidRDefault="00E20E49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20E49" w:rsidRDefault="00E20E49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E20E49">
            <w:pPr>
              <w:spacing w:before="60"/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E20E4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Capital Distributions</w:t>
            </w:r>
            <w:r>
              <w:rPr>
                <w:sz w:val="18"/>
                <w:szCs w:val="18"/>
              </w:rPr>
              <w:br/>
              <w:t xml:space="preserve">   to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E20E49">
            <w:pPr>
              <w:spacing w:before="60"/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E20E49">
            <w:pPr>
              <w:spacing w:before="60"/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E20E49">
            <w:pPr>
              <w:spacing w:before="60"/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E20E49">
            <w:pPr>
              <w:spacing w:before="60"/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E20E49">
            <w:pPr>
              <w:spacing w:before="60"/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E20E49">
            <w:pPr>
              <w:spacing w:before="60"/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Transactions Involving</w:t>
            </w:r>
            <w:r>
              <w:rPr>
                <w:b/>
                <w:bCs/>
                <w:sz w:val="18"/>
                <w:szCs w:val="18"/>
              </w:rPr>
              <w:br/>
              <w:t xml:space="preserve">   Owners Affecting</w:t>
            </w:r>
            <w:r>
              <w:rPr>
                <w:b/>
                <w:bCs/>
                <w:sz w:val="18"/>
                <w:szCs w:val="18"/>
              </w:rPr>
              <w:br/>
              <w:t xml:space="preserve">  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-2,500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36,705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32,800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End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39,085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050" w:rsidRDefault="00C24050" w:rsidP="00C2405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36,705</w:t>
            </w:r>
          </w:p>
        </w:tc>
      </w:tr>
      <w:tr w:rsidR="00C24050" w:rsidTr="00C24050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24050" w:rsidRDefault="00C24050" w:rsidP="00C2405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BA40DC" w:rsidRDefault="00BA40DC">
      <w:pPr>
        <w:rPr>
          <w:sz w:val="16"/>
        </w:rPr>
      </w:pPr>
      <w:r>
        <w:br w:type="page"/>
      </w:r>
    </w:p>
    <w:tbl>
      <w:tblPr>
        <w:tblW w:w="9392" w:type="dxa"/>
        <w:tblInd w:w="108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437956" w:rsidTr="004203C3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4" w:name="RANGE!A1:H46"/>
            <w:r w:rsidRPr="004F202E">
              <w:rPr>
                <w:rFonts w:ascii="Arial" w:hAnsi="Arial" w:cs="Arial"/>
                <w:b/>
                <w:bCs/>
                <w:szCs w:val="24"/>
              </w:rPr>
              <w:lastRenderedPageBreak/>
              <w:t>Home Loan Portfolio</w:t>
            </w:r>
            <w:bookmarkEnd w:id="4"/>
          </w:p>
        </w:tc>
      </w:tr>
      <w:tr w:rsidR="00437956" w:rsidTr="004203C3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F202E">
              <w:rPr>
                <w:rFonts w:ascii="Arial" w:hAnsi="Arial" w:cs="Arial"/>
                <w:b/>
                <w:bCs/>
                <w:szCs w:val="24"/>
              </w:rPr>
              <w:t>Cash Flow Statement</w:t>
            </w:r>
          </w:p>
        </w:tc>
      </w:tr>
      <w:tr w:rsidR="00437956" w:rsidTr="004203C3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437956" w:rsidTr="004203C3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437956" w:rsidTr="004203C3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437956" w:rsidRPr="004F202E" w:rsidTr="004203C3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OPERATING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4,497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Received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437956" w:rsidTr="004203C3">
        <w:trPr>
          <w:trHeight w:val="84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Pr="004F202E" w:rsidRDefault="00437956" w:rsidP="008C7551">
            <w:pPr>
              <w:ind w:left="142" w:hanging="142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sz w:val="18"/>
                <w:szCs w:val="18"/>
              </w:rPr>
              <w:t>Distribution from Investments with the Territory Banking Account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3,544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3,181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4,497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3,243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Employees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Superannuation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Supplies and</w:t>
            </w:r>
            <w:r>
              <w:rPr>
                <w:sz w:val="18"/>
                <w:szCs w:val="18"/>
              </w:rPr>
              <w:br/>
              <w:t xml:space="preserve">  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3,764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 Costs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3,231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3,992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3,861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3,433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OPERATING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-125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-190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color w:val="0000FF"/>
                <w:sz w:val="10"/>
                <w:szCs w:val="10"/>
              </w:rPr>
            </w:pPr>
            <w:r w:rsidRPr="004F202E">
              <w:rPr>
                <w:color w:val="0000FF"/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INVESTING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2,130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Proceeds from Sale/Maturity</w:t>
            </w:r>
            <w:r>
              <w:rPr>
                <w:sz w:val="18"/>
                <w:szCs w:val="18"/>
              </w:rPr>
              <w:br/>
              <w:t xml:space="preserve">   of Investments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3,094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Repayment of Home Loan</w:t>
            </w:r>
            <w:r>
              <w:rPr>
                <w:sz w:val="18"/>
                <w:szCs w:val="18"/>
              </w:rPr>
              <w:br/>
              <w:t xml:space="preserve">   Principal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2,714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Investing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5,727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3,388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2,714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INVESTING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5,727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3,388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FINANCING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Distributions to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Repayment of Borrowings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3,290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Financing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4,891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3,290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-3,266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FINANCING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-3,266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-4,891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-50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-5,521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-3,166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-3,290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INCREASE / (DECREASE)</w:t>
            </w:r>
            <w:r>
              <w:rPr>
                <w:b/>
                <w:bCs/>
                <w:sz w:val="18"/>
                <w:szCs w:val="18"/>
              </w:rPr>
              <w:br/>
              <w:t xml:space="preserve">   IN CASH HELD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-96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-92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BEGINNING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663</w:t>
            </w:r>
          </w:p>
        </w:tc>
      </w:tr>
      <w:tr w:rsidR="00437956" w:rsidTr="004203C3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7956" w:rsidRDefault="00437956" w:rsidP="008C75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END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7956" w:rsidRDefault="00437956" w:rsidP="008C7551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571</w:t>
            </w:r>
          </w:p>
        </w:tc>
      </w:tr>
      <w:tr w:rsidR="00437956" w:rsidRPr="004F202E" w:rsidTr="004203C3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37956" w:rsidRPr="004F202E" w:rsidRDefault="00437956" w:rsidP="008C7551">
            <w:pPr>
              <w:ind w:left="-283"/>
              <w:rPr>
                <w:b/>
                <w:bCs/>
                <w:sz w:val="10"/>
                <w:szCs w:val="10"/>
              </w:rPr>
            </w:pPr>
            <w:r w:rsidRPr="004F202E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7956" w:rsidRPr="004F202E" w:rsidRDefault="00437956" w:rsidP="008C7551">
            <w:pPr>
              <w:ind w:left="-283"/>
              <w:rPr>
                <w:sz w:val="10"/>
                <w:szCs w:val="10"/>
              </w:rPr>
            </w:pPr>
            <w:r w:rsidRPr="004F202E">
              <w:rPr>
                <w:sz w:val="10"/>
                <w:szCs w:val="10"/>
              </w:rPr>
              <w:t> </w:t>
            </w:r>
          </w:p>
        </w:tc>
      </w:tr>
    </w:tbl>
    <w:p w:rsidR="00E501B0" w:rsidRDefault="00E501B0" w:rsidP="00E501B0">
      <w:pPr>
        <w:pStyle w:val="Notes"/>
        <w:rPr>
          <w:sz w:val="16"/>
          <w:szCs w:val="16"/>
        </w:rPr>
      </w:pPr>
      <w:r>
        <w:rPr>
          <w:sz w:val="16"/>
          <w:szCs w:val="16"/>
        </w:rPr>
        <w:t>Note:</w:t>
      </w:r>
    </w:p>
    <w:p w:rsidR="00E501B0" w:rsidRPr="00E501B0" w:rsidRDefault="00E501B0" w:rsidP="00E501B0">
      <w:pPr>
        <w:pStyle w:val="AINotes"/>
        <w:numPr>
          <w:ilvl w:val="0"/>
          <w:numId w:val="37"/>
        </w:numPr>
      </w:pPr>
      <w:r w:rsidRPr="00E501B0">
        <w:rPr>
          <w:lang w:val="en-US"/>
        </w:rPr>
        <w:t xml:space="preserve">Interest received from investments with the Territory Banking Account is no longer presented as Interest Income. </w:t>
      </w:r>
      <w:r w:rsidR="004203C3">
        <w:rPr>
          <w:lang w:val="en-US"/>
        </w:rPr>
        <w:t xml:space="preserve"> </w:t>
      </w:r>
      <w:r w:rsidRPr="00E501B0">
        <w:rPr>
          <w:lang w:val="en-US"/>
        </w:rPr>
        <w:t>These amounts are now reflected under the line item Distribution from the Territory Banking Account. This treatment is not reflected in the 2012</w:t>
      </w:r>
      <w:r w:rsidRPr="00E501B0">
        <w:rPr>
          <w:lang w:val="en-US"/>
        </w:rPr>
        <w:noBreakHyphen/>
        <w:t>13 Budget figures.</w:t>
      </w:r>
    </w:p>
    <w:p w:rsidR="00BA40DC" w:rsidRDefault="00BA40DC">
      <w:pPr>
        <w:rPr>
          <w:rFonts w:ascii="Arial" w:hAnsi="Arial" w:cs="Arial"/>
          <w:b/>
          <w:bCs/>
          <w:szCs w:val="26"/>
        </w:rPr>
      </w:pPr>
      <w:r>
        <w:br w:type="page"/>
      </w:r>
    </w:p>
    <w:p w:rsidR="00094D65" w:rsidRDefault="00094D65" w:rsidP="003E633D">
      <w:pPr>
        <w:pStyle w:val="Heading3"/>
      </w:pPr>
      <w:r>
        <w:lastRenderedPageBreak/>
        <w:t>Notes to Budget Statements</w:t>
      </w:r>
    </w:p>
    <w:p w:rsidR="00094D65" w:rsidRPr="00B64306" w:rsidRDefault="00094D65">
      <w:pPr>
        <w:pStyle w:val="BodyText"/>
        <w:rPr>
          <w:color w:val="000000"/>
        </w:rPr>
      </w:pPr>
      <w:r w:rsidRPr="00B64306">
        <w:rPr>
          <w:color w:val="000000"/>
        </w:rPr>
        <w:t>Significant variations are as follows:</w:t>
      </w:r>
    </w:p>
    <w:p w:rsidR="00094D65" w:rsidRPr="00B64306" w:rsidRDefault="00094D65">
      <w:pPr>
        <w:pStyle w:val="Heading4"/>
        <w:rPr>
          <w:color w:val="000000"/>
        </w:rPr>
      </w:pPr>
      <w:r w:rsidRPr="00B64306">
        <w:rPr>
          <w:color w:val="000000"/>
        </w:rPr>
        <w:t xml:space="preserve">Operating Statement </w:t>
      </w:r>
    </w:p>
    <w:p w:rsidR="00094D65" w:rsidRPr="002B0673" w:rsidRDefault="00CB15C6" w:rsidP="002B0673">
      <w:pPr>
        <w:pStyle w:val="BodyTextIndent"/>
        <w:keepNext w:val="0"/>
        <w:keepLines w:val="0"/>
        <w:numPr>
          <w:ilvl w:val="0"/>
          <w:numId w:val="1"/>
        </w:numPr>
        <w:rPr>
          <w:color w:val="000000"/>
        </w:rPr>
      </w:pPr>
      <w:proofErr w:type="gramStart"/>
      <w:r w:rsidRPr="002B0673">
        <w:rPr>
          <w:color w:val="000000"/>
        </w:rPr>
        <w:t>interest</w:t>
      </w:r>
      <w:proofErr w:type="gramEnd"/>
      <w:r w:rsidRPr="002B0673">
        <w:rPr>
          <w:color w:val="000000"/>
        </w:rPr>
        <w:t xml:space="preserve"> </w:t>
      </w:r>
      <w:r w:rsidR="006F7D09" w:rsidRPr="002B0673">
        <w:rPr>
          <w:color w:val="000000"/>
        </w:rPr>
        <w:t>and distribution f</w:t>
      </w:r>
      <w:r w:rsidR="00AE7403" w:rsidRPr="002B0673">
        <w:rPr>
          <w:color w:val="000000"/>
        </w:rPr>
        <w:t>r</w:t>
      </w:r>
      <w:r w:rsidR="006F7D09" w:rsidRPr="002B0673">
        <w:rPr>
          <w:color w:val="000000"/>
        </w:rPr>
        <w:t>om investments with the Territory Banking Account</w:t>
      </w:r>
      <w:r w:rsidR="00094D65" w:rsidRPr="002B0673">
        <w:rPr>
          <w:color w:val="000000"/>
        </w:rPr>
        <w:t>:</w:t>
      </w:r>
      <w:r w:rsidR="002B0673" w:rsidRPr="002B0673">
        <w:rPr>
          <w:color w:val="000000"/>
        </w:rPr>
        <w:t xml:space="preserve">  </w:t>
      </w:r>
      <w:r w:rsidR="00094D65" w:rsidRPr="002B0673">
        <w:rPr>
          <w:color w:val="000000"/>
        </w:rPr>
        <w:t>the decrease of $0.</w:t>
      </w:r>
      <w:r w:rsidR="005A474D" w:rsidRPr="002B0673">
        <w:rPr>
          <w:color w:val="000000"/>
        </w:rPr>
        <w:t>650</w:t>
      </w:r>
      <w:r w:rsidR="00094D65" w:rsidRPr="002B0673">
        <w:rPr>
          <w:color w:val="000000"/>
        </w:rPr>
        <w:t> million in the 201</w:t>
      </w:r>
      <w:r w:rsidR="00BE4591" w:rsidRPr="002B0673">
        <w:rPr>
          <w:color w:val="000000"/>
        </w:rPr>
        <w:t>2</w:t>
      </w:r>
      <w:r w:rsidR="00094D65" w:rsidRPr="002B0673">
        <w:rPr>
          <w:color w:val="000000"/>
        </w:rPr>
        <w:noBreakHyphen/>
        <w:t>1</w:t>
      </w:r>
      <w:r w:rsidR="00BE4591" w:rsidRPr="002B0673">
        <w:rPr>
          <w:color w:val="000000"/>
        </w:rPr>
        <w:t>3</w:t>
      </w:r>
      <w:r w:rsidR="00094D65" w:rsidRPr="002B0673">
        <w:rPr>
          <w:color w:val="000000"/>
        </w:rPr>
        <w:t xml:space="preserve"> estimated outcome from the original budget is </w:t>
      </w:r>
      <w:r w:rsidR="00BA6EE1">
        <w:rPr>
          <w:color w:val="000000"/>
        </w:rPr>
        <w:t xml:space="preserve">mainly </w:t>
      </w:r>
      <w:r w:rsidR="00094D65" w:rsidRPr="002B0673">
        <w:rPr>
          <w:color w:val="000000"/>
        </w:rPr>
        <w:t>due to lower than anticipated interest rate</w:t>
      </w:r>
      <w:r w:rsidR="00FA7CAF" w:rsidRPr="002B0673">
        <w:rPr>
          <w:color w:val="000000"/>
        </w:rPr>
        <w:t>s</w:t>
      </w:r>
      <w:r w:rsidR="00094D65" w:rsidRPr="002B0673">
        <w:rPr>
          <w:color w:val="000000"/>
        </w:rPr>
        <w:t xml:space="preserve"> for both short</w:t>
      </w:r>
      <w:r w:rsidR="0080653D" w:rsidRPr="002B0673">
        <w:rPr>
          <w:color w:val="000000"/>
        </w:rPr>
        <w:t>-te</w:t>
      </w:r>
      <w:r w:rsidR="003E633D" w:rsidRPr="002B0673">
        <w:rPr>
          <w:color w:val="000000"/>
        </w:rPr>
        <w:t>r</w:t>
      </w:r>
      <w:r w:rsidR="0080653D" w:rsidRPr="002B0673">
        <w:rPr>
          <w:color w:val="000000"/>
        </w:rPr>
        <w:t>m and long</w:t>
      </w:r>
      <w:r w:rsidRPr="002B0673">
        <w:rPr>
          <w:color w:val="000000"/>
        </w:rPr>
        <w:noBreakHyphen/>
      </w:r>
      <w:r w:rsidR="00094D65" w:rsidRPr="002B0673">
        <w:rPr>
          <w:color w:val="000000"/>
        </w:rPr>
        <w:t>term investments</w:t>
      </w:r>
      <w:r w:rsidR="00BA6EE1">
        <w:rPr>
          <w:color w:val="000000"/>
        </w:rPr>
        <w:t>.</w:t>
      </w:r>
    </w:p>
    <w:p w:rsidR="00094D65" w:rsidRPr="00B64306" w:rsidRDefault="00094D65" w:rsidP="003E633D">
      <w:pPr>
        <w:pStyle w:val="BodyTextIndent"/>
        <w:keepNext w:val="0"/>
        <w:keepLines w:val="0"/>
        <w:numPr>
          <w:ilvl w:val="0"/>
          <w:numId w:val="1"/>
        </w:numPr>
        <w:rPr>
          <w:color w:val="000000"/>
        </w:rPr>
      </w:pPr>
      <w:r w:rsidRPr="00B64306">
        <w:rPr>
          <w:color w:val="000000"/>
        </w:rPr>
        <w:t>other revenue:</w:t>
      </w:r>
    </w:p>
    <w:p w:rsidR="00094D65" w:rsidRPr="00B64306" w:rsidRDefault="00094D65">
      <w:pPr>
        <w:pStyle w:val="BodyTextIndent2"/>
        <w:keepNext w:val="0"/>
        <w:keepLines w:val="0"/>
        <w:rPr>
          <w:color w:val="000000"/>
        </w:rPr>
      </w:pPr>
      <w:r w:rsidRPr="00B64306">
        <w:rPr>
          <w:color w:val="000000"/>
        </w:rPr>
        <w:t>the increase of $0.</w:t>
      </w:r>
      <w:r w:rsidR="005A474D">
        <w:rPr>
          <w:color w:val="000000"/>
        </w:rPr>
        <w:t>438</w:t>
      </w:r>
      <w:r w:rsidRPr="00B64306">
        <w:rPr>
          <w:color w:val="000000"/>
        </w:rPr>
        <w:t> million in the 201</w:t>
      </w:r>
      <w:r w:rsidR="00AD16CF">
        <w:rPr>
          <w:color w:val="000000"/>
        </w:rPr>
        <w:t>2</w:t>
      </w:r>
      <w:r w:rsidRPr="00B64306">
        <w:rPr>
          <w:color w:val="000000"/>
        </w:rPr>
        <w:noBreakHyphen/>
        <w:t>1</w:t>
      </w:r>
      <w:r w:rsidR="00AD16CF">
        <w:rPr>
          <w:color w:val="000000"/>
        </w:rPr>
        <w:t>3</w:t>
      </w:r>
      <w:r w:rsidRPr="00B64306">
        <w:rPr>
          <w:color w:val="000000"/>
        </w:rPr>
        <w:t xml:space="preserve"> estimated outcome from the original budget is due to a </w:t>
      </w:r>
      <w:r w:rsidR="00BA6EE1">
        <w:rPr>
          <w:color w:val="000000"/>
        </w:rPr>
        <w:t>reduction</w:t>
      </w:r>
      <w:r w:rsidR="004C5069">
        <w:rPr>
          <w:color w:val="000000"/>
        </w:rPr>
        <w:t xml:space="preserve"> of the</w:t>
      </w:r>
      <w:r w:rsidR="00AD16CF" w:rsidRPr="00B64306">
        <w:rPr>
          <w:color w:val="000000"/>
        </w:rPr>
        <w:t xml:space="preserve"> </w:t>
      </w:r>
      <w:r w:rsidRPr="00B64306">
        <w:rPr>
          <w:color w:val="000000"/>
        </w:rPr>
        <w:t>provision for doubtful debts in 201</w:t>
      </w:r>
      <w:r w:rsidR="00AD16CF">
        <w:rPr>
          <w:color w:val="000000"/>
        </w:rPr>
        <w:t>2</w:t>
      </w:r>
      <w:r w:rsidRPr="00B64306">
        <w:rPr>
          <w:color w:val="000000"/>
        </w:rPr>
        <w:noBreakHyphen/>
        <w:t>1</w:t>
      </w:r>
      <w:r w:rsidR="00AD16CF">
        <w:rPr>
          <w:color w:val="000000"/>
        </w:rPr>
        <w:t>3</w:t>
      </w:r>
      <w:r w:rsidR="00F86C73">
        <w:rPr>
          <w:color w:val="000000"/>
        </w:rPr>
        <w:t xml:space="preserve">, to reflect the </w:t>
      </w:r>
      <w:r w:rsidR="00BE18D0">
        <w:rPr>
          <w:color w:val="000000"/>
        </w:rPr>
        <w:t>higher than anticipated payout</w:t>
      </w:r>
      <w:r w:rsidR="00F86C73">
        <w:rPr>
          <w:color w:val="000000"/>
        </w:rPr>
        <w:t xml:space="preserve"> of outstanding loans</w:t>
      </w:r>
      <w:r w:rsidRPr="00B64306">
        <w:rPr>
          <w:color w:val="000000"/>
        </w:rPr>
        <w:t>; and</w:t>
      </w:r>
    </w:p>
    <w:p w:rsidR="00094D65" w:rsidRDefault="00094D65">
      <w:pPr>
        <w:pStyle w:val="BodyTextIndent2"/>
        <w:keepNext w:val="0"/>
        <w:keepLines w:val="0"/>
        <w:rPr>
          <w:color w:val="000000"/>
        </w:rPr>
      </w:pPr>
      <w:proofErr w:type="gramStart"/>
      <w:r w:rsidRPr="00B64306">
        <w:rPr>
          <w:color w:val="000000"/>
        </w:rPr>
        <w:t>the</w:t>
      </w:r>
      <w:proofErr w:type="gramEnd"/>
      <w:r w:rsidRPr="00B64306">
        <w:rPr>
          <w:color w:val="000000"/>
        </w:rPr>
        <w:t xml:space="preserve"> decrease of $</w:t>
      </w:r>
      <w:r w:rsidR="00347CBF">
        <w:rPr>
          <w:color w:val="000000"/>
        </w:rPr>
        <w:t>0.302</w:t>
      </w:r>
      <w:r w:rsidRPr="00B64306">
        <w:rPr>
          <w:color w:val="000000"/>
        </w:rPr>
        <w:t> million in the 201</w:t>
      </w:r>
      <w:r w:rsidR="00AD16CF">
        <w:rPr>
          <w:color w:val="000000"/>
        </w:rPr>
        <w:t>3</w:t>
      </w:r>
      <w:r w:rsidRPr="00B64306">
        <w:rPr>
          <w:color w:val="000000"/>
        </w:rPr>
        <w:noBreakHyphen/>
        <w:t>1</w:t>
      </w:r>
      <w:r w:rsidR="00AD16CF">
        <w:rPr>
          <w:color w:val="000000"/>
        </w:rPr>
        <w:t>4</w:t>
      </w:r>
      <w:r w:rsidRPr="00B64306">
        <w:rPr>
          <w:color w:val="000000"/>
        </w:rPr>
        <w:t> Budget from the 201</w:t>
      </w:r>
      <w:r w:rsidR="00AD16CF">
        <w:rPr>
          <w:color w:val="000000"/>
        </w:rPr>
        <w:t>2</w:t>
      </w:r>
      <w:r w:rsidRPr="00B64306">
        <w:rPr>
          <w:color w:val="000000"/>
        </w:rPr>
        <w:noBreakHyphen/>
        <w:t>1</w:t>
      </w:r>
      <w:r w:rsidR="00AD16CF">
        <w:rPr>
          <w:color w:val="000000"/>
        </w:rPr>
        <w:t>3</w:t>
      </w:r>
      <w:r w:rsidR="003E633D">
        <w:rPr>
          <w:color w:val="000000"/>
        </w:rPr>
        <w:t xml:space="preserve"> estimated outcome is</w:t>
      </w:r>
      <w:r w:rsidR="007A0B47">
        <w:rPr>
          <w:color w:val="000000"/>
        </w:rPr>
        <w:t xml:space="preserve"> due to </w:t>
      </w:r>
      <w:r w:rsidR="002B0673">
        <w:rPr>
          <w:color w:val="000000"/>
        </w:rPr>
        <w:t xml:space="preserve">a </w:t>
      </w:r>
      <w:r w:rsidR="007A0B47">
        <w:rPr>
          <w:color w:val="000000"/>
        </w:rPr>
        <w:t>lower provision for doubtful debts in 2013-14 resulting from a reduction in outstanding loans</w:t>
      </w:r>
      <w:r w:rsidRPr="00B64306">
        <w:rPr>
          <w:color w:val="000000"/>
        </w:rPr>
        <w:t>.</w:t>
      </w:r>
    </w:p>
    <w:p w:rsidR="00094D65" w:rsidRPr="00B64306" w:rsidRDefault="00094D65">
      <w:pPr>
        <w:pStyle w:val="Heading4"/>
        <w:rPr>
          <w:color w:val="000000"/>
        </w:rPr>
      </w:pPr>
      <w:r w:rsidRPr="00B64306">
        <w:rPr>
          <w:color w:val="000000"/>
        </w:rPr>
        <w:t>Balance Sheet</w:t>
      </w:r>
    </w:p>
    <w:p w:rsidR="00481FE1" w:rsidRPr="002B0673" w:rsidRDefault="00BA6EE1" w:rsidP="007A40D3">
      <w:pPr>
        <w:pStyle w:val="BodyTextIndent"/>
        <w:keepNext w:val="0"/>
        <w:keepLines w:val="0"/>
        <w:numPr>
          <w:ilvl w:val="0"/>
          <w:numId w:val="1"/>
        </w:numPr>
        <w:spacing w:before="120"/>
        <w:ind w:hanging="357"/>
        <w:rPr>
          <w:color w:val="000000"/>
        </w:rPr>
      </w:pPr>
      <w:proofErr w:type="spellStart"/>
      <w:proofErr w:type="gramStart"/>
      <w:r>
        <w:rPr>
          <w:color w:val="000000"/>
        </w:rPr>
        <w:t>non</w:t>
      </w:r>
      <w:proofErr w:type="gramEnd"/>
      <w:r>
        <w:rPr>
          <w:color w:val="000000"/>
        </w:rPr>
        <w:t> </w:t>
      </w:r>
      <w:r w:rsidR="00481FE1" w:rsidRPr="002B0673">
        <w:rPr>
          <w:color w:val="000000"/>
        </w:rPr>
        <w:t>current</w:t>
      </w:r>
      <w:proofErr w:type="spellEnd"/>
      <w:r w:rsidR="00481FE1" w:rsidRPr="002B0673">
        <w:rPr>
          <w:color w:val="000000"/>
        </w:rPr>
        <w:t xml:space="preserve"> receivables:</w:t>
      </w:r>
      <w:r w:rsidR="002B0673" w:rsidRPr="002B0673">
        <w:rPr>
          <w:color w:val="000000"/>
        </w:rPr>
        <w:t xml:space="preserve">  </w:t>
      </w:r>
      <w:r w:rsidR="00481FE1" w:rsidRPr="002B0673">
        <w:rPr>
          <w:color w:val="000000"/>
        </w:rPr>
        <w:t>the decrease of $0.587 million in the 2012</w:t>
      </w:r>
      <w:r w:rsidR="00481FE1" w:rsidRPr="002B0673">
        <w:rPr>
          <w:color w:val="000000"/>
        </w:rPr>
        <w:noBreakHyphen/>
        <w:t xml:space="preserve">13 estimated outcome from the original budget is due to </w:t>
      </w:r>
      <w:r w:rsidR="002B0673">
        <w:rPr>
          <w:color w:val="000000"/>
        </w:rPr>
        <w:t>repayments being higher than anticipated</w:t>
      </w:r>
      <w:r w:rsidR="00182803" w:rsidRPr="002B0673">
        <w:rPr>
          <w:color w:val="000000"/>
        </w:rPr>
        <w:t>.</w:t>
      </w:r>
    </w:p>
    <w:p w:rsidR="00094D65" w:rsidRPr="00B64306" w:rsidRDefault="00BA6EE1" w:rsidP="007A40D3">
      <w:pPr>
        <w:pStyle w:val="BodyTextIndent"/>
        <w:keepNext w:val="0"/>
        <w:keepLines w:val="0"/>
        <w:numPr>
          <w:ilvl w:val="0"/>
          <w:numId w:val="1"/>
        </w:numPr>
        <w:spacing w:before="120"/>
        <w:ind w:hanging="357"/>
        <w:rPr>
          <w:color w:val="000000"/>
        </w:rPr>
      </w:pPr>
      <w:proofErr w:type="spellStart"/>
      <w:r>
        <w:rPr>
          <w:color w:val="000000"/>
        </w:rPr>
        <w:t>n</w:t>
      </w:r>
      <w:r w:rsidR="00094D65" w:rsidRPr="00B64306">
        <w:rPr>
          <w:color w:val="000000"/>
        </w:rPr>
        <w:t>on</w:t>
      </w:r>
      <w:r>
        <w:rPr>
          <w:color w:val="000000"/>
        </w:rPr>
        <w:t> </w:t>
      </w:r>
      <w:r w:rsidR="00094D65" w:rsidRPr="00B64306">
        <w:rPr>
          <w:color w:val="000000"/>
        </w:rPr>
        <w:t>current</w:t>
      </w:r>
      <w:proofErr w:type="spellEnd"/>
      <w:r w:rsidR="00094D65" w:rsidRPr="00B64306">
        <w:rPr>
          <w:color w:val="000000"/>
        </w:rPr>
        <w:t xml:space="preserve"> investments:</w:t>
      </w:r>
    </w:p>
    <w:p w:rsidR="00094D65" w:rsidRPr="00B64306" w:rsidRDefault="00094D65" w:rsidP="007A40D3">
      <w:pPr>
        <w:pStyle w:val="BodyTextIndent2"/>
        <w:keepNext w:val="0"/>
        <w:keepLines w:val="0"/>
        <w:spacing w:before="120"/>
        <w:ind w:hanging="357"/>
        <w:rPr>
          <w:color w:val="000000"/>
        </w:rPr>
      </w:pPr>
      <w:r w:rsidRPr="00B64306">
        <w:rPr>
          <w:color w:val="000000"/>
        </w:rPr>
        <w:t>the increase of $</w:t>
      </w:r>
      <w:r w:rsidR="002A0D92">
        <w:rPr>
          <w:color w:val="000000"/>
        </w:rPr>
        <w:t>8.697</w:t>
      </w:r>
      <w:r w:rsidRPr="00B64306">
        <w:rPr>
          <w:color w:val="000000"/>
        </w:rPr>
        <w:t> million in the 201</w:t>
      </w:r>
      <w:r w:rsidR="009262E2">
        <w:rPr>
          <w:color w:val="000000"/>
        </w:rPr>
        <w:t>2</w:t>
      </w:r>
      <w:r w:rsidRPr="00B64306">
        <w:rPr>
          <w:color w:val="000000"/>
        </w:rPr>
        <w:noBreakHyphen/>
        <w:t>1</w:t>
      </w:r>
      <w:r w:rsidR="009262E2">
        <w:rPr>
          <w:color w:val="000000"/>
        </w:rPr>
        <w:t>3</w:t>
      </w:r>
      <w:r w:rsidRPr="00B64306">
        <w:rPr>
          <w:color w:val="000000"/>
        </w:rPr>
        <w:t xml:space="preserve"> estimated outcome from the original budget is due to </w:t>
      </w:r>
      <w:r w:rsidR="006F7D09">
        <w:rPr>
          <w:color w:val="000000"/>
        </w:rPr>
        <w:t xml:space="preserve">additional </w:t>
      </w:r>
      <w:r w:rsidR="009262E2">
        <w:rPr>
          <w:color w:val="000000"/>
        </w:rPr>
        <w:t>funds</w:t>
      </w:r>
      <w:r w:rsidR="006F7D09">
        <w:rPr>
          <w:color w:val="000000"/>
        </w:rPr>
        <w:t xml:space="preserve"> being</w:t>
      </w:r>
      <w:r w:rsidR="009262E2">
        <w:rPr>
          <w:color w:val="000000"/>
        </w:rPr>
        <w:t xml:space="preserve"> invested from</w:t>
      </w:r>
      <w:r w:rsidR="006F7D09">
        <w:rPr>
          <w:color w:val="000000"/>
        </w:rPr>
        <w:t xml:space="preserve"> </w:t>
      </w:r>
      <w:r w:rsidR="002B0673">
        <w:rPr>
          <w:color w:val="000000"/>
        </w:rPr>
        <w:t>loan repayments which were greater than anticipated</w:t>
      </w:r>
      <w:r w:rsidR="009262E2">
        <w:rPr>
          <w:color w:val="000000"/>
        </w:rPr>
        <w:t xml:space="preserve">; </w:t>
      </w:r>
      <w:r w:rsidRPr="00B64306">
        <w:rPr>
          <w:color w:val="000000"/>
        </w:rPr>
        <w:t>and</w:t>
      </w:r>
    </w:p>
    <w:p w:rsidR="00094D65" w:rsidRPr="00B64306" w:rsidRDefault="00094D65" w:rsidP="007A40D3">
      <w:pPr>
        <w:pStyle w:val="BodyTextIndent2"/>
        <w:keepNext w:val="0"/>
        <w:keepLines w:val="0"/>
        <w:spacing w:before="120"/>
        <w:ind w:hanging="357"/>
        <w:rPr>
          <w:color w:val="000000"/>
        </w:rPr>
      </w:pPr>
      <w:proofErr w:type="gramStart"/>
      <w:r w:rsidRPr="00B64306">
        <w:rPr>
          <w:color w:val="000000"/>
        </w:rPr>
        <w:t>the</w:t>
      </w:r>
      <w:proofErr w:type="gramEnd"/>
      <w:r w:rsidRPr="00B64306">
        <w:rPr>
          <w:color w:val="000000"/>
        </w:rPr>
        <w:t xml:space="preserve"> decrease of $</w:t>
      </w:r>
      <w:r w:rsidR="00453ECE">
        <w:rPr>
          <w:color w:val="000000"/>
        </w:rPr>
        <w:t>4.405</w:t>
      </w:r>
      <w:r w:rsidRPr="00B64306">
        <w:rPr>
          <w:color w:val="000000"/>
        </w:rPr>
        <w:t> million in the 201</w:t>
      </w:r>
      <w:r w:rsidR="009262E2">
        <w:rPr>
          <w:color w:val="000000"/>
        </w:rPr>
        <w:t>3</w:t>
      </w:r>
      <w:r w:rsidRPr="00B64306">
        <w:rPr>
          <w:color w:val="000000"/>
        </w:rPr>
        <w:noBreakHyphen/>
        <w:t>1</w:t>
      </w:r>
      <w:r w:rsidR="009262E2">
        <w:rPr>
          <w:color w:val="000000"/>
        </w:rPr>
        <w:t>4</w:t>
      </w:r>
      <w:r w:rsidRPr="00B64306">
        <w:rPr>
          <w:color w:val="000000"/>
        </w:rPr>
        <w:t> Budget from the 201</w:t>
      </w:r>
      <w:r w:rsidR="009262E2">
        <w:rPr>
          <w:color w:val="000000"/>
        </w:rPr>
        <w:t>2</w:t>
      </w:r>
      <w:r w:rsidRPr="00B64306">
        <w:rPr>
          <w:color w:val="000000"/>
        </w:rPr>
        <w:noBreakHyphen/>
        <w:t>1</w:t>
      </w:r>
      <w:r w:rsidR="009262E2">
        <w:rPr>
          <w:color w:val="000000"/>
        </w:rPr>
        <w:t>3</w:t>
      </w:r>
      <w:r w:rsidRPr="00B64306">
        <w:rPr>
          <w:color w:val="000000"/>
        </w:rPr>
        <w:t xml:space="preserve"> estimated outcome </w:t>
      </w:r>
      <w:r w:rsidR="00AE32BF">
        <w:rPr>
          <w:color w:val="000000"/>
        </w:rPr>
        <w:t>is due to</w:t>
      </w:r>
      <w:r w:rsidRPr="00B64306">
        <w:rPr>
          <w:color w:val="000000"/>
        </w:rPr>
        <w:t xml:space="preserve"> the use of investments to meet Commonwealth loan commitments</w:t>
      </w:r>
      <w:r w:rsidR="00FE0F03">
        <w:rPr>
          <w:color w:val="000000"/>
        </w:rPr>
        <w:t xml:space="preserve"> and the return of surplus funds to the Territory.</w:t>
      </w:r>
    </w:p>
    <w:p w:rsidR="00031C1F" w:rsidRPr="00A77226" w:rsidRDefault="00BA6EE1" w:rsidP="003035BE">
      <w:pPr>
        <w:pStyle w:val="BodyTextIndent"/>
        <w:keepNext w:val="0"/>
        <w:keepLines w:val="0"/>
        <w:numPr>
          <w:ilvl w:val="0"/>
          <w:numId w:val="1"/>
        </w:numPr>
        <w:rPr>
          <w:color w:val="000000"/>
        </w:rPr>
      </w:pPr>
      <w:proofErr w:type="spellStart"/>
      <w:proofErr w:type="gramStart"/>
      <w:r>
        <w:rPr>
          <w:color w:val="000000"/>
        </w:rPr>
        <w:t>non</w:t>
      </w:r>
      <w:proofErr w:type="gramEnd"/>
      <w:r>
        <w:rPr>
          <w:color w:val="000000"/>
        </w:rPr>
        <w:t> </w:t>
      </w:r>
      <w:r w:rsidR="001943B5">
        <w:rPr>
          <w:color w:val="000000"/>
        </w:rPr>
        <w:t>current</w:t>
      </w:r>
      <w:proofErr w:type="spellEnd"/>
      <w:r w:rsidR="001943B5">
        <w:rPr>
          <w:color w:val="000000"/>
        </w:rPr>
        <w:t xml:space="preserve"> interest-bearing liabilities:  the decrease of $</w:t>
      </w:r>
      <w:r w:rsidR="00A5380B">
        <w:rPr>
          <w:color w:val="000000"/>
        </w:rPr>
        <w:t>3.021</w:t>
      </w:r>
      <w:r w:rsidR="001943B5">
        <w:rPr>
          <w:color w:val="000000"/>
        </w:rPr>
        <w:t> million in the 201</w:t>
      </w:r>
      <w:r w:rsidR="00A36630" w:rsidRPr="00A36630">
        <w:rPr>
          <w:color w:val="000000"/>
        </w:rPr>
        <w:t>3</w:t>
      </w:r>
      <w:r w:rsidR="001943B5">
        <w:rPr>
          <w:color w:val="000000"/>
        </w:rPr>
        <w:noBreakHyphen/>
        <w:t>1</w:t>
      </w:r>
      <w:r w:rsidR="00A36630" w:rsidRPr="00A36630">
        <w:rPr>
          <w:color w:val="000000"/>
        </w:rPr>
        <w:t>4</w:t>
      </w:r>
      <w:r w:rsidR="00B62913">
        <w:rPr>
          <w:color w:val="000000"/>
        </w:rPr>
        <w:t> </w:t>
      </w:r>
      <w:r w:rsidR="001943B5">
        <w:rPr>
          <w:color w:val="000000"/>
        </w:rPr>
        <w:t>Budget from the 201</w:t>
      </w:r>
      <w:r w:rsidR="00A36630" w:rsidRPr="00A36630">
        <w:rPr>
          <w:color w:val="000000"/>
        </w:rPr>
        <w:t>2</w:t>
      </w:r>
      <w:r w:rsidR="001943B5">
        <w:rPr>
          <w:color w:val="000000"/>
        </w:rPr>
        <w:noBreakHyphen/>
        <w:t>1</w:t>
      </w:r>
      <w:r w:rsidR="00A36630" w:rsidRPr="00A36630">
        <w:rPr>
          <w:color w:val="000000"/>
        </w:rPr>
        <w:t>3</w:t>
      </w:r>
      <w:r w:rsidR="001943B5">
        <w:rPr>
          <w:color w:val="000000"/>
        </w:rPr>
        <w:t xml:space="preserve"> estimated outcome is due to the reduction in the loan principal owing to the Commonwealth Government which is scheduled to be fully paid in 2040.</w:t>
      </w:r>
    </w:p>
    <w:p w:rsidR="00EF0CDA" w:rsidRPr="00A77226" w:rsidRDefault="001943B5" w:rsidP="00EF0CDA">
      <w:pPr>
        <w:pStyle w:val="Heading4"/>
        <w:rPr>
          <w:color w:val="000000"/>
        </w:rPr>
      </w:pPr>
      <w:r>
        <w:rPr>
          <w:color w:val="000000"/>
        </w:rPr>
        <w:t>Statement of Changes in Equity</w:t>
      </w:r>
    </w:p>
    <w:p w:rsidR="00031C1F" w:rsidRPr="00A77226" w:rsidRDefault="001943B5" w:rsidP="00031C1F">
      <w:pPr>
        <w:pStyle w:val="BodyText"/>
        <w:rPr>
          <w:color w:val="000000"/>
        </w:rPr>
      </w:pPr>
      <w:r>
        <w:rPr>
          <w:color w:val="000000"/>
        </w:rPr>
        <w:t>Variations in the statement are explained in the notes above.</w:t>
      </w:r>
    </w:p>
    <w:p w:rsidR="00094D65" w:rsidRPr="00A77226" w:rsidRDefault="001943B5">
      <w:pPr>
        <w:pStyle w:val="Heading4"/>
        <w:rPr>
          <w:color w:val="000000"/>
        </w:rPr>
      </w:pPr>
      <w:r>
        <w:rPr>
          <w:color w:val="000000"/>
        </w:rPr>
        <w:t>Cash Flow Statement</w:t>
      </w:r>
    </w:p>
    <w:p w:rsidR="00094D65" w:rsidRPr="00B64306" w:rsidRDefault="001943B5" w:rsidP="00412A52">
      <w:pPr>
        <w:pStyle w:val="BodyText"/>
        <w:rPr>
          <w:color w:val="000000"/>
        </w:rPr>
      </w:pPr>
      <w:r>
        <w:rPr>
          <w:color w:val="000000"/>
        </w:rPr>
        <w:t>Variations in the statement are explained in the notes above.</w:t>
      </w:r>
    </w:p>
    <w:p w:rsidR="007A40D3" w:rsidRDefault="007A40D3">
      <w:pPr>
        <w:rPr>
          <w:color w:val="000000"/>
        </w:rPr>
      </w:pPr>
      <w:r>
        <w:rPr>
          <w:color w:val="000000"/>
        </w:rPr>
        <w:br w:type="page"/>
      </w:r>
    </w:p>
    <w:p w:rsidR="00094D65" w:rsidRPr="00B64306" w:rsidRDefault="00094D65">
      <w:pPr>
        <w:pStyle w:val="BodyText"/>
        <w:rPr>
          <w:color w:val="000000"/>
        </w:rPr>
      </w:pPr>
    </w:p>
    <w:sectPr w:rsidR="00094D65" w:rsidRPr="00B64306" w:rsidSect="00746EB9">
      <w:pgSz w:w="11907" w:h="16840" w:code="9"/>
      <w:pgMar w:top="1151" w:right="1440" w:bottom="172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51" w:rsidRDefault="008C7551">
      <w:r>
        <w:separator/>
      </w:r>
    </w:p>
  </w:endnote>
  <w:endnote w:type="continuationSeparator" w:id="0">
    <w:p w:rsidR="008C7551" w:rsidRDefault="008C7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51" w:rsidRDefault="008C7551">
    <w:pPr>
      <w:pStyle w:val="FooterBP"/>
    </w:pPr>
    <w:r>
      <w:t>2013-14 Budget Paper No. 4</w:t>
    </w:r>
    <w:r>
      <w:tab/>
    </w:r>
    <w:fldSimple w:instr=" PAGE   \* MERGEFORMAT ">
      <w:r w:rsidR="00630825">
        <w:rPr>
          <w:noProof/>
        </w:rPr>
        <w:t>195</w:t>
      </w:r>
    </w:fldSimple>
    <w:r>
      <w:tab/>
      <w:t>Home Loan Portfolio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51" w:rsidRDefault="008C7551">
      <w:r>
        <w:separator/>
      </w:r>
    </w:p>
  </w:footnote>
  <w:footnote w:type="continuationSeparator" w:id="0">
    <w:p w:rsidR="008C7551" w:rsidRDefault="008C7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05C15"/>
    <w:multiLevelType w:val="hybridMultilevel"/>
    <w:tmpl w:val="6BFADE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735141C2"/>
    <w:multiLevelType w:val="hybridMultilevel"/>
    <w:tmpl w:val="4BD6E9D6"/>
    <w:lvl w:ilvl="0" w:tplc="85BAA5A2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F1B0FA6"/>
    <w:multiLevelType w:val="hybridMultilevel"/>
    <w:tmpl w:val="95A41CAC"/>
    <w:lvl w:ilvl="0" w:tplc="58368A90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3"/>
  </w:num>
  <w:num w:numId="4">
    <w:abstractNumId w:val="15"/>
  </w:num>
  <w:num w:numId="5">
    <w:abstractNumId w:val="20"/>
  </w:num>
  <w:num w:numId="6">
    <w:abstractNumId w:val="16"/>
  </w:num>
  <w:num w:numId="7">
    <w:abstractNumId w:val="18"/>
  </w:num>
  <w:num w:numId="8">
    <w:abstractNumId w:val="19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21"/>
  </w:num>
  <w:num w:numId="26">
    <w:abstractNumId w:val="13"/>
  </w:num>
  <w:num w:numId="27">
    <w:abstractNumId w:val="10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37492"/>
    <w:rsid w:val="00000276"/>
    <w:rsid w:val="000031EB"/>
    <w:rsid w:val="00027A38"/>
    <w:rsid w:val="00031C1F"/>
    <w:rsid w:val="000340A4"/>
    <w:rsid w:val="00037492"/>
    <w:rsid w:val="00052434"/>
    <w:rsid w:val="000524E5"/>
    <w:rsid w:val="000529D1"/>
    <w:rsid w:val="00062A99"/>
    <w:rsid w:val="00065FB7"/>
    <w:rsid w:val="0007693E"/>
    <w:rsid w:val="0007704A"/>
    <w:rsid w:val="000774D7"/>
    <w:rsid w:val="0008438C"/>
    <w:rsid w:val="00094D65"/>
    <w:rsid w:val="000A2B2B"/>
    <w:rsid w:val="000C1972"/>
    <w:rsid w:val="000C21F9"/>
    <w:rsid w:val="000C64EC"/>
    <w:rsid w:val="000C711E"/>
    <w:rsid w:val="000D2CB0"/>
    <w:rsid w:val="000D79C5"/>
    <w:rsid w:val="000E0425"/>
    <w:rsid w:val="000E77A9"/>
    <w:rsid w:val="000F3184"/>
    <w:rsid w:val="000F6424"/>
    <w:rsid w:val="00110D3F"/>
    <w:rsid w:val="00125986"/>
    <w:rsid w:val="00137177"/>
    <w:rsid w:val="001372E8"/>
    <w:rsid w:val="00151017"/>
    <w:rsid w:val="001572AB"/>
    <w:rsid w:val="0016122A"/>
    <w:rsid w:val="00164DF7"/>
    <w:rsid w:val="001716B3"/>
    <w:rsid w:val="001725CB"/>
    <w:rsid w:val="00176E28"/>
    <w:rsid w:val="00182803"/>
    <w:rsid w:val="00183297"/>
    <w:rsid w:val="00184229"/>
    <w:rsid w:val="001943B5"/>
    <w:rsid w:val="001A03FB"/>
    <w:rsid w:val="001A7FBA"/>
    <w:rsid w:val="001B504C"/>
    <w:rsid w:val="001C6F7C"/>
    <w:rsid w:val="001C6FDA"/>
    <w:rsid w:val="001D4E9F"/>
    <w:rsid w:val="001D72C4"/>
    <w:rsid w:val="001F0438"/>
    <w:rsid w:val="001F080D"/>
    <w:rsid w:val="001F529E"/>
    <w:rsid w:val="001F5B4C"/>
    <w:rsid w:val="00203753"/>
    <w:rsid w:val="00203FAF"/>
    <w:rsid w:val="00211A88"/>
    <w:rsid w:val="002202F2"/>
    <w:rsid w:val="002261F1"/>
    <w:rsid w:val="00227FE1"/>
    <w:rsid w:val="00231647"/>
    <w:rsid w:val="00236626"/>
    <w:rsid w:val="0023699C"/>
    <w:rsid w:val="00243405"/>
    <w:rsid w:val="00243716"/>
    <w:rsid w:val="00264E23"/>
    <w:rsid w:val="002655CB"/>
    <w:rsid w:val="00275176"/>
    <w:rsid w:val="00275653"/>
    <w:rsid w:val="00290F95"/>
    <w:rsid w:val="00294FA8"/>
    <w:rsid w:val="00295592"/>
    <w:rsid w:val="002A0D92"/>
    <w:rsid w:val="002A114B"/>
    <w:rsid w:val="002A4592"/>
    <w:rsid w:val="002A56AC"/>
    <w:rsid w:val="002B0673"/>
    <w:rsid w:val="002B2440"/>
    <w:rsid w:val="002C1877"/>
    <w:rsid w:val="002C585B"/>
    <w:rsid w:val="002C75F4"/>
    <w:rsid w:val="002E2CC9"/>
    <w:rsid w:val="002E3A52"/>
    <w:rsid w:val="002E5CB9"/>
    <w:rsid w:val="002F43E6"/>
    <w:rsid w:val="002F6F21"/>
    <w:rsid w:val="003035BE"/>
    <w:rsid w:val="00303E81"/>
    <w:rsid w:val="00304C47"/>
    <w:rsid w:val="00314D6E"/>
    <w:rsid w:val="00320CD9"/>
    <w:rsid w:val="00321281"/>
    <w:rsid w:val="00322BA3"/>
    <w:rsid w:val="0032544D"/>
    <w:rsid w:val="00335965"/>
    <w:rsid w:val="00335DBE"/>
    <w:rsid w:val="003378D1"/>
    <w:rsid w:val="0034521E"/>
    <w:rsid w:val="00347CBF"/>
    <w:rsid w:val="003500AB"/>
    <w:rsid w:val="003536BB"/>
    <w:rsid w:val="00353B2F"/>
    <w:rsid w:val="003705B6"/>
    <w:rsid w:val="00374D44"/>
    <w:rsid w:val="00384888"/>
    <w:rsid w:val="00391483"/>
    <w:rsid w:val="0039173F"/>
    <w:rsid w:val="003B73B1"/>
    <w:rsid w:val="003C7E85"/>
    <w:rsid w:val="003D2809"/>
    <w:rsid w:val="003D4C14"/>
    <w:rsid w:val="003D5842"/>
    <w:rsid w:val="003E633D"/>
    <w:rsid w:val="003F4AD8"/>
    <w:rsid w:val="00402BA9"/>
    <w:rsid w:val="00407813"/>
    <w:rsid w:val="004103E2"/>
    <w:rsid w:val="00412A52"/>
    <w:rsid w:val="004151C4"/>
    <w:rsid w:val="004203C3"/>
    <w:rsid w:val="00432EE7"/>
    <w:rsid w:val="00437956"/>
    <w:rsid w:val="0044238B"/>
    <w:rsid w:val="004442E6"/>
    <w:rsid w:val="00447574"/>
    <w:rsid w:val="00453ECE"/>
    <w:rsid w:val="00457FE5"/>
    <w:rsid w:val="004603BD"/>
    <w:rsid w:val="004669F4"/>
    <w:rsid w:val="00474466"/>
    <w:rsid w:val="00481FE1"/>
    <w:rsid w:val="0048474D"/>
    <w:rsid w:val="00493E47"/>
    <w:rsid w:val="004A2E5D"/>
    <w:rsid w:val="004B64C0"/>
    <w:rsid w:val="004C5069"/>
    <w:rsid w:val="004C60C8"/>
    <w:rsid w:val="004D0A5F"/>
    <w:rsid w:val="004E3364"/>
    <w:rsid w:val="004E4B47"/>
    <w:rsid w:val="004E76DE"/>
    <w:rsid w:val="004F6B33"/>
    <w:rsid w:val="00505328"/>
    <w:rsid w:val="00515E26"/>
    <w:rsid w:val="00520EE3"/>
    <w:rsid w:val="00521025"/>
    <w:rsid w:val="00542166"/>
    <w:rsid w:val="00546771"/>
    <w:rsid w:val="00562D8B"/>
    <w:rsid w:val="0058377C"/>
    <w:rsid w:val="005952A4"/>
    <w:rsid w:val="005963A0"/>
    <w:rsid w:val="005A474D"/>
    <w:rsid w:val="005B7223"/>
    <w:rsid w:val="005D3CE9"/>
    <w:rsid w:val="005D3D78"/>
    <w:rsid w:val="005D5878"/>
    <w:rsid w:val="005D73AF"/>
    <w:rsid w:val="005E05B8"/>
    <w:rsid w:val="005E7D5C"/>
    <w:rsid w:val="005F6F36"/>
    <w:rsid w:val="0060105C"/>
    <w:rsid w:val="0060418B"/>
    <w:rsid w:val="00606D5D"/>
    <w:rsid w:val="0061393D"/>
    <w:rsid w:val="00613CC0"/>
    <w:rsid w:val="006168B0"/>
    <w:rsid w:val="0061693B"/>
    <w:rsid w:val="006279E2"/>
    <w:rsid w:val="00630825"/>
    <w:rsid w:val="00633E68"/>
    <w:rsid w:val="00634574"/>
    <w:rsid w:val="00652651"/>
    <w:rsid w:val="006538A0"/>
    <w:rsid w:val="00654809"/>
    <w:rsid w:val="006641EC"/>
    <w:rsid w:val="00670D05"/>
    <w:rsid w:val="006762D6"/>
    <w:rsid w:val="00680925"/>
    <w:rsid w:val="00685FCE"/>
    <w:rsid w:val="00690A67"/>
    <w:rsid w:val="00692803"/>
    <w:rsid w:val="00692EC2"/>
    <w:rsid w:val="00694F1E"/>
    <w:rsid w:val="006C219F"/>
    <w:rsid w:val="006C69AC"/>
    <w:rsid w:val="006D51CC"/>
    <w:rsid w:val="006D7F3B"/>
    <w:rsid w:val="006F7D09"/>
    <w:rsid w:val="00710030"/>
    <w:rsid w:val="00722BDD"/>
    <w:rsid w:val="00724854"/>
    <w:rsid w:val="00732F68"/>
    <w:rsid w:val="00733576"/>
    <w:rsid w:val="007345EC"/>
    <w:rsid w:val="00746EB9"/>
    <w:rsid w:val="00751BF5"/>
    <w:rsid w:val="007543E3"/>
    <w:rsid w:val="00757705"/>
    <w:rsid w:val="00776E14"/>
    <w:rsid w:val="00781045"/>
    <w:rsid w:val="007873DE"/>
    <w:rsid w:val="00794D96"/>
    <w:rsid w:val="007A0B47"/>
    <w:rsid w:val="007A40D3"/>
    <w:rsid w:val="007B275F"/>
    <w:rsid w:val="007B5DE2"/>
    <w:rsid w:val="007D44FC"/>
    <w:rsid w:val="007D6F1D"/>
    <w:rsid w:val="007E51CA"/>
    <w:rsid w:val="007E75BD"/>
    <w:rsid w:val="007F1EF1"/>
    <w:rsid w:val="007F3138"/>
    <w:rsid w:val="007F422F"/>
    <w:rsid w:val="007F5039"/>
    <w:rsid w:val="0080653D"/>
    <w:rsid w:val="0081683B"/>
    <w:rsid w:val="00817A16"/>
    <w:rsid w:val="00823BAE"/>
    <w:rsid w:val="00826E54"/>
    <w:rsid w:val="008539E3"/>
    <w:rsid w:val="008541C0"/>
    <w:rsid w:val="008646B8"/>
    <w:rsid w:val="008813D8"/>
    <w:rsid w:val="0088180C"/>
    <w:rsid w:val="0088200C"/>
    <w:rsid w:val="008938BF"/>
    <w:rsid w:val="00894E79"/>
    <w:rsid w:val="00895F58"/>
    <w:rsid w:val="00897280"/>
    <w:rsid w:val="008A17DA"/>
    <w:rsid w:val="008A2897"/>
    <w:rsid w:val="008A327A"/>
    <w:rsid w:val="008A6F59"/>
    <w:rsid w:val="008B37CC"/>
    <w:rsid w:val="008B5DDA"/>
    <w:rsid w:val="008C678A"/>
    <w:rsid w:val="008C7551"/>
    <w:rsid w:val="008E3029"/>
    <w:rsid w:val="008F3676"/>
    <w:rsid w:val="008F7907"/>
    <w:rsid w:val="00903661"/>
    <w:rsid w:val="00917D18"/>
    <w:rsid w:val="009205FA"/>
    <w:rsid w:val="00920916"/>
    <w:rsid w:val="00920D1E"/>
    <w:rsid w:val="00923B7F"/>
    <w:rsid w:val="009262E2"/>
    <w:rsid w:val="009365DF"/>
    <w:rsid w:val="00944BD6"/>
    <w:rsid w:val="00966413"/>
    <w:rsid w:val="009803E0"/>
    <w:rsid w:val="00980A42"/>
    <w:rsid w:val="00991107"/>
    <w:rsid w:val="00991191"/>
    <w:rsid w:val="00997F6A"/>
    <w:rsid w:val="009A3EAC"/>
    <w:rsid w:val="009B0CD3"/>
    <w:rsid w:val="009D1429"/>
    <w:rsid w:val="009D2B90"/>
    <w:rsid w:val="009E29F4"/>
    <w:rsid w:val="009E3B9C"/>
    <w:rsid w:val="009F27BC"/>
    <w:rsid w:val="009F42EA"/>
    <w:rsid w:val="00A02F13"/>
    <w:rsid w:val="00A1214C"/>
    <w:rsid w:val="00A31CD6"/>
    <w:rsid w:val="00A36630"/>
    <w:rsid w:val="00A47518"/>
    <w:rsid w:val="00A5380B"/>
    <w:rsid w:val="00A620AD"/>
    <w:rsid w:val="00A66FF3"/>
    <w:rsid w:val="00A7651D"/>
    <w:rsid w:val="00A77226"/>
    <w:rsid w:val="00A86706"/>
    <w:rsid w:val="00A87230"/>
    <w:rsid w:val="00A90766"/>
    <w:rsid w:val="00A90F2B"/>
    <w:rsid w:val="00A92CC7"/>
    <w:rsid w:val="00A95CD6"/>
    <w:rsid w:val="00AA5C0B"/>
    <w:rsid w:val="00AB53F7"/>
    <w:rsid w:val="00AC3EBC"/>
    <w:rsid w:val="00AC6B2A"/>
    <w:rsid w:val="00AD16CF"/>
    <w:rsid w:val="00AE144D"/>
    <w:rsid w:val="00AE32BF"/>
    <w:rsid w:val="00AE7403"/>
    <w:rsid w:val="00B069B6"/>
    <w:rsid w:val="00B20470"/>
    <w:rsid w:val="00B23634"/>
    <w:rsid w:val="00B26B3E"/>
    <w:rsid w:val="00B40DBF"/>
    <w:rsid w:val="00B457B1"/>
    <w:rsid w:val="00B45C94"/>
    <w:rsid w:val="00B46B3B"/>
    <w:rsid w:val="00B53B76"/>
    <w:rsid w:val="00B62018"/>
    <w:rsid w:val="00B62913"/>
    <w:rsid w:val="00B64306"/>
    <w:rsid w:val="00B64354"/>
    <w:rsid w:val="00B65665"/>
    <w:rsid w:val="00B677AD"/>
    <w:rsid w:val="00B74E64"/>
    <w:rsid w:val="00B81773"/>
    <w:rsid w:val="00B829BC"/>
    <w:rsid w:val="00B82FBF"/>
    <w:rsid w:val="00B85840"/>
    <w:rsid w:val="00B94FF9"/>
    <w:rsid w:val="00B97227"/>
    <w:rsid w:val="00BA07AF"/>
    <w:rsid w:val="00BA40DC"/>
    <w:rsid w:val="00BA5CAA"/>
    <w:rsid w:val="00BA6EE1"/>
    <w:rsid w:val="00BA7BE3"/>
    <w:rsid w:val="00BB0028"/>
    <w:rsid w:val="00BC76E8"/>
    <w:rsid w:val="00BD08D9"/>
    <w:rsid w:val="00BD3307"/>
    <w:rsid w:val="00BE18D0"/>
    <w:rsid w:val="00BE4591"/>
    <w:rsid w:val="00BE603F"/>
    <w:rsid w:val="00BF0D5F"/>
    <w:rsid w:val="00BF352C"/>
    <w:rsid w:val="00C01ACD"/>
    <w:rsid w:val="00C14E91"/>
    <w:rsid w:val="00C20153"/>
    <w:rsid w:val="00C202B6"/>
    <w:rsid w:val="00C21C1E"/>
    <w:rsid w:val="00C24050"/>
    <w:rsid w:val="00C243CF"/>
    <w:rsid w:val="00C34F03"/>
    <w:rsid w:val="00C457FA"/>
    <w:rsid w:val="00C47B9A"/>
    <w:rsid w:val="00C47F93"/>
    <w:rsid w:val="00C50F6A"/>
    <w:rsid w:val="00C510B5"/>
    <w:rsid w:val="00C704FC"/>
    <w:rsid w:val="00C74619"/>
    <w:rsid w:val="00C75615"/>
    <w:rsid w:val="00C821E8"/>
    <w:rsid w:val="00C907AD"/>
    <w:rsid w:val="00C952F6"/>
    <w:rsid w:val="00C96E60"/>
    <w:rsid w:val="00CA401A"/>
    <w:rsid w:val="00CA4056"/>
    <w:rsid w:val="00CB15C6"/>
    <w:rsid w:val="00CB53EC"/>
    <w:rsid w:val="00CC671B"/>
    <w:rsid w:val="00CC77DE"/>
    <w:rsid w:val="00CD4B12"/>
    <w:rsid w:val="00CD745B"/>
    <w:rsid w:val="00CE486E"/>
    <w:rsid w:val="00CE7DFF"/>
    <w:rsid w:val="00CF23D4"/>
    <w:rsid w:val="00CF503A"/>
    <w:rsid w:val="00D00C37"/>
    <w:rsid w:val="00D1636C"/>
    <w:rsid w:val="00D1749C"/>
    <w:rsid w:val="00D2384D"/>
    <w:rsid w:val="00D32CAA"/>
    <w:rsid w:val="00D461FA"/>
    <w:rsid w:val="00D514A7"/>
    <w:rsid w:val="00D562C7"/>
    <w:rsid w:val="00D66B74"/>
    <w:rsid w:val="00D7791C"/>
    <w:rsid w:val="00D83712"/>
    <w:rsid w:val="00D8555A"/>
    <w:rsid w:val="00D95A14"/>
    <w:rsid w:val="00DC2A32"/>
    <w:rsid w:val="00DC7EFF"/>
    <w:rsid w:val="00DF3021"/>
    <w:rsid w:val="00DF75AE"/>
    <w:rsid w:val="00E10BCD"/>
    <w:rsid w:val="00E17D0F"/>
    <w:rsid w:val="00E20E49"/>
    <w:rsid w:val="00E221D6"/>
    <w:rsid w:val="00E26F0A"/>
    <w:rsid w:val="00E27F65"/>
    <w:rsid w:val="00E459E4"/>
    <w:rsid w:val="00E4702D"/>
    <w:rsid w:val="00E501B0"/>
    <w:rsid w:val="00E503B1"/>
    <w:rsid w:val="00E51A21"/>
    <w:rsid w:val="00E57204"/>
    <w:rsid w:val="00E6593B"/>
    <w:rsid w:val="00E74A21"/>
    <w:rsid w:val="00E8537E"/>
    <w:rsid w:val="00E96BAB"/>
    <w:rsid w:val="00EA6741"/>
    <w:rsid w:val="00EB0AB4"/>
    <w:rsid w:val="00EC5CF8"/>
    <w:rsid w:val="00EC7695"/>
    <w:rsid w:val="00ED17B8"/>
    <w:rsid w:val="00EE2CFC"/>
    <w:rsid w:val="00EE7600"/>
    <w:rsid w:val="00EE7815"/>
    <w:rsid w:val="00EF0CDA"/>
    <w:rsid w:val="00F130AB"/>
    <w:rsid w:val="00F14682"/>
    <w:rsid w:val="00F1558C"/>
    <w:rsid w:val="00F23C17"/>
    <w:rsid w:val="00F24AE9"/>
    <w:rsid w:val="00F413AE"/>
    <w:rsid w:val="00F46008"/>
    <w:rsid w:val="00F53432"/>
    <w:rsid w:val="00F55DB4"/>
    <w:rsid w:val="00F64B3F"/>
    <w:rsid w:val="00F80720"/>
    <w:rsid w:val="00F825DF"/>
    <w:rsid w:val="00F84B74"/>
    <w:rsid w:val="00F84E2B"/>
    <w:rsid w:val="00F86C73"/>
    <w:rsid w:val="00F87BF7"/>
    <w:rsid w:val="00F9225E"/>
    <w:rsid w:val="00F97604"/>
    <w:rsid w:val="00FA2F29"/>
    <w:rsid w:val="00FA7CAF"/>
    <w:rsid w:val="00FC52AD"/>
    <w:rsid w:val="00FE0F03"/>
    <w:rsid w:val="00FE10BA"/>
    <w:rsid w:val="00FE4C1F"/>
    <w:rsid w:val="00FE5CF6"/>
    <w:rsid w:val="00FE71BC"/>
    <w:rsid w:val="00FF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/>
    <w:lsdException w:name="toc 2" w:locked="1" w:semiHidden="0"/>
    <w:lsdException w:name="toc 3" w:locked="1" w:semiHidden="0"/>
    <w:lsdException w:name="toc 4" w:locked="1" w:semiHidden="0"/>
    <w:lsdException w:name="toc 5" w:locked="1" w:semiHidden="0"/>
    <w:lsdException w:name="toc 6" w:locked="1" w:semiHidden="0"/>
    <w:lsdException w:name="toc 7" w:locked="1" w:semiHidden="0"/>
    <w:lsdException w:name="toc 8" w:locked="1" w:semiHidden="0"/>
    <w:lsdException w:name="toc 9" w:locked="1" w:semiHidden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iPriority="99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qFormat="1"/>
    <w:lsdException w:name="Document Map" w:uiPriority="99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/>
    <w:lsdException w:name="annotation subject" w:unhideWhenUsed="1"/>
    <w:lsdException w:name="No List" w:locked="1" w:semiHidden="0" w:uiPriority="99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B53EC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CB53EC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CB53EC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CB53EC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CB53EC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autoRedefine/>
    <w:qFormat/>
    <w:rsid w:val="00CB53EC"/>
    <w:pPr>
      <w:keepNext/>
      <w:numPr>
        <w:ilvl w:val="4"/>
        <w:numId w:val="13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link w:val="Heading6Char"/>
    <w:qFormat/>
    <w:rsid w:val="00CB53EC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CB53EC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CB53EC"/>
    <w:pPr>
      <w:keepNext/>
      <w:numPr>
        <w:ilvl w:val="7"/>
        <w:numId w:val="13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CB53EC"/>
    <w:pPr>
      <w:keepNext/>
      <w:numPr>
        <w:ilvl w:val="8"/>
        <w:numId w:val="13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D4C14"/>
    <w:rPr>
      <w:rFonts w:ascii="Arial" w:hAnsi="Arial"/>
      <w:b/>
      <w:caps/>
      <w:kern w:val="28"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3D4C14"/>
    <w:rPr>
      <w:rFonts w:ascii="Calibri" w:hAnsi="Calibri"/>
      <w:b/>
      <w:snapToGrid w:val="0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CF23D4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CF23D4"/>
    <w:rPr>
      <w:rFonts w:ascii="Calibri" w:hAnsi="Calibri"/>
      <w:i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3D4C14"/>
    <w:rPr>
      <w:rFonts w:ascii="Calibri" w:hAnsi="Calibri"/>
      <w:b/>
      <w:i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3D4C14"/>
    <w:rPr>
      <w:rFonts w:ascii="Calibri" w:hAnsi="Calibri"/>
      <w:b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3D4C14"/>
    <w:rPr>
      <w:rFonts w:ascii="Calibri" w:hAnsi="Calibri"/>
      <w:b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3D4C14"/>
    <w:rPr>
      <w:rFonts w:ascii="Arial" w:hAnsi="Arial"/>
      <w:b/>
      <w:snapToGrid w:val="0"/>
      <w:color w:val="00000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3D4C14"/>
    <w:rPr>
      <w:rFonts w:ascii="Arial" w:hAnsi="Arial" w:cs="Arial"/>
      <w:b/>
      <w:snapToGrid w:val="0"/>
      <w:color w:val="000000"/>
      <w:sz w:val="18"/>
      <w:szCs w:val="20"/>
      <w:lang w:eastAsia="en-US"/>
    </w:rPr>
  </w:style>
  <w:style w:type="paragraph" w:customStyle="1" w:styleId="TableHeadingCentre">
    <w:name w:val="Table Heading Centre"/>
    <w:basedOn w:val="Normal"/>
    <w:rsid w:val="00CB53EC"/>
    <w:pPr>
      <w:keepNext/>
      <w:jc w:val="center"/>
    </w:pPr>
    <w:rPr>
      <w:b/>
      <w:sz w:val="20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CF23D4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styleId="BodyText">
    <w:name w:val="Body Text"/>
    <w:basedOn w:val="Normal"/>
    <w:link w:val="BodyTextChar"/>
    <w:rsid w:val="00CB53EC"/>
    <w:pPr>
      <w:keepNext/>
      <w:keepLines/>
      <w:spacing w:before="120" w:after="120"/>
      <w:jc w:val="both"/>
    </w:pPr>
  </w:style>
  <w:style w:type="character" w:customStyle="1" w:styleId="BodyTextChar">
    <w:name w:val="Body Text Char"/>
    <w:basedOn w:val="DefaultParagraphFont"/>
    <w:link w:val="BodyText"/>
    <w:locked/>
    <w:rsid w:val="003D4C14"/>
    <w:rPr>
      <w:rFonts w:ascii="Calibri" w:hAnsi="Calibri"/>
      <w:sz w:val="24"/>
      <w:szCs w:val="20"/>
      <w:lang w:eastAsia="en-US"/>
    </w:rPr>
  </w:style>
  <w:style w:type="paragraph" w:styleId="BodyTextIndent">
    <w:name w:val="Body Text Indent"/>
    <w:basedOn w:val="Normal"/>
    <w:next w:val="BodyText"/>
    <w:link w:val="BodyTextIndentChar"/>
    <w:rsid w:val="00CB53EC"/>
    <w:pPr>
      <w:keepNext/>
      <w:keepLines/>
      <w:numPr>
        <w:numId w:val="9"/>
      </w:numPr>
      <w:spacing w:after="1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CF23D4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B53EC"/>
    <w:pPr>
      <w:keepNext/>
      <w:keepLines/>
      <w:numPr>
        <w:numId w:val="10"/>
      </w:numPr>
      <w:spacing w:after="120"/>
      <w:jc w:val="both"/>
    </w:pPr>
  </w:style>
  <w:style w:type="character" w:customStyle="1" w:styleId="BodyTextIndent2Char">
    <w:name w:val="Body Text Indent 2 Char"/>
    <w:basedOn w:val="DefaultParagraphFont"/>
    <w:link w:val="BodyTextIndent2"/>
    <w:locked/>
    <w:rsid w:val="003D4C14"/>
    <w:rPr>
      <w:rFonts w:ascii="Calibri" w:hAnsi="Calibri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CB53EC"/>
    <w:pPr>
      <w:keepNext/>
      <w:keepLines/>
      <w:numPr>
        <w:numId w:val="11"/>
      </w:numPr>
      <w:tabs>
        <w:tab w:val="left" w:pos="1134"/>
      </w:tabs>
      <w:spacing w:after="12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3D4C14"/>
    <w:rPr>
      <w:rFonts w:ascii="Calibri" w:hAnsi="Calibri"/>
      <w:sz w:val="24"/>
      <w:szCs w:val="24"/>
      <w:lang w:eastAsia="en-US"/>
    </w:rPr>
  </w:style>
  <w:style w:type="paragraph" w:customStyle="1" w:styleId="BodyTextIndent4">
    <w:name w:val="Body Text Indent 4"/>
    <w:basedOn w:val="BodyText"/>
    <w:next w:val="BodyText"/>
    <w:rsid w:val="00CB53EC"/>
    <w:pPr>
      <w:numPr>
        <w:numId w:val="12"/>
      </w:numPr>
      <w:spacing w:before="0"/>
    </w:pPr>
  </w:style>
  <w:style w:type="paragraph" w:customStyle="1" w:styleId="SIHeading1">
    <w:name w:val="SI Heading 1"/>
    <w:basedOn w:val="Normal"/>
    <w:next w:val="BodyText"/>
    <w:rsid w:val="00CB53EC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CB53EC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4203C3"/>
    <w:pPr>
      <w:numPr>
        <w:numId w:val="2"/>
      </w:numPr>
      <w:spacing w:before="60"/>
      <w:ind w:right="-131"/>
    </w:pPr>
    <w:rPr>
      <w:kern w:val="16"/>
      <w:sz w:val="20"/>
      <w:szCs w:val="24"/>
    </w:rPr>
  </w:style>
  <w:style w:type="paragraph" w:customStyle="1" w:styleId="TableTextRightBold">
    <w:name w:val="Table Text Right Bold"/>
    <w:basedOn w:val="Normal"/>
    <w:rsid w:val="00CB53EC"/>
    <w:pPr>
      <w:ind w:left="357" w:hanging="357"/>
      <w:jc w:val="right"/>
    </w:pPr>
    <w:rPr>
      <w:b/>
      <w:sz w:val="20"/>
    </w:rPr>
  </w:style>
  <w:style w:type="paragraph" w:customStyle="1" w:styleId="TableHeadingRight">
    <w:name w:val="Table Heading Right"/>
    <w:basedOn w:val="Normal"/>
    <w:rsid w:val="00CB53EC"/>
    <w:pPr>
      <w:keepNext/>
      <w:jc w:val="right"/>
    </w:pPr>
    <w:rPr>
      <w:b/>
      <w:sz w:val="20"/>
      <w:szCs w:val="24"/>
    </w:rPr>
  </w:style>
  <w:style w:type="paragraph" w:customStyle="1" w:styleId="NoteText">
    <w:name w:val="Note Text"/>
    <w:basedOn w:val="Normal"/>
    <w:rsid w:val="00CB53EC"/>
    <w:pPr>
      <w:jc w:val="both"/>
    </w:pPr>
    <w:rPr>
      <w:iCs/>
      <w:sz w:val="16"/>
    </w:rPr>
  </w:style>
  <w:style w:type="paragraph" w:styleId="Header">
    <w:name w:val="header"/>
    <w:basedOn w:val="Normal"/>
    <w:link w:val="HeaderChar"/>
    <w:semiHidden/>
    <w:rsid w:val="00CB53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3D4C14"/>
    <w:rPr>
      <w:rFonts w:ascii="Calibri" w:hAnsi="Calibri"/>
      <w:sz w:val="24"/>
      <w:szCs w:val="20"/>
      <w:lang w:eastAsia="en-US"/>
    </w:rPr>
  </w:style>
  <w:style w:type="paragraph" w:customStyle="1" w:styleId="Noteheading">
    <w:name w:val="Note heading"/>
    <w:basedOn w:val="Normal"/>
    <w:autoRedefine/>
    <w:semiHidden/>
    <w:rsid w:val="00CB53EC"/>
    <w:pPr>
      <w:spacing w:before="120"/>
      <w:ind w:left="28"/>
    </w:pPr>
    <w:rPr>
      <w:b/>
      <w:bCs/>
      <w:sz w:val="20"/>
    </w:rPr>
  </w:style>
  <w:style w:type="paragraph" w:customStyle="1" w:styleId="TableHeadingLeft">
    <w:name w:val="Table Heading Left"/>
    <w:basedOn w:val="Normal"/>
    <w:link w:val="TableHeadingLeftChar"/>
    <w:rsid w:val="00CB53EC"/>
    <w:pPr>
      <w:keepNext/>
    </w:pPr>
    <w:rPr>
      <w:b/>
      <w:sz w:val="20"/>
      <w:lang w:eastAsia="en-AU"/>
    </w:rPr>
  </w:style>
  <w:style w:type="paragraph" w:customStyle="1" w:styleId="TableTextRight">
    <w:name w:val="Table Text Right"/>
    <w:basedOn w:val="Normal"/>
    <w:rsid w:val="00CB53EC"/>
    <w:pPr>
      <w:ind w:left="357" w:hanging="357"/>
      <w:jc w:val="right"/>
    </w:pPr>
    <w:rPr>
      <w:sz w:val="20"/>
    </w:rPr>
  </w:style>
  <w:style w:type="paragraph" w:customStyle="1" w:styleId="TableTextLeftBold">
    <w:name w:val="Table Text Left Bold"/>
    <w:basedOn w:val="Normal"/>
    <w:link w:val="TableTextLeftBoldChar"/>
    <w:rsid w:val="00CB53EC"/>
    <w:pPr>
      <w:ind w:left="357" w:hanging="357"/>
    </w:pPr>
    <w:rPr>
      <w:b/>
      <w:sz w:val="20"/>
    </w:rPr>
  </w:style>
  <w:style w:type="paragraph" w:customStyle="1" w:styleId="TableTextLeft">
    <w:name w:val="Table Text Left"/>
    <w:basedOn w:val="Normal"/>
    <w:rsid w:val="00CB53EC"/>
    <w:pPr>
      <w:ind w:left="357" w:hanging="357"/>
    </w:pPr>
    <w:rPr>
      <w:sz w:val="20"/>
      <w:szCs w:val="18"/>
    </w:rPr>
  </w:style>
  <w:style w:type="paragraph" w:customStyle="1" w:styleId="TableNumbersRight">
    <w:name w:val="Table Numbers Right"/>
    <w:basedOn w:val="TableHeadingRight"/>
    <w:rsid w:val="00CB53EC"/>
    <w:rPr>
      <w:b w:val="0"/>
    </w:rPr>
  </w:style>
  <w:style w:type="character" w:customStyle="1" w:styleId="TableHeadingLeftChar">
    <w:name w:val="Table Heading Left Char"/>
    <w:basedOn w:val="DefaultParagraphFont"/>
    <w:link w:val="TableHeadingLeft"/>
    <w:locked/>
    <w:rsid w:val="00CF23D4"/>
    <w:rPr>
      <w:rFonts w:ascii="Calibri" w:hAnsi="Calibri"/>
      <w:b/>
      <w:sz w:val="20"/>
      <w:szCs w:val="20"/>
    </w:rPr>
  </w:style>
  <w:style w:type="paragraph" w:customStyle="1" w:styleId="FooterBP">
    <w:name w:val="Footer BP"/>
    <w:basedOn w:val="Normal"/>
    <w:next w:val="Normal"/>
    <w:rsid w:val="00CB53EC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link w:val="FooterChar"/>
    <w:semiHidden/>
    <w:rsid w:val="00CB53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3D4C14"/>
    <w:rPr>
      <w:rFonts w:ascii="Calibri" w:hAnsi="Calibri"/>
      <w:sz w:val="24"/>
      <w:szCs w:val="20"/>
      <w:lang w:eastAsia="en-US"/>
    </w:rPr>
  </w:style>
  <w:style w:type="character" w:customStyle="1" w:styleId="TableTextLeftBoldChar">
    <w:name w:val="Table Text Left Bold Char"/>
    <w:basedOn w:val="DefaultParagraphFont"/>
    <w:link w:val="TableTextLeftBold"/>
    <w:locked/>
    <w:rsid w:val="00CF23D4"/>
    <w:rPr>
      <w:rFonts w:ascii="Calibri" w:hAnsi="Calibri"/>
      <w:b/>
      <w:sz w:val="20"/>
      <w:szCs w:val="20"/>
      <w:lang w:eastAsia="en-US"/>
    </w:rPr>
  </w:style>
  <w:style w:type="paragraph" w:customStyle="1" w:styleId="Heading3TopofPage">
    <w:name w:val="Heading 3 Top of Page"/>
    <w:basedOn w:val="Heading3"/>
    <w:next w:val="BodyText"/>
    <w:rsid w:val="00CB53EC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CB53EC"/>
    <w:pPr>
      <w:spacing w:before="0"/>
      <w:jc w:val="center"/>
    </w:pPr>
    <w:rPr>
      <w:rFonts w:cs="Times New Roman"/>
      <w:lang w:eastAsia="en-AU"/>
    </w:rPr>
  </w:style>
  <w:style w:type="paragraph" w:styleId="BodyText2">
    <w:name w:val="Body Text 2"/>
    <w:basedOn w:val="Normal"/>
    <w:link w:val="BodyText2Char"/>
    <w:semiHidden/>
    <w:rsid w:val="00CB53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3D4C14"/>
    <w:rPr>
      <w:rFonts w:ascii="Calibri" w:hAnsi="Calibri"/>
      <w:sz w:val="24"/>
      <w:szCs w:val="20"/>
      <w:lang w:eastAsia="en-US"/>
    </w:rPr>
  </w:style>
  <w:style w:type="paragraph" w:customStyle="1" w:styleId="SinglePara">
    <w:name w:val="Single Para"/>
    <w:basedOn w:val="Normal"/>
    <w:semiHidden/>
    <w:rsid w:val="00CB53EC"/>
  </w:style>
  <w:style w:type="paragraph" w:customStyle="1" w:styleId="xl25">
    <w:name w:val="xl25"/>
    <w:basedOn w:val="Normal"/>
    <w:semiHidden/>
    <w:rsid w:val="00CB53EC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semiHidden/>
    <w:rsid w:val="00CB53EC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locked/>
    <w:rsid w:val="003D4C14"/>
    <w:rPr>
      <w:rFonts w:ascii="Calibri" w:hAnsi="Calibr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CB5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D4C14"/>
    <w:rPr>
      <w:rFonts w:ascii="Tahoma" w:hAnsi="Tahoma" w:cs="Tahoma"/>
      <w:sz w:val="16"/>
      <w:szCs w:val="16"/>
      <w:lang w:eastAsia="en-US"/>
    </w:rPr>
  </w:style>
  <w:style w:type="paragraph" w:customStyle="1" w:styleId="Sub-Heading">
    <w:name w:val="Sub-Heading"/>
    <w:basedOn w:val="Normal"/>
    <w:next w:val="BodyText"/>
    <w:rsid w:val="00CB53EC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CB53EC"/>
    <w:rPr>
      <w:i/>
    </w:rPr>
  </w:style>
  <w:style w:type="paragraph" w:customStyle="1" w:styleId="TableName">
    <w:name w:val="Table Name"/>
    <w:basedOn w:val="Normal"/>
    <w:rsid w:val="00CB53EC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CB53EC"/>
    <w:pPr>
      <w:spacing w:before="120" w:after="240"/>
      <w:ind w:left="380"/>
      <w:jc w:val="both"/>
    </w:pPr>
    <w:rPr>
      <w:sz w:val="20"/>
    </w:rPr>
  </w:style>
  <w:style w:type="paragraph" w:styleId="BodyText3">
    <w:name w:val="Body Text 3"/>
    <w:basedOn w:val="Normal"/>
    <w:link w:val="BodyText3Char"/>
    <w:semiHidden/>
    <w:rsid w:val="00CB53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locked/>
    <w:rsid w:val="003D4C14"/>
    <w:rPr>
      <w:rFonts w:ascii="Calibri" w:hAnsi="Calibri"/>
      <w:sz w:val="16"/>
      <w:szCs w:val="16"/>
      <w:lang w:eastAsia="en-US"/>
    </w:rPr>
  </w:style>
  <w:style w:type="paragraph" w:customStyle="1" w:styleId="AINotes">
    <w:name w:val="AI Notes"/>
    <w:basedOn w:val="Normal"/>
    <w:rsid w:val="00CB53EC"/>
    <w:pPr>
      <w:numPr>
        <w:numId w:val="7"/>
      </w:numPr>
      <w:jc w:val="both"/>
    </w:pPr>
    <w:rPr>
      <w:sz w:val="16"/>
    </w:rPr>
  </w:style>
  <w:style w:type="paragraph" w:customStyle="1" w:styleId="n">
    <w:name w:val="n"/>
    <w:basedOn w:val="Normal"/>
    <w:semiHidden/>
    <w:rsid w:val="00CB53EC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CB53EC"/>
    <w:pPr>
      <w:spacing w:before="120"/>
      <w:ind w:left="28"/>
    </w:pPr>
    <w:rPr>
      <w:b/>
      <w:sz w:val="20"/>
      <w:szCs w:val="24"/>
    </w:rPr>
  </w:style>
  <w:style w:type="paragraph" w:styleId="BlockText">
    <w:name w:val="Block Text"/>
    <w:basedOn w:val="Normal"/>
    <w:semiHidden/>
    <w:rsid w:val="00CB53EC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semiHidden/>
    <w:rsid w:val="00CB53EC"/>
    <w:pPr>
      <w:spacing w:before="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semiHidden/>
    <w:locked/>
    <w:rsid w:val="003D4C14"/>
  </w:style>
  <w:style w:type="paragraph" w:styleId="BodyTextFirstIndent2">
    <w:name w:val="Body Text First Indent 2"/>
    <w:basedOn w:val="BodyTextIndent"/>
    <w:link w:val="BodyTextFirstIndent2Char"/>
    <w:semiHidden/>
    <w:rsid w:val="00CB53EC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locked/>
    <w:rsid w:val="003D4C14"/>
  </w:style>
  <w:style w:type="paragraph" w:styleId="Closing">
    <w:name w:val="Closing"/>
    <w:basedOn w:val="Normal"/>
    <w:link w:val="ClosingChar"/>
    <w:semiHidden/>
    <w:rsid w:val="00CB53EC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locked/>
    <w:rsid w:val="003D4C14"/>
    <w:rPr>
      <w:rFonts w:ascii="Calibri" w:hAnsi="Calibri"/>
      <w:sz w:val="24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rsid w:val="00CB53EC"/>
  </w:style>
  <w:style w:type="character" w:customStyle="1" w:styleId="DateChar">
    <w:name w:val="Date Char"/>
    <w:basedOn w:val="DefaultParagraphFont"/>
    <w:link w:val="Date"/>
    <w:semiHidden/>
    <w:locked/>
    <w:rsid w:val="003D4C14"/>
    <w:rPr>
      <w:rFonts w:ascii="Calibri" w:hAnsi="Calibri"/>
      <w:sz w:val="24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rsid w:val="00CB53EC"/>
  </w:style>
  <w:style w:type="character" w:customStyle="1" w:styleId="E-mailSignatureChar">
    <w:name w:val="E-mail Signature Char"/>
    <w:basedOn w:val="DefaultParagraphFont"/>
    <w:link w:val="E-mailSignature"/>
    <w:semiHidden/>
    <w:locked/>
    <w:rsid w:val="003D4C14"/>
    <w:rPr>
      <w:rFonts w:ascii="Calibri" w:hAnsi="Calibri"/>
      <w:sz w:val="24"/>
      <w:szCs w:val="20"/>
      <w:lang w:eastAsia="en-US"/>
    </w:rPr>
  </w:style>
  <w:style w:type="character" w:styleId="Emphasis">
    <w:name w:val="Emphasis"/>
    <w:basedOn w:val="DefaultParagraphFont"/>
    <w:qFormat/>
    <w:rsid w:val="00CB53EC"/>
    <w:rPr>
      <w:rFonts w:ascii="Calibri" w:hAnsi="Calibri"/>
      <w:i/>
      <w:iCs/>
    </w:rPr>
  </w:style>
  <w:style w:type="paragraph" w:styleId="EnvelopeAddress">
    <w:name w:val="envelope address"/>
    <w:basedOn w:val="Normal"/>
    <w:semiHidden/>
    <w:rsid w:val="00CB53E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CB53EC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CB53EC"/>
    <w:rPr>
      <w:color w:val="800080"/>
      <w:u w:val="single"/>
    </w:rPr>
  </w:style>
  <w:style w:type="character" w:styleId="HTMLAcronym">
    <w:name w:val="HTML Acronym"/>
    <w:basedOn w:val="DefaultParagraphFont"/>
    <w:semiHidden/>
    <w:rsid w:val="00CB53EC"/>
  </w:style>
  <w:style w:type="paragraph" w:styleId="HTMLAddress">
    <w:name w:val="HTML Address"/>
    <w:basedOn w:val="Normal"/>
    <w:link w:val="HTMLAddressChar"/>
    <w:semiHidden/>
    <w:rsid w:val="00CB53E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locked/>
    <w:rsid w:val="003D4C14"/>
    <w:rPr>
      <w:rFonts w:ascii="Calibri" w:hAnsi="Calibri"/>
      <w:i/>
      <w:iCs/>
      <w:sz w:val="24"/>
      <w:szCs w:val="20"/>
      <w:lang w:eastAsia="en-US"/>
    </w:rPr>
  </w:style>
  <w:style w:type="character" w:styleId="HTMLCite">
    <w:name w:val="HTML Cite"/>
    <w:basedOn w:val="DefaultParagraphFont"/>
    <w:semiHidden/>
    <w:rsid w:val="00CB53EC"/>
    <w:rPr>
      <w:i/>
      <w:iCs/>
    </w:rPr>
  </w:style>
  <w:style w:type="character" w:styleId="HTMLCode">
    <w:name w:val="HTML Code"/>
    <w:basedOn w:val="DefaultParagraphFont"/>
    <w:semiHidden/>
    <w:rsid w:val="00CB53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B53EC"/>
    <w:rPr>
      <w:i/>
      <w:iCs/>
    </w:rPr>
  </w:style>
  <w:style w:type="character" w:styleId="HTMLKeyboard">
    <w:name w:val="HTML Keyboard"/>
    <w:basedOn w:val="DefaultParagraphFont"/>
    <w:semiHidden/>
    <w:rsid w:val="00CB53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B53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3D4C14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CB53E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B53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B53EC"/>
    <w:rPr>
      <w:i/>
      <w:iCs/>
    </w:rPr>
  </w:style>
  <w:style w:type="character" w:styleId="Hyperlink">
    <w:name w:val="Hyperlink"/>
    <w:basedOn w:val="DefaultParagraphFont"/>
    <w:semiHidden/>
    <w:rsid w:val="00CB53EC"/>
    <w:rPr>
      <w:color w:val="0000FF"/>
      <w:u w:val="single"/>
    </w:rPr>
  </w:style>
  <w:style w:type="character" w:styleId="LineNumber">
    <w:name w:val="line number"/>
    <w:basedOn w:val="DefaultParagraphFont"/>
    <w:semiHidden/>
    <w:rsid w:val="00CB53EC"/>
  </w:style>
  <w:style w:type="paragraph" w:styleId="List">
    <w:name w:val="List"/>
    <w:basedOn w:val="Normal"/>
    <w:semiHidden/>
    <w:rsid w:val="00CB53EC"/>
    <w:pPr>
      <w:ind w:left="283" w:hanging="283"/>
    </w:pPr>
  </w:style>
  <w:style w:type="paragraph" w:styleId="List2">
    <w:name w:val="List 2"/>
    <w:basedOn w:val="Normal"/>
    <w:semiHidden/>
    <w:rsid w:val="00CB53EC"/>
    <w:pPr>
      <w:ind w:left="566" w:hanging="283"/>
    </w:pPr>
  </w:style>
  <w:style w:type="paragraph" w:styleId="List3">
    <w:name w:val="List 3"/>
    <w:basedOn w:val="Normal"/>
    <w:semiHidden/>
    <w:rsid w:val="00CB53EC"/>
    <w:pPr>
      <w:ind w:left="849" w:hanging="283"/>
    </w:pPr>
  </w:style>
  <w:style w:type="paragraph" w:styleId="List4">
    <w:name w:val="List 4"/>
    <w:basedOn w:val="Normal"/>
    <w:semiHidden/>
    <w:rsid w:val="00CB53EC"/>
    <w:pPr>
      <w:ind w:left="1132" w:hanging="283"/>
    </w:pPr>
  </w:style>
  <w:style w:type="paragraph" w:styleId="List5">
    <w:name w:val="List 5"/>
    <w:basedOn w:val="Normal"/>
    <w:semiHidden/>
    <w:rsid w:val="00CB53EC"/>
    <w:pPr>
      <w:ind w:left="1415" w:hanging="283"/>
    </w:pPr>
  </w:style>
  <w:style w:type="paragraph" w:styleId="ListBullet">
    <w:name w:val="List Bullet"/>
    <w:basedOn w:val="Normal"/>
    <w:semiHidden/>
    <w:rsid w:val="00CB53EC"/>
    <w:pPr>
      <w:numPr>
        <w:numId w:val="14"/>
      </w:numPr>
    </w:pPr>
  </w:style>
  <w:style w:type="paragraph" w:styleId="ListBullet2">
    <w:name w:val="List Bullet 2"/>
    <w:basedOn w:val="Normal"/>
    <w:semiHidden/>
    <w:rsid w:val="00CB53EC"/>
    <w:pPr>
      <w:numPr>
        <w:numId w:val="15"/>
      </w:numPr>
    </w:pPr>
  </w:style>
  <w:style w:type="paragraph" w:styleId="ListBullet3">
    <w:name w:val="List Bullet 3"/>
    <w:basedOn w:val="Normal"/>
    <w:semiHidden/>
    <w:rsid w:val="00CB53EC"/>
    <w:pPr>
      <w:numPr>
        <w:numId w:val="16"/>
      </w:numPr>
    </w:pPr>
  </w:style>
  <w:style w:type="paragraph" w:styleId="ListBullet4">
    <w:name w:val="List Bullet 4"/>
    <w:basedOn w:val="Normal"/>
    <w:semiHidden/>
    <w:rsid w:val="00CB53EC"/>
    <w:pPr>
      <w:numPr>
        <w:numId w:val="17"/>
      </w:numPr>
    </w:pPr>
  </w:style>
  <w:style w:type="paragraph" w:styleId="ListBullet5">
    <w:name w:val="List Bullet 5"/>
    <w:basedOn w:val="Normal"/>
    <w:semiHidden/>
    <w:rsid w:val="00CB53EC"/>
    <w:pPr>
      <w:numPr>
        <w:numId w:val="18"/>
      </w:numPr>
    </w:pPr>
  </w:style>
  <w:style w:type="paragraph" w:styleId="ListContinue">
    <w:name w:val="List Continue"/>
    <w:basedOn w:val="Normal"/>
    <w:semiHidden/>
    <w:rsid w:val="00CB53EC"/>
    <w:pPr>
      <w:spacing w:after="120"/>
      <w:ind w:left="283"/>
    </w:pPr>
  </w:style>
  <w:style w:type="paragraph" w:styleId="ListContinue2">
    <w:name w:val="List Continue 2"/>
    <w:basedOn w:val="Normal"/>
    <w:semiHidden/>
    <w:rsid w:val="00CB53EC"/>
    <w:pPr>
      <w:spacing w:after="120"/>
      <w:ind w:left="566"/>
    </w:pPr>
  </w:style>
  <w:style w:type="paragraph" w:styleId="ListContinue3">
    <w:name w:val="List Continue 3"/>
    <w:basedOn w:val="Normal"/>
    <w:semiHidden/>
    <w:rsid w:val="00CB53EC"/>
    <w:pPr>
      <w:spacing w:after="120"/>
      <w:ind w:left="849"/>
    </w:pPr>
  </w:style>
  <w:style w:type="paragraph" w:styleId="ListContinue4">
    <w:name w:val="List Continue 4"/>
    <w:basedOn w:val="Normal"/>
    <w:semiHidden/>
    <w:rsid w:val="00CB53EC"/>
    <w:pPr>
      <w:spacing w:after="120"/>
      <w:ind w:left="1132"/>
    </w:pPr>
  </w:style>
  <w:style w:type="paragraph" w:styleId="ListContinue5">
    <w:name w:val="List Continue 5"/>
    <w:basedOn w:val="Normal"/>
    <w:semiHidden/>
    <w:rsid w:val="00CB53EC"/>
    <w:pPr>
      <w:spacing w:after="120"/>
      <w:ind w:left="1415"/>
    </w:pPr>
  </w:style>
  <w:style w:type="paragraph" w:styleId="ListNumber">
    <w:name w:val="List Number"/>
    <w:basedOn w:val="Normal"/>
    <w:semiHidden/>
    <w:rsid w:val="00CB53EC"/>
    <w:pPr>
      <w:numPr>
        <w:numId w:val="19"/>
      </w:numPr>
    </w:pPr>
  </w:style>
  <w:style w:type="paragraph" w:styleId="ListNumber2">
    <w:name w:val="List Number 2"/>
    <w:basedOn w:val="Normal"/>
    <w:semiHidden/>
    <w:rsid w:val="00CB53EC"/>
    <w:pPr>
      <w:numPr>
        <w:numId w:val="20"/>
      </w:numPr>
    </w:pPr>
  </w:style>
  <w:style w:type="paragraph" w:styleId="ListNumber3">
    <w:name w:val="List Number 3"/>
    <w:basedOn w:val="Normal"/>
    <w:semiHidden/>
    <w:rsid w:val="00CB53EC"/>
    <w:pPr>
      <w:numPr>
        <w:numId w:val="21"/>
      </w:numPr>
    </w:pPr>
  </w:style>
  <w:style w:type="paragraph" w:styleId="ListNumber4">
    <w:name w:val="List Number 4"/>
    <w:basedOn w:val="Normal"/>
    <w:semiHidden/>
    <w:rsid w:val="00CB53EC"/>
    <w:pPr>
      <w:numPr>
        <w:numId w:val="22"/>
      </w:numPr>
    </w:pPr>
  </w:style>
  <w:style w:type="paragraph" w:styleId="ListNumber5">
    <w:name w:val="List Number 5"/>
    <w:basedOn w:val="Normal"/>
    <w:semiHidden/>
    <w:rsid w:val="00CB53EC"/>
    <w:pPr>
      <w:numPr>
        <w:numId w:val="23"/>
      </w:numPr>
    </w:pPr>
  </w:style>
  <w:style w:type="paragraph" w:styleId="MessageHeader">
    <w:name w:val="Message Header"/>
    <w:basedOn w:val="Normal"/>
    <w:link w:val="MessageHeaderChar"/>
    <w:semiHidden/>
    <w:rsid w:val="00CB53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locked/>
    <w:rsid w:val="003D4C14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rsid w:val="00CB53EC"/>
    <w:rPr>
      <w:szCs w:val="24"/>
    </w:rPr>
  </w:style>
  <w:style w:type="paragraph" w:styleId="NormalIndent">
    <w:name w:val="Normal Indent"/>
    <w:basedOn w:val="Normal"/>
    <w:semiHidden/>
    <w:rsid w:val="00CB53EC"/>
    <w:pPr>
      <w:ind w:left="720"/>
    </w:pPr>
  </w:style>
  <w:style w:type="character" w:styleId="PageNumber">
    <w:name w:val="page number"/>
    <w:basedOn w:val="DefaultParagraphFont"/>
    <w:semiHidden/>
    <w:rsid w:val="00CB53EC"/>
  </w:style>
  <w:style w:type="paragraph" w:styleId="Salutation">
    <w:name w:val="Salutation"/>
    <w:basedOn w:val="Normal"/>
    <w:next w:val="Normal"/>
    <w:link w:val="SalutationChar"/>
    <w:semiHidden/>
    <w:rsid w:val="00CB53EC"/>
  </w:style>
  <w:style w:type="character" w:customStyle="1" w:styleId="SalutationChar">
    <w:name w:val="Salutation Char"/>
    <w:basedOn w:val="DefaultParagraphFont"/>
    <w:link w:val="Salutation"/>
    <w:semiHidden/>
    <w:locked/>
    <w:rsid w:val="003D4C14"/>
    <w:rPr>
      <w:rFonts w:ascii="Calibri" w:hAnsi="Calibri"/>
      <w:sz w:val="24"/>
      <w:szCs w:val="20"/>
      <w:lang w:eastAsia="en-US"/>
    </w:rPr>
  </w:style>
  <w:style w:type="paragraph" w:styleId="Signature">
    <w:name w:val="Signature"/>
    <w:basedOn w:val="Normal"/>
    <w:link w:val="SignatureChar"/>
    <w:semiHidden/>
    <w:rsid w:val="00CB53EC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locked/>
    <w:rsid w:val="003D4C14"/>
    <w:rPr>
      <w:rFonts w:ascii="Calibri" w:hAnsi="Calibri"/>
      <w:sz w:val="24"/>
      <w:szCs w:val="20"/>
      <w:lang w:eastAsia="en-US"/>
    </w:rPr>
  </w:style>
  <w:style w:type="character" w:styleId="Strong">
    <w:name w:val="Strong"/>
    <w:basedOn w:val="DefaultParagraphFont"/>
    <w:qFormat/>
    <w:rsid w:val="00CB53EC"/>
    <w:rPr>
      <w:b/>
      <w:bCs/>
    </w:rPr>
  </w:style>
  <w:style w:type="paragraph" w:styleId="Subtitle">
    <w:name w:val="Subtitle"/>
    <w:basedOn w:val="Normal"/>
    <w:link w:val="SubtitleChar"/>
    <w:qFormat/>
    <w:rsid w:val="00CB53E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3D4C14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semiHidden/>
    <w:rsid w:val="00CB53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B53E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B53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B53E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B53E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B53E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B53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B53E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B53E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B53E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B53E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B53E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B53E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B53E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B53E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B53E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B53E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B5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B53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B53E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B53E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B53E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B53E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B53E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B53E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B53E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B53E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B53E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B53E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B53E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B53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B53E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B53E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B53E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B53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B53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B53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B53E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B53E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B53E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B5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B53E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B53E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B53E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CB53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3D4C1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teHeading0">
    <w:name w:val="Note Heading"/>
    <w:basedOn w:val="Normal"/>
    <w:next w:val="Normal"/>
    <w:link w:val="NoteHeadingChar"/>
    <w:rsid w:val="00CB53EC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locked/>
    <w:rsid w:val="003D4C14"/>
    <w:rPr>
      <w:rFonts w:ascii="Calibri" w:hAnsi="Calibri"/>
      <w:b/>
      <w:sz w:val="16"/>
      <w:szCs w:val="20"/>
      <w:lang w:eastAsia="en-US"/>
    </w:rPr>
  </w:style>
  <w:style w:type="paragraph" w:customStyle="1" w:styleId="TableNumber">
    <w:name w:val="Table Number"/>
    <w:basedOn w:val="TableName"/>
    <w:next w:val="TableName"/>
    <w:rsid w:val="00CB53EC"/>
    <w:pPr>
      <w:spacing w:before="60" w:after="0"/>
    </w:pPr>
  </w:style>
  <w:style w:type="paragraph" w:customStyle="1" w:styleId="TableTextIndent">
    <w:name w:val="Table Text Indent"/>
    <w:rsid w:val="00CB53EC"/>
    <w:pPr>
      <w:numPr>
        <w:numId w:val="24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HeadingCentre-BP410pt">
    <w:name w:val="Table Heading Centre - BP4 10pt"/>
    <w:basedOn w:val="TableHeadingCentre-BP4"/>
    <w:rsid w:val="00CB53EC"/>
    <w:rPr>
      <w:sz w:val="20"/>
    </w:rPr>
  </w:style>
  <w:style w:type="paragraph" w:customStyle="1" w:styleId="TableHeadingRight-BP410pt">
    <w:name w:val="Table Heading Right - BP4 10pt"/>
    <w:basedOn w:val="TableHeadingRight-BP4"/>
    <w:rsid w:val="00CB53EC"/>
    <w:rPr>
      <w:sz w:val="20"/>
    </w:rPr>
  </w:style>
  <w:style w:type="paragraph" w:customStyle="1" w:styleId="TableTextLeftBold-BP410pt">
    <w:name w:val="Table Text Left Bold - BP4 10pt"/>
    <w:basedOn w:val="TableTextLeftBold-BP4"/>
    <w:rsid w:val="00CB53EC"/>
    <w:rPr>
      <w:sz w:val="20"/>
    </w:rPr>
  </w:style>
  <w:style w:type="paragraph" w:customStyle="1" w:styleId="TableTextRight-BP410pt">
    <w:name w:val="Table Text Right - BP4 10pt"/>
    <w:basedOn w:val="TableTextRight-BP4"/>
    <w:rsid w:val="00CB53EC"/>
    <w:rPr>
      <w:sz w:val="20"/>
    </w:rPr>
  </w:style>
  <w:style w:type="paragraph" w:customStyle="1" w:styleId="TableTextRightBold-BP410pt">
    <w:name w:val="Table Text Right Bold - BP4 10pt"/>
    <w:basedOn w:val="TableTextRightBold-BP4"/>
    <w:rsid w:val="00CB53EC"/>
    <w:rPr>
      <w:sz w:val="20"/>
    </w:rPr>
  </w:style>
  <w:style w:type="paragraph" w:customStyle="1" w:styleId="1n">
    <w:name w:val="1. n"/>
    <w:basedOn w:val="n"/>
    <w:rsid w:val="00CB53EC"/>
    <w:rPr>
      <w:iCs/>
      <w:szCs w:val="20"/>
    </w:rPr>
  </w:style>
  <w:style w:type="paragraph" w:customStyle="1" w:styleId="an">
    <w:name w:val="a. n"/>
    <w:basedOn w:val="n"/>
    <w:rsid w:val="00CB53EC"/>
    <w:rPr>
      <w:iCs/>
      <w:szCs w:val="20"/>
    </w:rPr>
  </w:style>
  <w:style w:type="paragraph" w:customStyle="1" w:styleId="AIIndent">
    <w:name w:val="AI Indent"/>
    <w:basedOn w:val="Normal"/>
    <w:rsid w:val="00CB53EC"/>
    <w:pPr>
      <w:tabs>
        <w:tab w:val="num" w:pos="360"/>
      </w:tabs>
      <w:ind w:left="357" w:hanging="357"/>
    </w:pPr>
    <w:rPr>
      <w:sz w:val="20"/>
    </w:rPr>
  </w:style>
  <w:style w:type="paragraph" w:customStyle="1" w:styleId="AITableText">
    <w:name w:val="AI Table Text"/>
    <w:basedOn w:val="Normal"/>
    <w:rsid w:val="00CB53EC"/>
    <w:pPr>
      <w:jc w:val="right"/>
    </w:pPr>
    <w:rPr>
      <w:sz w:val="20"/>
      <w:szCs w:val="24"/>
    </w:rPr>
  </w:style>
  <w:style w:type="character" w:customStyle="1" w:styleId="CharChar">
    <w:name w:val="Char Char"/>
    <w:basedOn w:val="DefaultParagraphFont"/>
    <w:rsid w:val="00CB53EC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CB53EC"/>
    <w:rPr>
      <w:rFonts w:ascii="Arial" w:hAnsi="Arial" w:cs="Arial"/>
      <w:b/>
      <w:bCs/>
      <w:sz w:val="24"/>
      <w:szCs w:val="26"/>
      <w:lang w:val="en-AU" w:eastAsia="en-US" w:bidi="ar-SA"/>
    </w:rPr>
  </w:style>
  <w:style w:type="table" w:styleId="ColorfulGrid-Accent2">
    <w:name w:val="Colorful Grid Accent 2"/>
    <w:basedOn w:val="TableNormal"/>
    <w:uiPriority w:val="73"/>
    <w:rsid w:val="00CB53E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CB53E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CB53E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CB53E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CB53E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CB53EC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CB53EC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1572AB"/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1572AB"/>
    <w:rPr>
      <w:b/>
      <w:bCs/>
    </w:rPr>
  </w:style>
  <w:style w:type="character" w:styleId="EndnoteReference">
    <w:name w:val="endnote reference"/>
    <w:basedOn w:val="DefaultParagraphFont"/>
    <w:rsid w:val="00CB53EC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CB53EC"/>
    <w:rPr>
      <w:sz w:val="20"/>
    </w:rPr>
  </w:style>
  <w:style w:type="character" w:customStyle="1" w:styleId="EndnoteTextChar">
    <w:name w:val="Endnote Text Char"/>
    <w:basedOn w:val="DefaultParagraphFont"/>
    <w:link w:val="EndnoteText"/>
    <w:locked/>
    <w:rsid w:val="001572AB"/>
    <w:rPr>
      <w:rFonts w:ascii="Calibri" w:hAnsi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CB53EC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CB53EC"/>
    <w:rPr>
      <w:sz w:val="20"/>
    </w:rPr>
  </w:style>
  <w:style w:type="character" w:customStyle="1" w:styleId="FootnoteTextChar">
    <w:name w:val="Footnote Text Char"/>
    <w:basedOn w:val="DefaultParagraphFont"/>
    <w:link w:val="FootnoteText"/>
    <w:locked/>
    <w:rsid w:val="001572AB"/>
    <w:rPr>
      <w:rFonts w:ascii="Calibri" w:hAnsi="Calibri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rsid w:val="00CB53EC"/>
    <w:pPr>
      <w:ind w:left="240" w:hanging="240"/>
    </w:pPr>
  </w:style>
  <w:style w:type="paragraph" w:styleId="Index2">
    <w:name w:val="index 2"/>
    <w:basedOn w:val="Normal"/>
    <w:next w:val="Normal"/>
    <w:autoRedefine/>
    <w:rsid w:val="00CB53EC"/>
    <w:pPr>
      <w:ind w:left="480" w:hanging="240"/>
    </w:pPr>
  </w:style>
  <w:style w:type="paragraph" w:styleId="Index3">
    <w:name w:val="index 3"/>
    <w:basedOn w:val="Normal"/>
    <w:next w:val="Normal"/>
    <w:autoRedefine/>
    <w:rsid w:val="00CB53EC"/>
    <w:pPr>
      <w:ind w:left="720" w:hanging="240"/>
    </w:pPr>
  </w:style>
  <w:style w:type="paragraph" w:styleId="Index4">
    <w:name w:val="index 4"/>
    <w:basedOn w:val="Normal"/>
    <w:next w:val="Normal"/>
    <w:autoRedefine/>
    <w:rsid w:val="00CB53EC"/>
    <w:pPr>
      <w:ind w:left="960" w:hanging="240"/>
    </w:pPr>
  </w:style>
  <w:style w:type="paragraph" w:styleId="Index5">
    <w:name w:val="index 5"/>
    <w:basedOn w:val="Normal"/>
    <w:next w:val="Normal"/>
    <w:autoRedefine/>
    <w:rsid w:val="00CB53EC"/>
    <w:pPr>
      <w:ind w:left="1200" w:hanging="240"/>
    </w:pPr>
  </w:style>
  <w:style w:type="paragraph" w:styleId="Index6">
    <w:name w:val="index 6"/>
    <w:basedOn w:val="Normal"/>
    <w:next w:val="Normal"/>
    <w:autoRedefine/>
    <w:rsid w:val="00CB53EC"/>
    <w:pPr>
      <w:ind w:left="1440" w:hanging="240"/>
    </w:pPr>
  </w:style>
  <w:style w:type="paragraph" w:styleId="Index7">
    <w:name w:val="index 7"/>
    <w:basedOn w:val="Normal"/>
    <w:next w:val="Normal"/>
    <w:autoRedefine/>
    <w:rsid w:val="00CB53EC"/>
    <w:pPr>
      <w:ind w:left="1680" w:hanging="240"/>
    </w:pPr>
  </w:style>
  <w:style w:type="paragraph" w:styleId="Index8">
    <w:name w:val="index 8"/>
    <w:basedOn w:val="Normal"/>
    <w:next w:val="Normal"/>
    <w:autoRedefine/>
    <w:rsid w:val="00CB53EC"/>
    <w:pPr>
      <w:ind w:left="1920" w:hanging="240"/>
    </w:pPr>
  </w:style>
  <w:style w:type="paragraph" w:styleId="Index9">
    <w:name w:val="index 9"/>
    <w:basedOn w:val="Normal"/>
    <w:next w:val="Normal"/>
    <w:autoRedefine/>
    <w:rsid w:val="00CB53EC"/>
    <w:pPr>
      <w:ind w:left="2160" w:hanging="240"/>
    </w:pPr>
  </w:style>
  <w:style w:type="paragraph" w:styleId="IndexHeading">
    <w:name w:val="index heading"/>
    <w:basedOn w:val="Normal"/>
    <w:next w:val="Index1"/>
    <w:rsid w:val="00CB53EC"/>
    <w:rPr>
      <w:b/>
      <w:bCs/>
    </w:rPr>
  </w:style>
  <w:style w:type="paragraph" w:styleId="ListParagraph">
    <w:name w:val="List Paragraph"/>
    <w:basedOn w:val="Normal"/>
    <w:qFormat/>
    <w:rsid w:val="00CB53EC"/>
    <w:pPr>
      <w:ind w:left="720"/>
    </w:pPr>
    <w:rPr>
      <w:szCs w:val="24"/>
    </w:rPr>
  </w:style>
  <w:style w:type="paragraph" w:customStyle="1" w:styleId="TableHeadingCentre-BP4">
    <w:name w:val="Table Heading Centre - BP4"/>
    <w:basedOn w:val="Normal"/>
    <w:rsid w:val="00CB53EC"/>
    <w:pPr>
      <w:keepNext/>
      <w:jc w:val="center"/>
    </w:pPr>
    <w:rPr>
      <w:b/>
      <w:sz w:val="18"/>
    </w:rPr>
  </w:style>
  <w:style w:type="paragraph" w:customStyle="1" w:styleId="TableHeadingCentre-BP3">
    <w:name w:val="Table Heading Centre - BP3"/>
    <w:basedOn w:val="TableHeadingCentre-BP4"/>
    <w:rsid w:val="00CB53EC"/>
    <w:rPr>
      <w:sz w:val="20"/>
    </w:rPr>
  </w:style>
  <w:style w:type="paragraph" w:customStyle="1" w:styleId="TableHeadingLeft-BP4">
    <w:name w:val="Table Heading Left - BP4"/>
    <w:basedOn w:val="Normal"/>
    <w:rsid w:val="00CB53EC"/>
    <w:pPr>
      <w:keepNext/>
    </w:pPr>
    <w:rPr>
      <w:b/>
      <w:sz w:val="18"/>
      <w:lang w:eastAsia="en-AU"/>
    </w:rPr>
  </w:style>
  <w:style w:type="paragraph" w:customStyle="1" w:styleId="TableHeadingLeft-BP3">
    <w:name w:val="Table Heading Left - BP3"/>
    <w:basedOn w:val="TableHeadingLeft-BP4"/>
    <w:rsid w:val="00CB53EC"/>
    <w:rPr>
      <w:sz w:val="20"/>
    </w:rPr>
  </w:style>
  <w:style w:type="paragraph" w:customStyle="1" w:styleId="TableHeadingLeft-BP410pt">
    <w:name w:val="Table Heading Left - BP4 10pt"/>
    <w:basedOn w:val="TableHeadingLeft-BP4"/>
    <w:rsid w:val="00CB53EC"/>
    <w:rPr>
      <w:sz w:val="20"/>
    </w:rPr>
  </w:style>
  <w:style w:type="paragraph" w:customStyle="1" w:styleId="TableHeadingRight-BP4">
    <w:name w:val="Table Heading Right - BP4"/>
    <w:basedOn w:val="Normal"/>
    <w:rsid w:val="00CB53EC"/>
    <w:pPr>
      <w:keepNext/>
      <w:jc w:val="right"/>
    </w:pPr>
    <w:rPr>
      <w:b/>
      <w:sz w:val="18"/>
      <w:szCs w:val="24"/>
    </w:rPr>
  </w:style>
  <w:style w:type="paragraph" w:customStyle="1" w:styleId="TableHeadingRight-BP3">
    <w:name w:val="Table Heading Right - BP3"/>
    <w:basedOn w:val="TableHeadingRight-BP4"/>
    <w:rsid w:val="00CB53EC"/>
    <w:rPr>
      <w:sz w:val="20"/>
    </w:rPr>
  </w:style>
  <w:style w:type="paragraph" w:customStyle="1" w:styleId="TableNumbersRight-BP4">
    <w:name w:val="Table Numbers Right - BP4"/>
    <w:basedOn w:val="Normal"/>
    <w:rsid w:val="00CB53EC"/>
    <w:pPr>
      <w:jc w:val="right"/>
    </w:pPr>
    <w:rPr>
      <w:sz w:val="18"/>
    </w:rPr>
  </w:style>
  <w:style w:type="paragraph" w:customStyle="1" w:styleId="TableNumbersRight-BP3">
    <w:name w:val="Table Numbers Right - BP3"/>
    <w:basedOn w:val="TableNumbersRight-BP4"/>
    <w:rsid w:val="00CB53EC"/>
    <w:rPr>
      <w:sz w:val="20"/>
    </w:rPr>
  </w:style>
  <w:style w:type="paragraph" w:styleId="TableofAuthorities">
    <w:name w:val="table of authorities"/>
    <w:basedOn w:val="Normal"/>
    <w:next w:val="Normal"/>
    <w:rsid w:val="00CB53EC"/>
    <w:pPr>
      <w:ind w:left="240" w:hanging="240"/>
    </w:pPr>
  </w:style>
  <w:style w:type="paragraph" w:styleId="TableofFigures">
    <w:name w:val="table of figures"/>
    <w:basedOn w:val="Normal"/>
    <w:next w:val="Normal"/>
    <w:rsid w:val="00CB53EC"/>
  </w:style>
  <w:style w:type="paragraph" w:customStyle="1" w:styleId="TableTextLeft-BP4">
    <w:name w:val="Table Text Left - BP4"/>
    <w:basedOn w:val="Normal"/>
    <w:rsid w:val="00CB53EC"/>
    <w:pPr>
      <w:ind w:left="142" w:hanging="142"/>
    </w:pPr>
    <w:rPr>
      <w:sz w:val="18"/>
      <w:szCs w:val="18"/>
    </w:rPr>
  </w:style>
  <w:style w:type="paragraph" w:customStyle="1" w:styleId="TableTextLeft-BP3">
    <w:name w:val="Table Text Left - BP3"/>
    <w:basedOn w:val="TableTextLeft-BP4"/>
    <w:rsid w:val="00CB53EC"/>
    <w:rPr>
      <w:sz w:val="20"/>
    </w:rPr>
  </w:style>
  <w:style w:type="paragraph" w:customStyle="1" w:styleId="TableTextLeft-BP410pt">
    <w:name w:val="Table Text Left - BP4 10pt"/>
    <w:basedOn w:val="TableTextLeft-BP4"/>
    <w:rsid w:val="00CB53EC"/>
    <w:rPr>
      <w:sz w:val="20"/>
    </w:rPr>
  </w:style>
  <w:style w:type="paragraph" w:customStyle="1" w:styleId="TableTextLeft-BP4FS">
    <w:name w:val="Table Text Left - BP4 FS"/>
    <w:basedOn w:val="TableTextLeft-BP4"/>
    <w:rsid w:val="00CB53EC"/>
    <w:pPr>
      <w:ind w:left="227"/>
    </w:pPr>
  </w:style>
  <w:style w:type="paragraph" w:customStyle="1" w:styleId="TableTextLeftBold-BP4">
    <w:name w:val="Table Text Left Bold - BP4"/>
    <w:basedOn w:val="Normal"/>
    <w:rsid w:val="00CB53EC"/>
    <w:pPr>
      <w:ind w:left="142" w:hanging="142"/>
    </w:pPr>
    <w:rPr>
      <w:b/>
      <w:sz w:val="18"/>
    </w:rPr>
  </w:style>
  <w:style w:type="paragraph" w:customStyle="1" w:styleId="TableTextLeftBold-BP3">
    <w:name w:val="Table Text Left Bold - BP3"/>
    <w:basedOn w:val="TableTextLeftBold-BP4"/>
    <w:rsid w:val="00CB53EC"/>
    <w:rPr>
      <w:sz w:val="20"/>
    </w:rPr>
  </w:style>
  <w:style w:type="paragraph" w:customStyle="1" w:styleId="TableTextRight-BP4">
    <w:name w:val="Table Text Right - BP4"/>
    <w:basedOn w:val="Normal"/>
    <w:rsid w:val="00CB53EC"/>
    <w:pPr>
      <w:jc w:val="right"/>
    </w:pPr>
    <w:rPr>
      <w:sz w:val="18"/>
    </w:rPr>
  </w:style>
  <w:style w:type="paragraph" w:customStyle="1" w:styleId="TableTextRight-BP3">
    <w:name w:val="Table Text Right - BP3"/>
    <w:basedOn w:val="TableTextRight-BP4"/>
    <w:rsid w:val="00CB53EC"/>
    <w:rPr>
      <w:sz w:val="20"/>
    </w:rPr>
  </w:style>
  <w:style w:type="paragraph" w:customStyle="1" w:styleId="TableTextRightBold-BP4">
    <w:name w:val="Table Text Right Bold - BP4"/>
    <w:basedOn w:val="Normal"/>
    <w:rsid w:val="00CB53EC"/>
    <w:pPr>
      <w:jc w:val="right"/>
    </w:pPr>
    <w:rPr>
      <w:b/>
      <w:sz w:val="18"/>
    </w:rPr>
  </w:style>
  <w:style w:type="paragraph" w:customStyle="1" w:styleId="TableTextRightBold-BP3">
    <w:name w:val="Table Text Right Bold - BP3"/>
    <w:basedOn w:val="TableTextRightBold-BP4"/>
    <w:rsid w:val="00CB53EC"/>
  </w:style>
  <w:style w:type="paragraph" w:styleId="TOAHeading">
    <w:name w:val="toa heading"/>
    <w:basedOn w:val="Normal"/>
    <w:next w:val="Normal"/>
    <w:rsid w:val="00CB53EC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CB53EC"/>
  </w:style>
  <w:style w:type="paragraph" w:styleId="TOC2">
    <w:name w:val="toc 2"/>
    <w:basedOn w:val="Normal"/>
    <w:next w:val="Normal"/>
    <w:autoRedefine/>
    <w:rsid w:val="00CB53EC"/>
    <w:pPr>
      <w:ind w:left="240"/>
    </w:pPr>
  </w:style>
  <w:style w:type="paragraph" w:styleId="TOC3">
    <w:name w:val="toc 3"/>
    <w:basedOn w:val="Normal"/>
    <w:next w:val="Normal"/>
    <w:autoRedefine/>
    <w:rsid w:val="00CB53EC"/>
    <w:pPr>
      <w:ind w:left="480"/>
    </w:pPr>
  </w:style>
  <w:style w:type="paragraph" w:styleId="TOC4">
    <w:name w:val="toc 4"/>
    <w:basedOn w:val="Normal"/>
    <w:next w:val="Normal"/>
    <w:autoRedefine/>
    <w:rsid w:val="00CB53EC"/>
    <w:pPr>
      <w:ind w:left="720"/>
    </w:pPr>
  </w:style>
  <w:style w:type="paragraph" w:styleId="TOC5">
    <w:name w:val="toc 5"/>
    <w:basedOn w:val="Normal"/>
    <w:next w:val="Normal"/>
    <w:autoRedefine/>
    <w:rsid w:val="00CB53EC"/>
    <w:pPr>
      <w:ind w:left="960"/>
    </w:pPr>
  </w:style>
  <w:style w:type="paragraph" w:styleId="TOC6">
    <w:name w:val="toc 6"/>
    <w:basedOn w:val="Normal"/>
    <w:next w:val="Normal"/>
    <w:autoRedefine/>
    <w:rsid w:val="00CB53EC"/>
    <w:pPr>
      <w:ind w:left="1200"/>
    </w:pPr>
  </w:style>
  <w:style w:type="paragraph" w:styleId="TOC7">
    <w:name w:val="toc 7"/>
    <w:basedOn w:val="Normal"/>
    <w:next w:val="Normal"/>
    <w:autoRedefine/>
    <w:rsid w:val="00CB53EC"/>
    <w:pPr>
      <w:ind w:left="1440"/>
    </w:pPr>
  </w:style>
  <w:style w:type="paragraph" w:styleId="TOC8">
    <w:name w:val="toc 8"/>
    <w:basedOn w:val="Normal"/>
    <w:next w:val="Normal"/>
    <w:autoRedefine/>
    <w:rsid w:val="00CB53EC"/>
    <w:pPr>
      <w:ind w:left="1680"/>
    </w:pPr>
  </w:style>
  <w:style w:type="paragraph" w:styleId="TOC9">
    <w:name w:val="toc 9"/>
    <w:basedOn w:val="Normal"/>
    <w:next w:val="Normal"/>
    <w:autoRedefine/>
    <w:rsid w:val="00CB53EC"/>
    <w:pPr>
      <w:ind w:left="1920"/>
    </w:pPr>
  </w:style>
  <w:style w:type="numbering" w:styleId="1ai">
    <w:name w:val="Outline List 1"/>
    <w:basedOn w:val="NoList"/>
    <w:semiHidden/>
    <w:rsid w:val="00CB53EC"/>
    <w:pPr>
      <w:numPr>
        <w:numId w:val="6"/>
      </w:numPr>
    </w:pPr>
  </w:style>
  <w:style w:type="numbering" w:styleId="ArticleSection">
    <w:name w:val="Outline List 3"/>
    <w:basedOn w:val="NoList"/>
    <w:semiHidden/>
    <w:rsid w:val="00CB53EC"/>
    <w:pPr>
      <w:numPr>
        <w:numId w:val="8"/>
      </w:numPr>
    </w:pPr>
  </w:style>
  <w:style w:type="numbering" w:styleId="111111">
    <w:name w:val="Outline List 2"/>
    <w:basedOn w:val="NoList"/>
    <w:semiHidden/>
    <w:rsid w:val="00CB53EC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C953-7F1B-4CEA-86AF-83A50082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1491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LOAN PORTFOLIO</vt:lpstr>
    </vt:vector>
  </TitlesOfParts>
  <Company>ACT Government</Company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Home Loan Portfolio</dc:title>
  <dc:subject>Home Loan Portfolio</dc:subject>
  <dc:creator>Chief Minister and Treasury Directorate</dc:creator>
  <cp:lastModifiedBy>Keaton Paterson</cp:lastModifiedBy>
  <cp:revision>3</cp:revision>
  <cp:lastPrinted>2013-05-21T11:25:00Z</cp:lastPrinted>
  <dcterms:created xsi:type="dcterms:W3CDTF">2013-05-28T09:58:00Z</dcterms:created>
  <dcterms:modified xsi:type="dcterms:W3CDTF">2013-05-30T02:52:00Z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