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2E4A" w14:textId="7ADFC7A9" w:rsidR="006D1324" w:rsidRPr="006D1324" w:rsidRDefault="003E037A" w:rsidP="006D132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313131"/>
          <w:sz w:val="44"/>
          <w:szCs w:val="44"/>
          <w:lang w:eastAsia="en-AU"/>
        </w:rPr>
      </w:pPr>
      <w:r>
        <w:rPr>
          <w:rFonts w:eastAsia="Times New Roman" w:cstheme="minorHAnsi"/>
          <w:b/>
          <w:bCs/>
          <w:color w:val="313131"/>
          <w:sz w:val="44"/>
          <w:szCs w:val="44"/>
          <w:lang w:eastAsia="en-AU"/>
        </w:rPr>
        <w:t xml:space="preserve">Steps for </w:t>
      </w:r>
      <w:r w:rsidR="00413915">
        <w:rPr>
          <w:rFonts w:eastAsia="Times New Roman" w:cstheme="minorHAnsi"/>
          <w:b/>
          <w:bCs/>
          <w:color w:val="313131"/>
          <w:sz w:val="44"/>
          <w:szCs w:val="44"/>
          <w:lang w:eastAsia="en-AU"/>
        </w:rPr>
        <w:t xml:space="preserve">Completing the </w:t>
      </w:r>
      <w:r w:rsidR="006D1324" w:rsidRPr="006D1324">
        <w:rPr>
          <w:rFonts w:eastAsia="Times New Roman" w:cstheme="minorHAnsi"/>
          <w:b/>
          <w:bCs/>
          <w:color w:val="313131"/>
          <w:sz w:val="44"/>
          <w:szCs w:val="44"/>
          <w:lang w:eastAsia="en-AU"/>
        </w:rPr>
        <w:t>Data Collection Form</w:t>
      </w:r>
    </w:p>
    <w:p w14:paraId="2E5F3878" w14:textId="77777777" w:rsidR="006D1324" w:rsidRPr="006D1324" w:rsidRDefault="006D1324" w:rsidP="002B0346">
      <w:pPr>
        <w:spacing w:after="240" w:line="240" w:lineRule="auto"/>
        <w:jc w:val="both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In order to complete the Data Collection Form please use the following three steps.</w:t>
      </w:r>
    </w:p>
    <w:p w14:paraId="031E6EA0" w14:textId="77777777" w:rsidR="006D1324" w:rsidRPr="006D1324" w:rsidRDefault="006D1324" w:rsidP="002B0346">
      <w:pPr>
        <w:spacing w:before="480" w:after="120" w:line="240" w:lineRule="auto"/>
        <w:jc w:val="both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  <w:r w:rsidRPr="006D1324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>Step 1 - Guidance Booklet </w:t>
      </w:r>
    </w:p>
    <w:p w14:paraId="3ABDAB5E" w14:textId="0476251E" w:rsidR="006D1324" w:rsidRPr="006D1324" w:rsidRDefault="006D1324" w:rsidP="002B0346">
      <w:pPr>
        <w:spacing w:after="240" w:line="240" w:lineRule="auto"/>
        <w:jc w:val="both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The Guidance Booklet assists KMP in completing the Data Collection Form (Step</w:t>
      </w: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 </w:t>
      </w: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2).</w:t>
      </w:r>
      <w:r>
        <w:rPr>
          <w:rFonts w:eastAsia="Times New Roman" w:cstheme="minorHAnsi"/>
          <w:color w:val="313131"/>
          <w:sz w:val="24"/>
          <w:szCs w:val="24"/>
          <w:lang w:eastAsia="en-AU"/>
        </w:rPr>
        <w:t xml:space="preserve">  </w:t>
      </w:r>
      <w:proofErr w:type="gramStart"/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The</w:t>
      </w:r>
      <w:proofErr w:type="gramEnd"/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material in this booklet provides general guidance about related party disclosure requirements.</w:t>
      </w:r>
    </w:p>
    <w:p w14:paraId="196410DD" w14:textId="148B94CA" w:rsidR="006D1324" w:rsidRPr="006D1324" w:rsidRDefault="006C7F48" w:rsidP="002B0346">
      <w:pPr>
        <w:numPr>
          <w:ilvl w:val="0"/>
          <w:numId w:val="1"/>
        </w:numPr>
        <w:spacing w:before="100" w:beforeAutospacing="1" w:after="96" w:line="240" w:lineRule="auto"/>
        <w:jc w:val="both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6C7F48">
        <w:rPr>
          <w:rFonts w:eastAsia="Times New Roman" w:cstheme="minorHAnsi"/>
          <w:color w:val="313131"/>
          <w:sz w:val="24"/>
          <w:szCs w:val="24"/>
          <w:lang w:eastAsia="en-AU"/>
        </w:rPr>
        <w:t>AAGP 202 - ACT Accounting Guidance Paper on KMP - Data Collection Form Guidance Booklet for Staff Designated as KMP</w:t>
      </w:r>
      <w:r w:rsidR="006D1324" w:rsidRPr="006D1324">
        <w:rPr>
          <w:rFonts w:eastAsia="Times New Roman" w:cstheme="minorHAnsi"/>
          <w:color w:val="313131"/>
          <w:sz w:val="24"/>
          <w:szCs w:val="24"/>
          <w:lang w:eastAsia="en-AU"/>
        </w:rPr>
        <w:t> [</w:t>
      </w:r>
      <w:r w:rsidR="00413915" w:rsidRPr="006D1324">
        <w:rPr>
          <w:rFonts w:eastAsia="Times New Roman" w:cstheme="minorHAnsi"/>
          <w:noProof/>
          <w:color w:val="313131"/>
          <w:sz w:val="24"/>
          <w:szCs w:val="24"/>
          <w:lang w:eastAsia="en-AU"/>
        </w:rPr>
        <w:drawing>
          <wp:inline distT="0" distB="0" distL="0" distR="0" wp14:anchorId="296BE62E" wp14:editId="2B6A46EF">
            <wp:extent cx="123825" cy="152400"/>
            <wp:effectExtent l="0" t="0" r="9525" b="0"/>
            <wp:docPr id="7" name="Picture 7" descr="PDF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doc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324" w:rsidRPr="006D1324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Pr="006C7F48">
        <w:rPr>
          <w:rFonts w:eastAsia="Times New Roman" w:cstheme="minorHAnsi"/>
          <w:color w:val="313131"/>
          <w:sz w:val="24"/>
          <w:szCs w:val="24"/>
          <w:highlight w:val="yellow"/>
          <w:lang w:eastAsia="en-AU"/>
        </w:rPr>
        <w:t>XXX</w:t>
      </w:r>
      <w:r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="006D1324" w:rsidRPr="006D1324">
        <w:rPr>
          <w:rFonts w:eastAsia="Times New Roman" w:cstheme="minorHAnsi"/>
          <w:color w:val="313131"/>
          <w:sz w:val="24"/>
          <w:szCs w:val="24"/>
          <w:lang w:eastAsia="en-AU"/>
        </w:rPr>
        <w:t>KB]</w:t>
      </w:r>
      <w:r w:rsidR="00413915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="006D1324" w:rsidRPr="006D1324">
        <w:rPr>
          <w:rFonts w:eastAsia="Times New Roman" w:cstheme="minorHAnsi"/>
          <w:color w:val="313131"/>
          <w:sz w:val="24"/>
          <w:szCs w:val="24"/>
          <w:lang w:eastAsia="en-AU"/>
        </w:rPr>
        <w:t>[</w:t>
      </w:r>
      <w:r w:rsidR="00413915" w:rsidRPr="006D1324">
        <w:rPr>
          <w:rFonts w:eastAsia="Times New Roman" w:cstheme="minorHAnsi"/>
          <w:noProof/>
          <w:color w:val="313131"/>
          <w:sz w:val="24"/>
          <w:szCs w:val="24"/>
          <w:lang w:eastAsia="en-AU"/>
        </w:rPr>
        <w:drawing>
          <wp:inline distT="0" distB="0" distL="0" distR="0" wp14:anchorId="1EAF4ECA" wp14:editId="466E67A9">
            <wp:extent cx="152400" cy="152400"/>
            <wp:effectExtent l="0" t="0" r="0" b="0"/>
            <wp:docPr id="8" name="Picture 8" descr="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 docu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915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Pr="006C7F48">
        <w:rPr>
          <w:rFonts w:eastAsia="Times New Roman" w:cstheme="minorHAnsi"/>
          <w:color w:val="313131"/>
          <w:sz w:val="24"/>
          <w:szCs w:val="24"/>
          <w:highlight w:val="yellow"/>
          <w:lang w:eastAsia="en-AU"/>
        </w:rPr>
        <w:t>XXX</w:t>
      </w:r>
      <w:r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="006D1324" w:rsidRPr="006D1324">
        <w:rPr>
          <w:rFonts w:eastAsia="Times New Roman" w:cstheme="minorHAnsi"/>
          <w:color w:val="313131"/>
          <w:sz w:val="24"/>
          <w:szCs w:val="24"/>
          <w:lang w:eastAsia="en-AU"/>
        </w:rPr>
        <w:t>KB]</w:t>
      </w:r>
    </w:p>
    <w:p w14:paraId="263212A4" w14:textId="77777777" w:rsidR="006D1324" w:rsidRPr="006D1324" w:rsidRDefault="006D1324" w:rsidP="002B0346">
      <w:pPr>
        <w:spacing w:before="480" w:after="120" w:line="240" w:lineRule="auto"/>
        <w:jc w:val="both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  <w:r w:rsidRPr="006D1324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>Step 2 - Data Collection Form</w:t>
      </w:r>
    </w:p>
    <w:p w14:paraId="64C6620D" w14:textId="32F61980" w:rsidR="006D1324" w:rsidRPr="006D1324" w:rsidRDefault="006D1324" w:rsidP="002B0346">
      <w:pPr>
        <w:spacing w:after="240" w:line="240" w:lineRule="auto"/>
        <w:jc w:val="both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Directors-General, Chief Executive Officers and other staff occupying positions designated as KMP complete the Form for the relevant period.</w:t>
      </w: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="002B0346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KMP are requested to complete the Form with details of related party transactions undertaken with ACT Government controlled entities in which they are designated KMP.</w:t>
      </w:r>
    </w:p>
    <w:tbl>
      <w:tblPr>
        <w:tblW w:w="9064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835"/>
        <w:gridCol w:w="2976"/>
      </w:tblGrid>
      <w:tr w:rsidR="006D1324" w:rsidRPr="006D1324" w14:paraId="58F229E3" w14:textId="77777777" w:rsidTr="006D1324">
        <w:trPr>
          <w:tblHeader/>
        </w:trPr>
        <w:tc>
          <w:tcPr>
            <w:tcW w:w="3253" w:type="dxa"/>
            <w:tcBorders>
              <w:top w:val="nil"/>
              <w:left w:val="single" w:sz="6" w:space="0" w:color="C5C5C5"/>
              <w:bottom w:val="single" w:sz="12" w:space="0" w:color="C5C5C5"/>
              <w:right w:val="single" w:sz="6" w:space="0" w:color="C5C5C5"/>
            </w:tcBorders>
            <w:shd w:val="clear" w:color="auto" w:fill="3F2583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91871CA" w14:textId="77777777" w:rsidR="006D1324" w:rsidRPr="006D1324" w:rsidRDefault="006D1324" w:rsidP="006D1324">
            <w:pPr>
              <w:spacing w:after="384" w:line="384" w:lineRule="atLeast"/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</w:pPr>
            <w:r w:rsidRPr="006D1324"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  <w:t>KMP Data Collection Period</w:t>
            </w:r>
          </w:p>
        </w:tc>
        <w:tc>
          <w:tcPr>
            <w:tcW w:w="2835" w:type="dxa"/>
            <w:tcBorders>
              <w:top w:val="nil"/>
              <w:left w:val="single" w:sz="6" w:space="0" w:color="C5C5C5"/>
              <w:bottom w:val="single" w:sz="12" w:space="0" w:color="C5C5C5"/>
              <w:right w:val="single" w:sz="6" w:space="0" w:color="C5C5C5"/>
            </w:tcBorders>
            <w:shd w:val="clear" w:color="auto" w:fill="3F2583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9D2039D" w14:textId="77777777" w:rsidR="006D1324" w:rsidRPr="006D1324" w:rsidRDefault="006D1324" w:rsidP="006D1324">
            <w:pPr>
              <w:spacing w:after="384" w:line="384" w:lineRule="atLeast"/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</w:pPr>
            <w:r w:rsidRPr="006D1324"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  <w:t>Instructions</w:t>
            </w:r>
          </w:p>
        </w:tc>
        <w:tc>
          <w:tcPr>
            <w:tcW w:w="2976" w:type="dxa"/>
            <w:tcBorders>
              <w:top w:val="nil"/>
              <w:left w:val="single" w:sz="6" w:space="0" w:color="C5C5C5"/>
              <w:bottom w:val="single" w:sz="12" w:space="0" w:color="C5C5C5"/>
              <w:right w:val="single" w:sz="6" w:space="0" w:color="C5C5C5"/>
            </w:tcBorders>
            <w:shd w:val="clear" w:color="auto" w:fill="3F2583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8E15E79" w14:textId="77777777" w:rsidR="006D1324" w:rsidRPr="006D1324" w:rsidRDefault="006D1324" w:rsidP="006D1324">
            <w:pPr>
              <w:spacing w:after="384" w:line="384" w:lineRule="atLeast"/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</w:pPr>
            <w:r w:rsidRPr="006D1324"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  <w:t>Data Collection Form</w:t>
            </w:r>
          </w:p>
        </w:tc>
      </w:tr>
      <w:tr w:rsidR="006D1324" w:rsidRPr="006D1324" w14:paraId="34F5D619" w14:textId="77777777" w:rsidTr="006D1324">
        <w:tc>
          <w:tcPr>
            <w:tcW w:w="325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3F2583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D3DD2D0" w14:textId="77777777" w:rsidR="006D1324" w:rsidRPr="006D1324" w:rsidRDefault="006D1324" w:rsidP="006D1324">
            <w:pPr>
              <w:spacing w:after="0" w:line="384" w:lineRule="atLeast"/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</w:pPr>
            <w:r w:rsidRPr="006D1324"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  <w:t>Period 1</w:t>
            </w:r>
            <w:r w:rsidRPr="006D1324"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  <w:br/>
              <w:t>1 July to 30 April 20YY</w:t>
            </w:r>
          </w:p>
        </w:tc>
        <w:tc>
          <w:tcPr>
            <w:tcW w:w="283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7CD5E3D" w14:textId="77777777" w:rsidR="006D1324" w:rsidRPr="006D1324" w:rsidRDefault="006D1324" w:rsidP="006D1324">
            <w:pPr>
              <w:spacing w:after="0" w:line="384" w:lineRule="atLeast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6D1324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KMP are requested to complete the Data Collection Form for each financial year.</w:t>
            </w:r>
          </w:p>
        </w:tc>
        <w:tc>
          <w:tcPr>
            <w:tcW w:w="297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CA51A7D" w14:textId="1AF8BD78" w:rsidR="006D1324" w:rsidRPr="006D1324" w:rsidRDefault="006C7F48" w:rsidP="006C7F48">
            <w:pPr>
              <w:spacing w:before="100" w:beforeAutospacing="1" w:after="96" w:line="384" w:lineRule="atLeast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6C7F48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TF 502 - Data Collection Template Form for Staff Designated KMP</w:t>
            </w:r>
            <w:r w:rsidR="006D1324" w:rsidRPr="006D1324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br/>
              <w:t>[ </w:t>
            </w:r>
            <w:r w:rsidR="00413915" w:rsidRPr="006D1324">
              <w:rPr>
                <w:rFonts w:eastAsia="Times New Roman" w:cstheme="minorHAnsi"/>
                <w:noProof/>
                <w:color w:val="313131"/>
                <w:sz w:val="24"/>
                <w:szCs w:val="24"/>
                <w:lang w:eastAsia="en-AU"/>
              </w:rPr>
              <w:drawing>
                <wp:inline distT="0" distB="0" distL="0" distR="0" wp14:anchorId="75F56EEF" wp14:editId="63ADBB56">
                  <wp:extent cx="152400" cy="152400"/>
                  <wp:effectExtent l="0" t="0" r="0" b="0"/>
                  <wp:docPr id="6" name="Picture 6" descr="Word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d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915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 xml:space="preserve"> </w:t>
            </w:r>
            <w:r w:rsidRPr="006C7F48">
              <w:rPr>
                <w:rFonts w:eastAsia="Times New Roman" w:cstheme="minorHAnsi"/>
                <w:color w:val="313131"/>
                <w:sz w:val="24"/>
                <w:szCs w:val="24"/>
                <w:highlight w:val="yellow"/>
                <w:lang w:eastAsia="en-AU"/>
              </w:rPr>
              <w:t>XXX</w:t>
            </w:r>
            <w:r w:rsidR="006D1324" w:rsidRPr="006D1324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 xml:space="preserve"> KB]</w:t>
            </w:r>
          </w:p>
        </w:tc>
      </w:tr>
      <w:tr w:rsidR="006D1324" w:rsidRPr="006D1324" w14:paraId="65F317E2" w14:textId="77777777" w:rsidTr="006D1324">
        <w:tc>
          <w:tcPr>
            <w:tcW w:w="325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3F2583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62348C2" w14:textId="77777777" w:rsidR="006D1324" w:rsidRPr="006D1324" w:rsidRDefault="006D1324" w:rsidP="006D1324">
            <w:pPr>
              <w:spacing w:after="0" w:line="384" w:lineRule="atLeast"/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</w:pPr>
            <w:r w:rsidRPr="006D1324"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  <w:t>Period 2</w:t>
            </w:r>
            <w:r w:rsidRPr="006D1324">
              <w:rPr>
                <w:rFonts w:eastAsia="Times New Roman" w:cstheme="minorHAnsi"/>
                <w:b/>
                <w:bCs/>
                <w:color w:val="ECE9F3"/>
                <w:sz w:val="24"/>
                <w:szCs w:val="24"/>
                <w:lang w:eastAsia="en-AU"/>
              </w:rPr>
              <w:br/>
              <w:t>1 May 20YY to 30 June 20YY</w:t>
            </w:r>
          </w:p>
        </w:tc>
        <w:tc>
          <w:tcPr>
            <w:tcW w:w="283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2AB25DA" w14:textId="77777777" w:rsidR="006D1324" w:rsidRPr="006D1324" w:rsidRDefault="006D1324" w:rsidP="006D1324">
            <w:pPr>
              <w:spacing w:after="0" w:line="384" w:lineRule="atLeast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6D1324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For any changes in disclosures KMP are requested to submit an updated Data Collection Form.</w:t>
            </w:r>
          </w:p>
        </w:tc>
        <w:tc>
          <w:tcPr>
            <w:tcW w:w="297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AD7DAD7" w14:textId="77777777" w:rsidR="006D1324" w:rsidRPr="006D1324" w:rsidRDefault="006D1324" w:rsidP="006D1324">
            <w:pPr>
              <w:spacing w:after="0" w:line="384" w:lineRule="atLeast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6D1324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 </w:t>
            </w:r>
          </w:p>
        </w:tc>
      </w:tr>
    </w:tbl>
    <w:p w14:paraId="18589BB7" w14:textId="77777777" w:rsidR="002B0346" w:rsidRDefault="006D1324" w:rsidP="002B0346">
      <w:pPr>
        <w:spacing w:before="480" w:after="120" w:line="240" w:lineRule="auto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  <w:r w:rsidRPr="006D1324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>Step 3 - Notification requirement </w:t>
      </w:r>
    </w:p>
    <w:p w14:paraId="76529A2C" w14:textId="38D32C55" w:rsidR="006D1324" w:rsidRPr="006D1324" w:rsidRDefault="006D1324" w:rsidP="002B0346">
      <w:pPr>
        <w:spacing w:before="120" w:after="120" w:line="240" w:lineRule="auto"/>
        <w:jc w:val="both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The Notification to Close Family Members accompanies the Data Collection Form and informs Close Family Members of KMP the requirement to disclose related party transactions</w:t>
      </w:r>
    </w:p>
    <w:p w14:paraId="1CD1582D" w14:textId="49D7CD6B" w:rsidR="006D1324" w:rsidRPr="006D1324" w:rsidRDefault="006D1324" w:rsidP="002B0346">
      <w:pPr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eastAsia="Times New Roman" w:cstheme="minorHAnsi"/>
          <w:color w:val="313131"/>
          <w:sz w:val="24"/>
          <w:szCs w:val="24"/>
          <w:lang w:eastAsia="en-AU"/>
        </w:rPr>
      </w:pPr>
      <w:hyperlink r:id="rId7" w:history="1">
        <w:r w:rsidR="00413915" w:rsidRPr="00413915">
          <w:rPr>
            <w:rFonts w:eastAsia="Times New Roman" w:cstheme="minorHAnsi"/>
            <w:color w:val="313131"/>
            <w:sz w:val="24"/>
            <w:szCs w:val="24"/>
            <w:lang w:eastAsia="en-AU"/>
          </w:rPr>
          <w:t>AAGP 203 - ACT Accounting Guidance Paper on KMP - Notification to Close Family Members of KMPs</w:t>
        </w:r>
      </w:hyperlink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 [</w:t>
      </w:r>
      <w:r w:rsidRPr="006D1324">
        <w:rPr>
          <w:rFonts w:eastAsia="Times New Roman" w:cstheme="minorHAnsi"/>
          <w:noProof/>
          <w:color w:val="313131"/>
          <w:sz w:val="24"/>
          <w:szCs w:val="24"/>
          <w:lang w:eastAsia="en-AU"/>
        </w:rPr>
        <w:drawing>
          <wp:inline distT="0" distB="0" distL="0" distR="0" wp14:anchorId="26E83408" wp14:editId="247957AB">
            <wp:extent cx="123825" cy="152400"/>
            <wp:effectExtent l="0" t="0" r="9525" b="0"/>
            <wp:docPr id="3" name="Picture 3" descr="PDF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doc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 </w:t>
      </w:r>
      <w:r w:rsidR="00413915" w:rsidRPr="00413915">
        <w:rPr>
          <w:rFonts w:eastAsia="Times New Roman" w:cstheme="minorHAnsi"/>
          <w:color w:val="313131"/>
          <w:sz w:val="24"/>
          <w:szCs w:val="24"/>
          <w:highlight w:val="yellow"/>
          <w:lang w:eastAsia="en-AU"/>
        </w:rPr>
        <w:t>XXX</w:t>
      </w:r>
      <w:r w:rsidR="00413915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KB]  </w:t>
      </w:r>
      <w:hyperlink r:id="rId8" w:history="1">
        <w:r w:rsidRPr="006D1324">
          <w:rPr>
            <w:rFonts w:eastAsia="Times New Roman" w:cstheme="minorHAnsi"/>
            <w:color w:val="313131"/>
            <w:sz w:val="24"/>
            <w:szCs w:val="24"/>
            <w:lang w:eastAsia="en-AU"/>
          </w:rPr>
          <w:t>Word version</w:t>
        </w:r>
      </w:hyperlink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 [</w:t>
      </w:r>
      <w:r w:rsidRPr="006D1324">
        <w:rPr>
          <w:rFonts w:eastAsia="Times New Roman" w:cstheme="minorHAnsi"/>
          <w:noProof/>
          <w:color w:val="313131"/>
          <w:sz w:val="24"/>
          <w:szCs w:val="24"/>
          <w:lang w:eastAsia="en-AU"/>
        </w:rPr>
        <w:drawing>
          <wp:inline distT="0" distB="0" distL="0" distR="0" wp14:anchorId="3520EC53" wp14:editId="3D35BBBC">
            <wp:extent cx="152400" cy="152400"/>
            <wp:effectExtent l="0" t="0" r="0" b="0"/>
            <wp:docPr id="2" name="Picture 2" descr="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 docu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 </w:t>
      </w:r>
      <w:r w:rsidR="00413915" w:rsidRPr="00413915">
        <w:rPr>
          <w:rFonts w:eastAsia="Times New Roman" w:cstheme="minorHAnsi"/>
          <w:color w:val="313131"/>
          <w:sz w:val="24"/>
          <w:szCs w:val="24"/>
          <w:highlight w:val="yellow"/>
          <w:lang w:eastAsia="en-AU"/>
        </w:rPr>
        <w:t>XXX</w:t>
      </w:r>
      <w:r w:rsidR="00413915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Pr="006D1324">
        <w:rPr>
          <w:rFonts w:eastAsia="Times New Roman" w:cstheme="minorHAnsi"/>
          <w:color w:val="313131"/>
          <w:sz w:val="24"/>
          <w:szCs w:val="24"/>
          <w:lang w:eastAsia="en-AU"/>
        </w:rPr>
        <w:t>KB]</w:t>
      </w:r>
    </w:p>
    <w:sectPr w:rsidR="006D1324" w:rsidRPr="006D1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B72"/>
    <w:multiLevelType w:val="multilevel"/>
    <w:tmpl w:val="A38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42ED1"/>
    <w:multiLevelType w:val="multilevel"/>
    <w:tmpl w:val="8E0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A1CFC"/>
    <w:multiLevelType w:val="multilevel"/>
    <w:tmpl w:val="2BD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4088A"/>
    <w:multiLevelType w:val="multilevel"/>
    <w:tmpl w:val="9C7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4"/>
    <w:rsid w:val="002B0346"/>
    <w:rsid w:val="00302658"/>
    <w:rsid w:val="003E037A"/>
    <w:rsid w:val="00413915"/>
    <w:rsid w:val="006C0B00"/>
    <w:rsid w:val="006C7F48"/>
    <w:rsid w:val="006D1324"/>
    <w:rsid w:val="00894491"/>
    <w:rsid w:val="00A94184"/>
    <w:rsid w:val="00B47EF1"/>
    <w:rsid w:val="00CD4892"/>
    <w:rsid w:val="00E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F4C6"/>
  <w15:chartTrackingRefBased/>
  <w15:docId w15:val="{71058CD7-6CD9-43B6-BCCD-C87405C0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1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D1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32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D132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D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D13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1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act.gov.au/__data/assets/word_doc/0013/1000291/Notification-to-Close-Family-Members-staff-designated-key-managemen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asury.act.gov.au/__data/assets/pdf_file/0014/1000292/Notification-to-Close-Family-Members-staff-designated-key-manag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Palfreyman, Hamish</dc:creator>
  <cp:keywords/>
  <dc:description/>
  <cp:lastModifiedBy>Palfreyman, Hamish</cp:lastModifiedBy>
  <cp:revision>3</cp:revision>
  <dcterms:created xsi:type="dcterms:W3CDTF">2022-06-06T22:51:00Z</dcterms:created>
  <dcterms:modified xsi:type="dcterms:W3CDTF">2022-06-06T23:29:00Z</dcterms:modified>
</cp:coreProperties>
</file>