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F5AC" w14:textId="77777777" w:rsidR="00742CC5" w:rsidRDefault="00742CC5" w:rsidP="00742CC5">
      <w:pPr>
        <w:pStyle w:val="BCoversheetHeading1"/>
      </w:pPr>
      <w:r>
        <w:t>APPENDIX F</w:t>
      </w:r>
    </w:p>
    <w:p w14:paraId="2CEFB482" w14:textId="77777777" w:rsidR="00742CC5" w:rsidRDefault="00742CC5" w:rsidP="00742CC5">
      <w:pPr>
        <w:pStyle w:val="BCoversheetHeading1"/>
      </w:pPr>
      <w:r>
        <w:t>GENERAL GOVERNMENT SECTOR</w:t>
      </w:r>
      <w:r>
        <w:br/>
        <w:t xml:space="preserve"> – KEY AGGREGATES HISTORY</w:t>
      </w:r>
    </w:p>
    <w:p w14:paraId="02EC9DCC" w14:textId="77777777" w:rsidR="00742CC5" w:rsidRDefault="00742CC5" w:rsidP="00742CC5">
      <w:pPr>
        <w:rPr>
          <w:rFonts w:cstheme="minorHAnsi"/>
          <w:b/>
          <w:bCs/>
          <w:caps/>
          <w:sz w:val="28"/>
          <w:szCs w:val="20"/>
        </w:rPr>
      </w:pPr>
      <w:r>
        <w:rPr>
          <w:rFonts w:cstheme="minorHAnsi"/>
          <w:b/>
          <w:bCs/>
          <w:caps/>
          <w:sz w:val="28"/>
          <w:szCs w:val="20"/>
        </w:rPr>
        <w:br w:type="page"/>
      </w:r>
    </w:p>
    <w:p w14:paraId="4A6E41EC" w14:textId="77777777" w:rsidR="00742CC5" w:rsidRDefault="00742CC5" w:rsidP="00742CC5">
      <w:pPr>
        <w:rPr>
          <w:rFonts w:cstheme="minorHAnsi"/>
          <w:b/>
          <w:bCs/>
          <w:caps/>
          <w:sz w:val="28"/>
          <w:szCs w:val="20"/>
        </w:rPr>
      </w:pPr>
    </w:p>
    <w:p w14:paraId="02E3D807" w14:textId="77777777" w:rsidR="00742CC5" w:rsidRDefault="00742CC5" w:rsidP="00742CC5">
      <w:pPr>
        <w:sectPr w:rsidR="00742CC5" w:rsidSect="0078323C">
          <w:footerReference w:type="default" r:id="rId10"/>
          <w:footnotePr>
            <w:numRestart w:val="eachPage"/>
          </w:footnotePr>
          <w:pgSz w:w="11906" w:h="16838" w:code="9"/>
          <w:pgMar w:top="1151" w:right="1440" w:bottom="1729" w:left="1440" w:header="720" w:footer="720" w:gutter="0"/>
          <w:pgNumType w:start="273"/>
          <w:cols w:space="708"/>
          <w:docGrid w:linePitch="360"/>
        </w:sectPr>
      </w:pPr>
    </w:p>
    <w:p w14:paraId="79E32E20" w14:textId="77777777" w:rsidR="00742CC5" w:rsidRPr="005272B5" w:rsidRDefault="00742CC5" w:rsidP="00742CC5">
      <w:pPr>
        <w:pStyle w:val="Heading2"/>
        <w:numPr>
          <w:ilvl w:val="0"/>
          <w:numId w:val="0"/>
        </w:numPr>
        <w:ind w:left="576" w:hanging="576"/>
      </w:pPr>
      <w:bookmarkStart w:id="0" w:name="_Appendix_F_–"/>
      <w:bookmarkStart w:id="1" w:name="_Toc63543061"/>
      <w:bookmarkStart w:id="2" w:name="_Toc63546565"/>
      <w:bookmarkStart w:id="3" w:name="_Toc63581934"/>
      <w:bookmarkStart w:id="4" w:name="_Toc63582187"/>
      <w:bookmarkStart w:id="5" w:name="_Toc63587235"/>
      <w:bookmarkStart w:id="6" w:name="_Toc63587675"/>
      <w:bookmarkEnd w:id="0"/>
      <w:r w:rsidRPr="005272B5">
        <w:lastRenderedPageBreak/>
        <w:t>A</w:t>
      </w:r>
      <w:r>
        <w:t>ppendix</w:t>
      </w:r>
      <w:r w:rsidRPr="005272B5">
        <w:t xml:space="preserve"> F</w:t>
      </w:r>
      <w:r>
        <w:t xml:space="preserve"> – General government Sector</w:t>
      </w:r>
      <w:r w:rsidRPr="005272B5">
        <w:t xml:space="preserve"> – </w:t>
      </w:r>
      <w:r>
        <w:t>Key aggregates history</w:t>
      </w:r>
      <w:bookmarkEnd w:id="1"/>
      <w:bookmarkEnd w:id="2"/>
      <w:bookmarkEnd w:id="3"/>
      <w:bookmarkEnd w:id="4"/>
      <w:bookmarkEnd w:id="5"/>
      <w:bookmarkEnd w:id="6"/>
    </w:p>
    <w:p w14:paraId="1B6D7A90" w14:textId="77777777" w:rsidR="00742CC5" w:rsidRPr="005272B5" w:rsidRDefault="00742CC5" w:rsidP="00742CC5"/>
    <w:tbl>
      <w:tblPr>
        <w:tblW w:w="899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867"/>
        <w:gridCol w:w="1867"/>
        <w:gridCol w:w="1867"/>
        <w:gridCol w:w="1867"/>
      </w:tblGrid>
      <w:tr w:rsidR="00742CC5" w:rsidRPr="005272B5" w14:paraId="1EA5A759" w14:textId="77777777" w:rsidTr="008F1D84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</w:tcPr>
          <w:p w14:paraId="5203B74F" w14:textId="77777777" w:rsidR="00742CC5" w:rsidRPr="005272B5" w:rsidRDefault="00742CC5" w:rsidP="008F1D84">
            <w:pPr>
              <w:pStyle w:val="BStabletextbold"/>
            </w:pPr>
            <w:r w:rsidRPr="005272B5">
              <w:t>Year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739C3919" w14:textId="77777777" w:rsidR="00742CC5" w:rsidRPr="005272B5" w:rsidRDefault="00742CC5" w:rsidP="008F1D84">
            <w:pPr>
              <w:pStyle w:val="BStableheading"/>
              <w:framePr w:wrap="around"/>
              <w:rPr>
                <w:lang w:eastAsia="en-AU"/>
              </w:rPr>
            </w:pPr>
            <w:r w:rsidRPr="005272B5">
              <w:rPr>
                <w:lang w:eastAsia="en-AU"/>
              </w:rPr>
              <w:t>Headline net operating balance</w:t>
            </w:r>
          </w:p>
          <w:p w14:paraId="4B476765" w14:textId="77777777" w:rsidR="00742CC5" w:rsidRPr="005272B5" w:rsidRDefault="00742CC5" w:rsidP="008F1D84">
            <w:pPr>
              <w:pStyle w:val="BStableheading"/>
              <w:framePr w:wrap="around"/>
              <w:rPr>
                <w:lang w:eastAsia="en-AU"/>
              </w:rPr>
            </w:pPr>
            <w:r w:rsidRPr="005272B5">
              <w:rPr>
                <w:lang w:eastAsia="en-AU"/>
              </w:rPr>
              <w:t>$m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0D567C84" w14:textId="77777777" w:rsidR="00742CC5" w:rsidRPr="005272B5" w:rsidRDefault="00742CC5" w:rsidP="008F1D84">
            <w:pPr>
              <w:pStyle w:val="BStableheading"/>
              <w:framePr w:wrap="around"/>
              <w:rPr>
                <w:lang w:eastAsia="en-AU"/>
              </w:rPr>
            </w:pPr>
            <w:r w:rsidRPr="005272B5">
              <w:rPr>
                <w:lang w:eastAsia="en-AU"/>
              </w:rPr>
              <w:t>Net debt</w:t>
            </w:r>
            <w:r w:rsidRPr="005272B5">
              <w:rPr>
                <w:vertAlign w:val="superscript"/>
                <w:lang w:eastAsia="en-AU"/>
              </w:rPr>
              <w:t>1</w:t>
            </w:r>
          </w:p>
          <w:p w14:paraId="49F379DE" w14:textId="77777777" w:rsidR="00742CC5" w:rsidRPr="005272B5" w:rsidRDefault="00742CC5" w:rsidP="008F1D84">
            <w:pPr>
              <w:pStyle w:val="BStableheading"/>
              <w:framePr w:wrap="around"/>
              <w:jc w:val="left"/>
              <w:rPr>
                <w:lang w:eastAsia="en-AU"/>
              </w:rPr>
            </w:pPr>
          </w:p>
          <w:p w14:paraId="1C97100B" w14:textId="77777777" w:rsidR="00742CC5" w:rsidRPr="005272B5" w:rsidRDefault="00742CC5" w:rsidP="008F1D84">
            <w:pPr>
              <w:pStyle w:val="BStableheading"/>
              <w:framePr w:wrap="around"/>
              <w:rPr>
                <w:lang w:eastAsia="en-AU"/>
              </w:rPr>
            </w:pPr>
            <w:r w:rsidRPr="005272B5">
              <w:rPr>
                <w:lang w:eastAsia="en-AU"/>
              </w:rPr>
              <w:t>$m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6A4F3A07" w14:textId="77777777" w:rsidR="00742CC5" w:rsidRPr="005272B5" w:rsidRDefault="00742CC5" w:rsidP="008F1D84">
            <w:pPr>
              <w:pStyle w:val="BStableheading"/>
              <w:framePr w:wrap="around"/>
              <w:rPr>
                <w:lang w:eastAsia="en-AU"/>
              </w:rPr>
            </w:pPr>
            <w:r w:rsidRPr="005272B5">
              <w:rPr>
                <w:lang w:eastAsia="en-AU"/>
              </w:rPr>
              <w:t>Net financial</w:t>
            </w:r>
          </w:p>
          <w:p w14:paraId="7C721C0B" w14:textId="77777777" w:rsidR="00742CC5" w:rsidRPr="005272B5" w:rsidRDefault="00742CC5" w:rsidP="008F1D84">
            <w:pPr>
              <w:pStyle w:val="BStableheading"/>
              <w:framePr w:wrap="around"/>
              <w:rPr>
                <w:lang w:eastAsia="en-AU"/>
              </w:rPr>
            </w:pPr>
            <w:r w:rsidRPr="005272B5">
              <w:rPr>
                <w:lang w:eastAsia="en-AU"/>
              </w:rPr>
              <w:t>liabilities</w:t>
            </w:r>
          </w:p>
          <w:p w14:paraId="40AADBB7" w14:textId="77777777" w:rsidR="00742CC5" w:rsidRPr="005272B5" w:rsidRDefault="00742CC5" w:rsidP="008F1D84">
            <w:pPr>
              <w:pStyle w:val="BStableheading"/>
              <w:framePr w:wrap="around"/>
              <w:rPr>
                <w:lang w:eastAsia="en-AU"/>
              </w:rPr>
            </w:pPr>
            <w:r w:rsidRPr="005272B5">
              <w:rPr>
                <w:lang w:eastAsia="en-AU"/>
              </w:rPr>
              <w:t>$m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75BBCFEC" w14:textId="77777777" w:rsidR="00742CC5" w:rsidRPr="005272B5" w:rsidRDefault="00742CC5" w:rsidP="008F1D84">
            <w:pPr>
              <w:pStyle w:val="BStableheading"/>
              <w:framePr w:wrap="around"/>
              <w:rPr>
                <w:lang w:eastAsia="en-AU"/>
              </w:rPr>
            </w:pPr>
            <w:r w:rsidRPr="005272B5">
              <w:rPr>
                <w:lang w:eastAsia="en-AU"/>
              </w:rPr>
              <w:t>Net worth</w:t>
            </w:r>
          </w:p>
          <w:p w14:paraId="412485C6" w14:textId="77777777" w:rsidR="00742CC5" w:rsidRPr="005272B5" w:rsidRDefault="00742CC5" w:rsidP="008F1D84">
            <w:pPr>
              <w:pStyle w:val="BStableheading"/>
              <w:framePr w:wrap="around"/>
              <w:jc w:val="left"/>
              <w:rPr>
                <w:lang w:eastAsia="en-AU"/>
              </w:rPr>
            </w:pPr>
          </w:p>
          <w:p w14:paraId="312CCC48" w14:textId="77777777" w:rsidR="00742CC5" w:rsidRPr="005272B5" w:rsidRDefault="00742CC5" w:rsidP="008F1D84">
            <w:pPr>
              <w:pStyle w:val="BStableheading"/>
              <w:framePr w:wrap="around"/>
              <w:rPr>
                <w:lang w:eastAsia="en-AU"/>
              </w:rPr>
            </w:pPr>
            <w:r w:rsidRPr="005272B5">
              <w:rPr>
                <w:lang w:eastAsia="en-AU"/>
              </w:rPr>
              <w:t>$m</w:t>
            </w:r>
          </w:p>
        </w:tc>
      </w:tr>
      <w:tr w:rsidR="00742CC5" w:rsidRPr="005272B5" w14:paraId="1BD20556" w14:textId="77777777" w:rsidTr="008F1D84">
        <w:trPr>
          <w:jc w:val="center"/>
        </w:trPr>
        <w:tc>
          <w:tcPr>
            <w:tcW w:w="1531" w:type="dxa"/>
            <w:tcBorders>
              <w:bottom w:val="nil"/>
            </w:tcBorders>
          </w:tcPr>
          <w:p w14:paraId="5411B5DB" w14:textId="77777777" w:rsidR="00742CC5" w:rsidRPr="005272B5" w:rsidRDefault="00742CC5" w:rsidP="008F1D84">
            <w:pPr>
              <w:pStyle w:val="BStabletextunbold"/>
            </w:pPr>
            <w:r w:rsidRPr="005272B5">
              <w:t>2006-07</w:t>
            </w:r>
          </w:p>
        </w:tc>
        <w:tc>
          <w:tcPr>
            <w:tcW w:w="1867" w:type="dxa"/>
            <w:tcBorders>
              <w:bottom w:val="nil"/>
            </w:tcBorders>
          </w:tcPr>
          <w:p w14:paraId="467A790F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89.0 </w:t>
            </w:r>
          </w:p>
        </w:tc>
        <w:tc>
          <w:tcPr>
            <w:tcW w:w="1867" w:type="dxa"/>
            <w:tcBorders>
              <w:bottom w:val="nil"/>
            </w:tcBorders>
          </w:tcPr>
          <w:p w14:paraId="638320DE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-555.9 </w:t>
            </w:r>
          </w:p>
        </w:tc>
        <w:tc>
          <w:tcPr>
            <w:tcW w:w="1867" w:type="dxa"/>
            <w:tcBorders>
              <w:bottom w:val="nil"/>
            </w:tcBorders>
          </w:tcPr>
          <w:p w14:paraId="3890DE7C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>N/A</w:t>
            </w:r>
          </w:p>
        </w:tc>
        <w:tc>
          <w:tcPr>
            <w:tcW w:w="1867" w:type="dxa"/>
            <w:tcBorders>
              <w:bottom w:val="nil"/>
            </w:tcBorders>
          </w:tcPr>
          <w:p w14:paraId="28B3FBDD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11,181.6 </w:t>
            </w:r>
          </w:p>
        </w:tc>
      </w:tr>
      <w:tr w:rsidR="00742CC5" w:rsidRPr="005272B5" w14:paraId="213454B6" w14:textId="77777777" w:rsidTr="008F1D84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</w:tcPr>
          <w:p w14:paraId="6323629F" w14:textId="77777777" w:rsidR="00742CC5" w:rsidRPr="005272B5" w:rsidRDefault="00742CC5" w:rsidP="008F1D84">
            <w:pPr>
              <w:pStyle w:val="BStabletextunbold"/>
              <w:rPr>
                <w:vertAlign w:val="superscript"/>
              </w:rPr>
            </w:pPr>
            <w:r w:rsidRPr="005272B5">
              <w:t>2007-08</w:t>
            </w:r>
            <w:r w:rsidRPr="005272B5">
              <w:rPr>
                <w:vertAlign w:val="superscript"/>
              </w:rPr>
              <w:t>2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5F8B584F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298.1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7FC7B3C6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-933.3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2B48B468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512.1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1F3DCED4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13,305.2 </w:t>
            </w:r>
          </w:p>
        </w:tc>
      </w:tr>
      <w:tr w:rsidR="00742CC5" w:rsidRPr="005272B5" w14:paraId="00E55F60" w14:textId="77777777" w:rsidTr="008F1D84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</w:tcPr>
          <w:p w14:paraId="6FA29EB5" w14:textId="77777777" w:rsidR="00742CC5" w:rsidRPr="005272B5" w:rsidRDefault="00742CC5" w:rsidP="008F1D84">
            <w:pPr>
              <w:pStyle w:val="BStabletextunbold"/>
            </w:pPr>
            <w:r w:rsidRPr="005272B5">
              <w:t>2008-09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4CAF88BA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-26.5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051D34E5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-992.3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4C82E931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1,739.4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5538D8E3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14,486.5 </w:t>
            </w:r>
          </w:p>
        </w:tc>
      </w:tr>
      <w:tr w:rsidR="00742CC5" w:rsidRPr="005272B5" w14:paraId="3F94E7C7" w14:textId="77777777" w:rsidTr="008F1D84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</w:tcPr>
          <w:p w14:paraId="7A88905B" w14:textId="77777777" w:rsidR="00742CC5" w:rsidRPr="005272B5" w:rsidRDefault="00742CC5" w:rsidP="008F1D84">
            <w:pPr>
              <w:pStyle w:val="BStabletextunbold"/>
            </w:pPr>
            <w:r w:rsidRPr="005272B5">
              <w:t>2009-10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6416F2E3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147.9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5F70CF32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-941.8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05C99E1D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2,246.3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22C3760F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15,414.2 </w:t>
            </w:r>
          </w:p>
        </w:tc>
      </w:tr>
      <w:tr w:rsidR="00742CC5" w:rsidRPr="005272B5" w14:paraId="55F5EE80" w14:textId="77777777" w:rsidTr="008F1D84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</w:tcPr>
          <w:p w14:paraId="4E8C9E53" w14:textId="77777777" w:rsidR="00742CC5" w:rsidRPr="005272B5" w:rsidRDefault="00742CC5" w:rsidP="008F1D84">
            <w:pPr>
              <w:pStyle w:val="BStabletextunbold"/>
            </w:pPr>
            <w:r w:rsidRPr="005272B5">
              <w:t>2010-11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03A2B89D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22.9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14910613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-735.9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1AA2D2BB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2,526.1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737B22E0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15,875.6 </w:t>
            </w:r>
          </w:p>
        </w:tc>
      </w:tr>
      <w:tr w:rsidR="00742CC5" w:rsidRPr="005272B5" w14:paraId="0519158A" w14:textId="77777777" w:rsidTr="008F1D84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</w:tcPr>
          <w:p w14:paraId="56CB798B" w14:textId="77777777" w:rsidR="00742CC5" w:rsidRPr="005272B5" w:rsidRDefault="00742CC5" w:rsidP="008F1D84">
            <w:pPr>
              <w:pStyle w:val="BStabletextunbold"/>
            </w:pPr>
            <w:r w:rsidRPr="005272B5">
              <w:t>2011-12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5702A98E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43.8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1C2F812F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-473.2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657B9E52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5,472.0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52759D1C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13,792.5 </w:t>
            </w:r>
          </w:p>
        </w:tc>
      </w:tr>
      <w:tr w:rsidR="00742CC5" w:rsidRPr="005272B5" w14:paraId="3878C6B2" w14:textId="77777777" w:rsidTr="008F1D84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</w:tcPr>
          <w:p w14:paraId="2E5C04DC" w14:textId="77777777" w:rsidR="00742CC5" w:rsidRPr="005272B5" w:rsidRDefault="00742CC5" w:rsidP="008F1D84">
            <w:pPr>
              <w:pStyle w:val="BStabletextunbold"/>
            </w:pPr>
            <w:r w:rsidRPr="005272B5">
              <w:t>2012-13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1B332877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-273.8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14A42E15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109.8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79888EBA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4,840.7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06D87122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15,198.8 </w:t>
            </w:r>
          </w:p>
        </w:tc>
      </w:tr>
      <w:tr w:rsidR="00742CC5" w:rsidRPr="005272B5" w14:paraId="1C52CF93" w14:textId="77777777" w:rsidTr="008F1D84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</w:tcPr>
          <w:p w14:paraId="0C6B6DFD" w14:textId="77777777" w:rsidR="00742CC5" w:rsidRPr="005272B5" w:rsidRDefault="00742CC5" w:rsidP="008F1D84">
            <w:pPr>
              <w:pStyle w:val="BStabletextunbold"/>
              <w:rPr>
                <w:vertAlign w:val="superscript"/>
              </w:rPr>
            </w:pPr>
            <w:r w:rsidRPr="005272B5">
              <w:t>2013-14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106735CA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-187.8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628746AB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312.7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7AAF087A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5,559.0 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27E521EA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t xml:space="preserve">14,879.9 </w:t>
            </w:r>
          </w:p>
        </w:tc>
      </w:tr>
      <w:tr w:rsidR="00742CC5" w:rsidRPr="005272B5" w14:paraId="65C5CA8A" w14:textId="77777777" w:rsidTr="008F1D84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</w:tcPr>
          <w:p w14:paraId="2FF1EB68" w14:textId="77777777" w:rsidR="00742CC5" w:rsidRPr="005272B5" w:rsidRDefault="00742CC5" w:rsidP="008F1D84">
            <w:pPr>
              <w:pStyle w:val="BStabletextunbold"/>
            </w:pPr>
            <w:r w:rsidRPr="005272B5">
              <w:t>2014-15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6EE0C6AD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-479.3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4032C924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909.6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775B524D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7,002.7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05714737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14,284.9</w:t>
            </w:r>
          </w:p>
        </w:tc>
      </w:tr>
      <w:tr w:rsidR="00742CC5" w:rsidRPr="005272B5" w14:paraId="5093ECE9" w14:textId="77777777" w:rsidTr="008F1D84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</w:tcPr>
          <w:p w14:paraId="6FF80DDC" w14:textId="77777777" w:rsidR="00742CC5" w:rsidRPr="005272B5" w:rsidRDefault="00742CC5" w:rsidP="008F1D84">
            <w:pPr>
              <w:pStyle w:val="BStabletextunbold"/>
            </w:pPr>
            <w:r w:rsidRPr="005272B5">
              <w:t>2015-16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1A38A92F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-173.7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0ABF3815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1,646.5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64D74675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9,665.9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31B6E5A0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12,408.5</w:t>
            </w:r>
          </w:p>
        </w:tc>
      </w:tr>
      <w:tr w:rsidR="00742CC5" w:rsidRPr="005272B5" w14:paraId="619E42C9" w14:textId="77777777" w:rsidTr="008F1D84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</w:tcPr>
          <w:p w14:paraId="55F492EA" w14:textId="77777777" w:rsidR="00742CC5" w:rsidRPr="005272B5" w:rsidRDefault="00742CC5" w:rsidP="008F1D84">
            <w:pPr>
              <w:pStyle w:val="BStabletextunbold"/>
            </w:pPr>
            <w:r w:rsidRPr="005272B5">
              <w:t>2016-17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22B506E8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-26.7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15D6BB57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1,452.8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69DDAFE6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6,984.0</w:t>
            </w:r>
          </w:p>
        </w:tc>
        <w:tc>
          <w:tcPr>
            <w:tcW w:w="1867" w:type="dxa"/>
            <w:tcBorders>
              <w:top w:val="nil"/>
              <w:bottom w:val="nil"/>
            </w:tcBorders>
            <w:shd w:val="clear" w:color="auto" w:fill="auto"/>
          </w:tcPr>
          <w:p w14:paraId="78B20CB4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15,663.8</w:t>
            </w:r>
          </w:p>
        </w:tc>
      </w:tr>
      <w:tr w:rsidR="00742CC5" w:rsidRPr="005272B5" w14:paraId="44747D52" w14:textId="77777777" w:rsidTr="008F1D84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</w:tcPr>
          <w:p w14:paraId="0F74FA5B" w14:textId="77777777" w:rsidR="00742CC5" w:rsidRPr="005272B5" w:rsidRDefault="00742CC5" w:rsidP="008F1D84">
            <w:pPr>
              <w:pStyle w:val="BStabletextunbold"/>
            </w:pPr>
            <w:r w:rsidRPr="005272B5">
              <w:t>2017-18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15B526AA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80.8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619904AC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1,302.2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46552E2C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7,706.5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4CD93935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15,343.9</w:t>
            </w:r>
          </w:p>
        </w:tc>
      </w:tr>
      <w:tr w:rsidR="00742CC5" w:rsidRPr="005272B5" w14:paraId="65BF44DF" w14:textId="77777777" w:rsidTr="008F1D84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</w:tcPr>
          <w:p w14:paraId="43F88F2D" w14:textId="73E2093F" w:rsidR="00742CC5" w:rsidRPr="007D7FFA" w:rsidRDefault="00742CC5" w:rsidP="008F1D84">
            <w:pPr>
              <w:pStyle w:val="BStabletextunbold"/>
              <w:rPr>
                <w:vertAlign w:val="superscript"/>
                <w:lang w:val="en-AU"/>
              </w:rPr>
            </w:pPr>
            <w:r w:rsidRPr="005272B5">
              <w:t>2018-19</w:t>
            </w:r>
            <w:r w:rsidR="007D7FFA" w:rsidRPr="007D7FFA">
              <w:rPr>
                <w:vertAlign w:val="superscript"/>
                <w:lang w:val="en-AU"/>
              </w:rPr>
              <w:t>3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319989C4" w14:textId="2FF6AE94" w:rsidR="00742CC5" w:rsidRPr="00335D80" w:rsidRDefault="00900BDD" w:rsidP="008F1D84">
            <w:pPr>
              <w:pStyle w:val="BStablefigures"/>
              <w:rPr>
                <w:rFonts w:eastAsia="Calibri"/>
              </w:rPr>
            </w:pPr>
            <w:r w:rsidRPr="00335D80">
              <w:rPr>
                <w:rFonts w:eastAsia="Calibri"/>
              </w:rPr>
              <w:t>-118.6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6A46E490" w14:textId="22AAC011" w:rsidR="00742CC5" w:rsidRPr="00335D80" w:rsidRDefault="00742CC5" w:rsidP="008F1D84">
            <w:pPr>
              <w:pStyle w:val="BStablefigures"/>
              <w:rPr>
                <w:rFonts w:eastAsia="Calibri"/>
              </w:rPr>
            </w:pPr>
            <w:r w:rsidRPr="00335D80">
              <w:rPr>
                <w:rFonts w:eastAsia="Calibri"/>
              </w:rPr>
              <w:t>2,</w:t>
            </w:r>
            <w:r w:rsidR="00900BDD" w:rsidRPr="00335D80">
              <w:rPr>
                <w:rFonts w:eastAsia="Calibri"/>
              </w:rPr>
              <w:t>215.7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3CBB69A4" w14:textId="6D9DB2F5" w:rsidR="00742CC5" w:rsidRPr="00335D80" w:rsidRDefault="00900BDD" w:rsidP="008F1D84">
            <w:pPr>
              <w:pStyle w:val="BStablefigures"/>
              <w:rPr>
                <w:rFonts w:eastAsia="Calibri"/>
              </w:rPr>
            </w:pPr>
            <w:r w:rsidRPr="00335D80">
              <w:rPr>
                <w:rFonts w:eastAsia="Calibri"/>
              </w:rPr>
              <w:t>10,527.3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7CD07FAF" w14:textId="580676CF" w:rsidR="00742CC5" w:rsidRPr="00335D80" w:rsidRDefault="00742CC5" w:rsidP="008F1D84">
            <w:pPr>
              <w:pStyle w:val="BStablefigures"/>
              <w:rPr>
                <w:rFonts w:eastAsia="Calibri"/>
              </w:rPr>
            </w:pPr>
            <w:r w:rsidRPr="00335D80">
              <w:rPr>
                <w:rFonts w:eastAsia="Calibri"/>
              </w:rPr>
              <w:t>1</w:t>
            </w:r>
            <w:r w:rsidR="00900BDD" w:rsidRPr="00335D80">
              <w:rPr>
                <w:rFonts w:eastAsia="Calibri"/>
              </w:rPr>
              <w:t>4,033.2</w:t>
            </w:r>
          </w:p>
        </w:tc>
      </w:tr>
      <w:tr w:rsidR="00742CC5" w:rsidRPr="005272B5" w14:paraId="06050DD2" w14:textId="77777777" w:rsidTr="008F1D84">
        <w:trPr>
          <w:jc w:val="center"/>
        </w:trPr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14:paraId="75C21938" w14:textId="58B9FD85" w:rsidR="00742CC5" w:rsidRPr="005272B5" w:rsidRDefault="00742CC5" w:rsidP="008F1D84">
            <w:pPr>
              <w:pStyle w:val="BStabletextunbold"/>
              <w:rPr>
                <w:lang w:val="en-US"/>
              </w:rPr>
            </w:pPr>
            <w:r w:rsidRPr="005272B5">
              <w:t>2019-20</w:t>
            </w:r>
            <w:r w:rsidR="007D7FFA" w:rsidRPr="007D7FFA">
              <w:rPr>
                <w:vertAlign w:val="superscript"/>
                <w:lang w:val="en-AU"/>
              </w:rPr>
              <w:t>4</w:t>
            </w: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14:paraId="324E5D00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-681.1</w:t>
            </w: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14:paraId="035292F5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3,296.7</w:t>
            </w: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14:paraId="11DC7F33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12,003.2</w:t>
            </w: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14:paraId="530871DD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13,030.3</w:t>
            </w:r>
          </w:p>
        </w:tc>
      </w:tr>
      <w:tr w:rsidR="00742CC5" w:rsidRPr="005272B5" w14:paraId="45819A4A" w14:textId="77777777" w:rsidTr="008F1D84">
        <w:trPr>
          <w:jc w:val="center"/>
        </w:trPr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14:paraId="0AEFDF4C" w14:textId="1028C0F5" w:rsidR="00742CC5" w:rsidRPr="005272B5" w:rsidRDefault="00742CC5" w:rsidP="008F1D84">
            <w:pPr>
              <w:pStyle w:val="BStabletextunbold"/>
              <w:rPr>
                <w:vertAlign w:val="superscript"/>
                <w:lang w:val="en-US"/>
              </w:rPr>
            </w:pPr>
            <w:r w:rsidRPr="005272B5">
              <w:t>2020-21</w:t>
            </w:r>
            <w:r w:rsidR="007D7FFA">
              <w:rPr>
                <w:vertAlign w:val="superscript"/>
                <w:lang w:val="en-US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562E51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-603.1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14:paraId="183BACC0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4,665.0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14:paraId="445EF4A0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9,301.8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14:paraId="09DB84C8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16,628.9</w:t>
            </w:r>
          </w:p>
        </w:tc>
      </w:tr>
      <w:tr w:rsidR="00742CC5" w:rsidRPr="005272B5" w14:paraId="10EEBF85" w14:textId="77777777" w:rsidTr="008F1D84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</w:tcPr>
          <w:p w14:paraId="1808D41D" w14:textId="5828BB5F" w:rsidR="00742CC5" w:rsidRPr="005272B5" w:rsidRDefault="00742CC5" w:rsidP="008F1D84">
            <w:pPr>
              <w:pStyle w:val="BStabletextunbold"/>
              <w:rPr>
                <w:lang w:val="en-AU"/>
              </w:rPr>
            </w:pPr>
            <w:r w:rsidRPr="005272B5">
              <w:rPr>
                <w:lang w:val="en-AU"/>
              </w:rPr>
              <w:t>2021-22</w:t>
            </w:r>
            <w:r w:rsidR="007D7FFA">
              <w:rPr>
                <w:vertAlign w:val="superscript"/>
                <w:lang w:val="en-AU"/>
              </w:rPr>
              <w:t>5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25BE1E19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-474.7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09957C74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5,960.6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46D419AD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10,559.7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51E9C9C7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15,971.4</w:t>
            </w:r>
          </w:p>
        </w:tc>
      </w:tr>
      <w:tr w:rsidR="00742CC5" w:rsidRPr="005272B5" w14:paraId="31481239" w14:textId="77777777" w:rsidTr="008F1D84">
        <w:trPr>
          <w:jc w:val="center"/>
        </w:trPr>
        <w:tc>
          <w:tcPr>
            <w:tcW w:w="1531" w:type="dxa"/>
            <w:tcBorders>
              <w:top w:val="nil"/>
              <w:bottom w:val="nil"/>
            </w:tcBorders>
          </w:tcPr>
          <w:p w14:paraId="32361E32" w14:textId="495312F4" w:rsidR="00742CC5" w:rsidRPr="005272B5" w:rsidRDefault="00742CC5" w:rsidP="008F1D84">
            <w:pPr>
              <w:pStyle w:val="BStabletextunbold"/>
              <w:rPr>
                <w:lang w:val="en-AU"/>
              </w:rPr>
            </w:pPr>
            <w:r w:rsidRPr="005272B5">
              <w:rPr>
                <w:lang w:val="en-AU"/>
              </w:rPr>
              <w:t>2022-23</w:t>
            </w:r>
            <w:r w:rsidR="007D7FFA">
              <w:rPr>
                <w:vertAlign w:val="superscript"/>
                <w:lang w:val="en-AU"/>
              </w:rPr>
              <w:t>5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61312593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-406.0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357B6832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6,926.7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5A59204D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11,744.9</w:t>
            </w:r>
          </w:p>
        </w:tc>
        <w:tc>
          <w:tcPr>
            <w:tcW w:w="1867" w:type="dxa"/>
            <w:tcBorders>
              <w:top w:val="nil"/>
              <w:bottom w:val="nil"/>
            </w:tcBorders>
          </w:tcPr>
          <w:p w14:paraId="28391785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15,343.1</w:t>
            </w:r>
          </w:p>
        </w:tc>
      </w:tr>
      <w:tr w:rsidR="00742CC5" w:rsidRPr="005272B5" w14:paraId="70722806" w14:textId="77777777" w:rsidTr="008F1D84">
        <w:trPr>
          <w:jc w:val="center"/>
        </w:trPr>
        <w:tc>
          <w:tcPr>
            <w:tcW w:w="1531" w:type="dxa"/>
            <w:tcBorders>
              <w:top w:val="nil"/>
            </w:tcBorders>
          </w:tcPr>
          <w:p w14:paraId="34EFE46F" w14:textId="2474B9D3" w:rsidR="00742CC5" w:rsidRPr="005272B5" w:rsidRDefault="00742CC5" w:rsidP="008F1D84">
            <w:pPr>
              <w:pStyle w:val="BStabletextunbold"/>
              <w:rPr>
                <w:lang w:val="en-AU"/>
              </w:rPr>
            </w:pPr>
            <w:r w:rsidRPr="005272B5">
              <w:rPr>
                <w:lang w:val="en-AU"/>
              </w:rPr>
              <w:t>2023-24</w:t>
            </w:r>
            <w:r w:rsidR="007D7FFA">
              <w:rPr>
                <w:vertAlign w:val="superscript"/>
                <w:lang w:val="en-AU"/>
              </w:rPr>
              <w:t>5</w:t>
            </w:r>
          </w:p>
        </w:tc>
        <w:tc>
          <w:tcPr>
            <w:tcW w:w="1867" w:type="dxa"/>
            <w:tcBorders>
              <w:top w:val="nil"/>
            </w:tcBorders>
          </w:tcPr>
          <w:p w14:paraId="721B33FD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-369.1</w:t>
            </w:r>
          </w:p>
        </w:tc>
        <w:tc>
          <w:tcPr>
            <w:tcW w:w="1867" w:type="dxa"/>
            <w:tcBorders>
              <w:top w:val="nil"/>
            </w:tcBorders>
          </w:tcPr>
          <w:p w14:paraId="18A65D8F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7,658.6</w:t>
            </w:r>
          </w:p>
        </w:tc>
        <w:tc>
          <w:tcPr>
            <w:tcW w:w="1867" w:type="dxa"/>
            <w:tcBorders>
              <w:top w:val="nil"/>
            </w:tcBorders>
          </w:tcPr>
          <w:p w14:paraId="415FF91C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12,670.2</w:t>
            </w:r>
          </w:p>
        </w:tc>
        <w:tc>
          <w:tcPr>
            <w:tcW w:w="1867" w:type="dxa"/>
            <w:tcBorders>
              <w:top w:val="nil"/>
            </w:tcBorders>
          </w:tcPr>
          <w:p w14:paraId="19E48FED" w14:textId="77777777" w:rsidR="00742CC5" w:rsidRPr="005272B5" w:rsidRDefault="00742CC5" w:rsidP="008F1D84">
            <w:pPr>
              <w:pStyle w:val="BStablefigures"/>
              <w:rPr>
                <w:rFonts w:eastAsia="Calibri"/>
              </w:rPr>
            </w:pPr>
            <w:r w:rsidRPr="005272B5">
              <w:rPr>
                <w:rFonts w:eastAsia="Calibri"/>
              </w:rPr>
              <w:t>14,837.2</w:t>
            </w:r>
          </w:p>
        </w:tc>
      </w:tr>
    </w:tbl>
    <w:p w14:paraId="66765F78" w14:textId="77777777" w:rsidR="00742CC5" w:rsidRPr="005272B5" w:rsidRDefault="00742CC5" w:rsidP="00742CC5">
      <w:pPr>
        <w:pStyle w:val="BSnote"/>
      </w:pPr>
      <w:r w:rsidRPr="005272B5">
        <w:t>Notes:</w:t>
      </w:r>
    </w:p>
    <w:p w14:paraId="66397102" w14:textId="77777777" w:rsidR="00742CC5" w:rsidRPr="005272B5" w:rsidRDefault="00742CC5" w:rsidP="00742CC5">
      <w:pPr>
        <w:pStyle w:val="BSnoteslist"/>
        <w:numPr>
          <w:ilvl w:val="0"/>
          <w:numId w:val="3"/>
        </w:numPr>
      </w:pPr>
      <w:r w:rsidRPr="001F7B91">
        <w:rPr>
          <w:lang w:val="en-AU"/>
        </w:rPr>
        <w:t>Net debt excludes superannuation related investments.</w:t>
      </w:r>
    </w:p>
    <w:p w14:paraId="44B14194" w14:textId="77777777" w:rsidR="00742CC5" w:rsidRPr="005272B5" w:rsidRDefault="00742CC5" w:rsidP="00742CC5">
      <w:pPr>
        <w:pStyle w:val="BSnoteslist"/>
      </w:pPr>
      <w:r w:rsidRPr="005272B5">
        <w:t>The ACT did not measure net financial liabilities until 2008-09. The amount for 2007-08 reflects the amount presented in the 2008</w:t>
      </w:r>
      <w:r w:rsidRPr="005272B5">
        <w:noBreakHyphen/>
        <w:t>09 Loan Council Allocation Outcome Report for comparative purposes.</w:t>
      </w:r>
    </w:p>
    <w:p w14:paraId="60A5C5E4" w14:textId="77777777" w:rsidR="00E71C25" w:rsidRPr="00AB1CE1" w:rsidRDefault="00E71C25" w:rsidP="00E71C25">
      <w:pPr>
        <w:pStyle w:val="BSnoteslist"/>
      </w:pPr>
      <w:r>
        <w:rPr>
          <w:lang w:val="en-AU"/>
        </w:rPr>
        <w:t>Amended in this online version to reflect the actual outcome in 2018-19, rather than the estimated outcome which was published in the printed version.</w:t>
      </w:r>
    </w:p>
    <w:p w14:paraId="5F2D9B29" w14:textId="0FF9E788" w:rsidR="00742CC5" w:rsidRPr="005272B5" w:rsidRDefault="00742CC5" w:rsidP="00742CC5">
      <w:pPr>
        <w:pStyle w:val="BSnoteslist"/>
      </w:pPr>
      <w:r w:rsidRPr="005272B5">
        <w:t>From 2019-20</w:t>
      </w:r>
      <w:r w:rsidRPr="005272B5">
        <w:rPr>
          <w:lang w:val="en-AU"/>
        </w:rPr>
        <w:t>,</w:t>
      </w:r>
      <w:r w:rsidRPr="005272B5">
        <w:t xml:space="preserve"> net debt includes the impact of changes to AASB 16 </w:t>
      </w:r>
      <w:r w:rsidRPr="005272B5">
        <w:rPr>
          <w:i/>
          <w:iCs/>
          <w:lang w:val="en-AU"/>
        </w:rPr>
        <w:t>Leases</w:t>
      </w:r>
      <w:r w:rsidRPr="005272B5">
        <w:rPr>
          <w:lang w:val="en-AU"/>
        </w:rPr>
        <w:t xml:space="preserve">, </w:t>
      </w:r>
      <w:r w:rsidRPr="005272B5">
        <w:t xml:space="preserve">which recognises the majority of leases on the </w:t>
      </w:r>
      <w:r w:rsidR="007D7FFA" w:rsidRPr="005272B5">
        <w:t>balance</w:t>
      </w:r>
      <w:r w:rsidRPr="005272B5">
        <w:t xml:space="preserve"> sheet, increasing </w:t>
      </w:r>
      <w:r w:rsidRPr="005272B5">
        <w:rPr>
          <w:lang w:val="en-AU"/>
        </w:rPr>
        <w:t>n</w:t>
      </w:r>
      <w:r w:rsidRPr="005272B5">
        <w:t xml:space="preserve">et </w:t>
      </w:r>
      <w:r w:rsidR="007D7FFA" w:rsidRPr="005272B5">
        <w:t>debt</w:t>
      </w:r>
      <w:r w:rsidRPr="005272B5">
        <w:t xml:space="preserve">. For this reason, </w:t>
      </w:r>
      <w:r w:rsidRPr="005272B5">
        <w:rPr>
          <w:lang w:val="en-AU"/>
        </w:rPr>
        <w:t>n</w:t>
      </w:r>
      <w:r w:rsidRPr="005272B5">
        <w:t xml:space="preserve">et </w:t>
      </w:r>
      <w:r w:rsidR="007D7FFA" w:rsidRPr="005272B5">
        <w:t>debt</w:t>
      </w:r>
      <w:r w:rsidRPr="005272B5">
        <w:t xml:space="preserve"> from 2019-20 is not directly comparable to prior years.</w:t>
      </w:r>
    </w:p>
    <w:p w14:paraId="73A67046" w14:textId="77777777" w:rsidR="00742CC5" w:rsidRDefault="00742CC5" w:rsidP="00742CC5">
      <w:pPr>
        <w:pStyle w:val="BSnoteslist"/>
      </w:pPr>
      <w:r w:rsidRPr="005272B5">
        <w:t>Reflects current estimates in the 20</w:t>
      </w:r>
      <w:r w:rsidRPr="005272B5">
        <w:rPr>
          <w:lang w:val="en-AU"/>
        </w:rPr>
        <w:t xml:space="preserve">20-21 </w:t>
      </w:r>
      <w:r w:rsidRPr="005272B5">
        <w:t>Budget.</w:t>
      </w:r>
    </w:p>
    <w:p w14:paraId="532E1B59" w14:textId="77777777" w:rsidR="00742CC5" w:rsidRDefault="00742CC5" w:rsidP="00742CC5"/>
    <w:p w14:paraId="07CAA82F" w14:textId="2647CD90" w:rsidR="00545107" w:rsidRDefault="00000000"/>
    <w:sectPr w:rsidR="00545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5DCC" w14:textId="77777777" w:rsidR="00175022" w:rsidRDefault="00175022">
      <w:pPr>
        <w:spacing w:after="0" w:line="240" w:lineRule="auto"/>
      </w:pPr>
      <w:r>
        <w:separator/>
      </w:r>
    </w:p>
  </w:endnote>
  <w:endnote w:type="continuationSeparator" w:id="0">
    <w:p w14:paraId="105C75F0" w14:textId="77777777" w:rsidR="00175022" w:rsidRDefault="0017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C127" w14:textId="77777777" w:rsidR="0067215B" w:rsidRDefault="00335D80" w:rsidP="00ED1DB2">
    <w:pPr>
      <w:pStyle w:val="BFooter"/>
      <w:tabs>
        <w:tab w:val="clear" w:pos="4513"/>
        <w:tab w:val="clear" w:pos="9026"/>
        <w:tab w:val="right" w:pos="4536"/>
        <w:tab w:val="right" w:pos="9355"/>
      </w:tabs>
      <w:jc w:val="right"/>
    </w:pPr>
    <w:r>
      <w:t>2020-21 Budget Outlook</w:t>
    </w:r>
    <w:r>
      <w:ptab w:relativeTo="margin" w:alignment="center" w:leader="none"/>
    </w:r>
    <w:r w:rsidRPr="0063450C">
      <w:fldChar w:fldCharType="begin"/>
    </w:r>
    <w:r w:rsidRPr="0063450C">
      <w:instrText xml:space="preserve"> PAGE   \* MERGEFORMAT </w:instrText>
    </w:r>
    <w:r w:rsidRPr="0063450C">
      <w:fldChar w:fldCharType="separate"/>
    </w:r>
    <w:r w:rsidRPr="0063450C">
      <w:rPr>
        <w:noProof/>
      </w:rPr>
      <w:t>1</w:t>
    </w:r>
    <w:r w:rsidRPr="0063450C">
      <w:rPr>
        <w:noProof/>
      </w:rPr>
      <w:fldChar w:fldCharType="end"/>
    </w:r>
    <w:r>
      <w:ptab w:relativeTo="margin" w:alignment="right" w:leader="none"/>
    </w:r>
    <w:r>
      <w:t xml:space="preserve">General Government Sector – </w:t>
    </w:r>
    <w:r>
      <w:br/>
      <w:t>Key Aggregates History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3A33" w14:textId="77777777" w:rsidR="00175022" w:rsidRDefault="00175022">
      <w:pPr>
        <w:spacing w:after="0" w:line="240" w:lineRule="auto"/>
      </w:pPr>
      <w:r>
        <w:separator/>
      </w:r>
    </w:p>
  </w:footnote>
  <w:footnote w:type="continuationSeparator" w:id="0">
    <w:p w14:paraId="68F3C4EC" w14:textId="77777777" w:rsidR="00175022" w:rsidRDefault="00175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38C9"/>
    <w:multiLevelType w:val="hybridMultilevel"/>
    <w:tmpl w:val="DFF07674"/>
    <w:lvl w:ilvl="0" w:tplc="A90EFF1A">
      <w:start w:val="1"/>
      <w:numFmt w:val="decimal"/>
      <w:pStyle w:val="BS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C628A1"/>
    <w:multiLevelType w:val="multilevel"/>
    <w:tmpl w:val="4B462A64"/>
    <w:lvl w:ilvl="0">
      <w:start w:val="1"/>
      <w:numFmt w:val="decimal"/>
      <w:pStyle w:val="Heading1"/>
      <w:lvlText w:val="Chapter %1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42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745884558">
    <w:abstractNumId w:val="1"/>
  </w:num>
  <w:num w:numId="2" w16cid:durableId="429012677">
    <w:abstractNumId w:val="0"/>
  </w:num>
  <w:num w:numId="3" w16cid:durableId="15423070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C5"/>
    <w:rsid w:val="00175022"/>
    <w:rsid w:val="001F0AD4"/>
    <w:rsid w:val="002F61FF"/>
    <w:rsid w:val="00335D80"/>
    <w:rsid w:val="006024DD"/>
    <w:rsid w:val="00742CC5"/>
    <w:rsid w:val="0078323C"/>
    <w:rsid w:val="007D3391"/>
    <w:rsid w:val="007D7FFA"/>
    <w:rsid w:val="008C4E3B"/>
    <w:rsid w:val="00900BDD"/>
    <w:rsid w:val="00B76DB9"/>
    <w:rsid w:val="00CB1ECB"/>
    <w:rsid w:val="00E7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E6CEF"/>
  <w15:chartTrackingRefBased/>
  <w15:docId w15:val="{53391293-85F8-45DA-A116-E1F3382B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CC5"/>
  </w:style>
  <w:style w:type="paragraph" w:styleId="Heading1">
    <w:name w:val="heading 1"/>
    <w:basedOn w:val="Normal"/>
    <w:next w:val="Normal"/>
    <w:link w:val="Heading1Char"/>
    <w:uiPriority w:val="9"/>
    <w:qFormat/>
    <w:rsid w:val="00742CC5"/>
    <w:pPr>
      <w:keepNext/>
      <w:keepLines/>
      <w:numPr>
        <w:numId w:val="1"/>
      </w:numPr>
      <w:spacing w:after="240" w:line="240" w:lineRule="auto"/>
      <w:outlineLvl w:val="0"/>
    </w:pPr>
    <w:rPr>
      <w:rFonts w:ascii="Calibri" w:eastAsiaTheme="majorEastAsia" w:hAnsi="Calibri" w:cstheme="majorBidi"/>
      <w:b/>
      <w:caps/>
      <w:kern w:val="2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CC5"/>
    <w:pPr>
      <w:keepNext/>
      <w:keepLines/>
      <w:numPr>
        <w:ilvl w:val="1"/>
        <w:numId w:val="1"/>
      </w:numPr>
      <w:spacing w:before="360" w:after="200" w:line="240" w:lineRule="auto"/>
      <w:outlineLvl w:val="1"/>
    </w:pPr>
    <w:rPr>
      <w:rFonts w:ascii="Calibri" w:eastAsiaTheme="majorEastAsia" w:hAnsi="Calibri" w:cstheme="majorBidi"/>
      <w:b/>
      <w:caps/>
      <w:sz w:val="3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42C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42CC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742CC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742CC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CC5"/>
    <w:rPr>
      <w:rFonts w:ascii="Calibri" w:eastAsiaTheme="majorEastAsia" w:hAnsi="Calibri" w:cstheme="majorBidi"/>
      <w:b/>
      <w:caps/>
      <w:kern w:val="28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CC5"/>
    <w:rPr>
      <w:rFonts w:ascii="Calibri" w:eastAsiaTheme="majorEastAsia" w:hAnsi="Calibri" w:cstheme="majorBidi"/>
      <w:b/>
      <w:caps/>
      <w:sz w:val="36"/>
      <w:szCs w:val="26"/>
    </w:rPr>
  </w:style>
  <w:style w:type="character" w:customStyle="1" w:styleId="Heading6Char">
    <w:name w:val="Heading 6 Char"/>
    <w:basedOn w:val="DefaultParagraphFont"/>
    <w:link w:val="Heading6"/>
    <w:rsid w:val="00742CC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742CC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742C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742C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Footer">
    <w:name w:val="B_Footer"/>
    <w:basedOn w:val="Footer"/>
    <w:link w:val="BFooterChar"/>
    <w:qFormat/>
    <w:rsid w:val="00742CC5"/>
    <w:pPr>
      <w:pBdr>
        <w:top w:val="single" w:sz="4" w:space="1" w:color="auto"/>
      </w:pBdr>
      <w:ind w:left="-284" w:right="-329"/>
    </w:pPr>
    <w:rPr>
      <w:i/>
      <w:sz w:val="20"/>
    </w:rPr>
  </w:style>
  <w:style w:type="character" w:customStyle="1" w:styleId="BFooterChar">
    <w:name w:val="B_Footer Char"/>
    <w:basedOn w:val="FooterChar"/>
    <w:link w:val="BFooter"/>
    <w:rsid w:val="00742CC5"/>
    <w:rPr>
      <w:i/>
      <w:sz w:val="20"/>
    </w:rPr>
  </w:style>
  <w:style w:type="paragraph" w:customStyle="1" w:styleId="BCoversheetHeading1">
    <w:name w:val="B_Coversheet Heading 1"/>
    <w:basedOn w:val="Normal"/>
    <w:qFormat/>
    <w:rsid w:val="00742CC5"/>
    <w:pPr>
      <w:spacing w:before="480" w:after="1080"/>
      <w:jc w:val="center"/>
    </w:pPr>
    <w:rPr>
      <w:rFonts w:ascii="Calibri" w:hAnsi="Calibri"/>
      <w:b/>
      <w:sz w:val="36"/>
    </w:rPr>
  </w:style>
  <w:style w:type="paragraph" w:customStyle="1" w:styleId="BSnote">
    <w:name w:val="BS_note"/>
    <w:basedOn w:val="NoteHeading"/>
    <w:link w:val="BSnoteChar"/>
    <w:qFormat/>
    <w:rsid w:val="00742CC5"/>
    <w:pPr>
      <w:keepNext/>
      <w:spacing w:before="120"/>
    </w:pPr>
    <w:rPr>
      <w:rFonts w:ascii="Calibri" w:eastAsia="Times New Roman" w:hAnsi="Calibri" w:cs="Times New Roman"/>
      <w:b/>
      <w:sz w:val="18"/>
      <w:szCs w:val="16"/>
      <w:lang w:val="x-none"/>
    </w:rPr>
  </w:style>
  <w:style w:type="character" w:customStyle="1" w:styleId="BSnoteChar">
    <w:name w:val="BS_note Char"/>
    <w:link w:val="BSnote"/>
    <w:rsid w:val="00742CC5"/>
    <w:rPr>
      <w:rFonts w:ascii="Calibri" w:eastAsia="Times New Roman" w:hAnsi="Calibri" w:cs="Times New Roman"/>
      <w:b/>
      <w:sz w:val="18"/>
      <w:szCs w:val="16"/>
      <w:lang w:val="x-none"/>
    </w:rPr>
  </w:style>
  <w:style w:type="paragraph" w:customStyle="1" w:styleId="BStablefigures">
    <w:name w:val="BS_table figures"/>
    <w:basedOn w:val="Normal"/>
    <w:link w:val="BStablefiguresChar"/>
    <w:autoRedefine/>
    <w:qFormat/>
    <w:rsid w:val="00742CC5"/>
    <w:pPr>
      <w:spacing w:after="0" w:line="240" w:lineRule="auto"/>
      <w:ind w:left="227" w:hanging="227"/>
      <w:jc w:val="right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BStablefiguresChar">
    <w:name w:val="BS_table figures Char"/>
    <w:basedOn w:val="DefaultParagraphFont"/>
    <w:link w:val="BStablefigures"/>
    <w:rsid w:val="00742CC5"/>
    <w:rPr>
      <w:rFonts w:ascii="Calibri" w:eastAsia="Times New Roman" w:hAnsi="Calibri" w:cs="Times New Roman"/>
      <w:sz w:val="20"/>
      <w:szCs w:val="20"/>
      <w:lang w:eastAsia="en-AU"/>
    </w:rPr>
  </w:style>
  <w:style w:type="paragraph" w:customStyle="1" w:styleId="BStableheading">
    <w:name w:val="BS_table heading"/>
    <w:basedOn w:val="Normal"/>
    <w:link w:val="BStableheadingChar"/>
    <w:qFormat/>
    <w:rsid w:val="00742CC5"/>
    <w:pPr>
      <w:framePr w:wrap="around" w:vAnchor="text" w:hAnchor="text" w:y="1"/>
      <w:spacing w:after="0" w:line="240" w:lineRule="auto"/>
      <w:jc w:val="right"/>
    </w:pPr>
    <w:rPr>
      <w:rFonts w:ascii="Calibri" w:eastAsia="Times New Roman" w:hAnsi="Calibri" w:cs="Times New Roman"/>
      <w:b/>
      <w:sz w:val="20"/>
      <w:szCs w:val="20"/>
    </w:rPr>
  </w:style>
  <w:style w:type="character" w:customStyle="1" w:styleId="BStableheadingChar">
    <w:name w:val="BS_table heading Char"/>
    <w:basedOn w:val="DefaultParagraphFont"/>
    <w:link w:val="BStableheading"/>
    <w:rsid w:val="00742CC5"/>
    <w:rPr>
      <w:rFonts w:ascii="Calibri" w:eastAsia="Times New Roman" w:hAnsi="Calibri" w:cs="Times New Roman"/>
      <w:b/>
      <w:sz w:val="20"/>
      <w:szCs w:val="20"/>
    </w:rPr>
  </w:style>
  <w:style w:type="paragraph" w:customStyle="1" w:styleId="BStabletextbold">
    <w:name w:val="BS_table text bold"/>
    <w:basedOn w:val="Normal"/>
    <w:link w:val="BStabletextboldChar"/>
    <w:qFormat/>
    <w:rsid w:val="00742CC5"/>
    <w:pPr>
      <w:spacing w:after="0" w:line="240" w:lineRule="auto"/>
      <w:ind w:left="227" w:hanging="227"/>
    </w:pPr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customStyle="1" w:styleId="BStabletextunbold">
    <w:name w:val="BS_table text unbold"/>
    <w:basedOn w:val="Normal"/>
    <w:qFormat/>
    <w:rsid w:val="00742CC5"/>
    <w:pPr>
      <w:spacing w:after="0" w:line="240" w:lineRule="auto"/>
      <w:ind w:left="227" w:hanging="227"/>
    </w:pPr>
    <w:rPr>
      <w:rFonts w:ascii="Calibri" w:eastAsia="Times New Roman" w:hAnsi="Calibri" w:cs="Times New Roman"/>
      <w:bCs/>
      <w:sz w:val="20"/>
      <w:szCs w:val="20"/>
      <w:lang w:val="x-none"/>
    </w:rPr>
  </w:style>
  <w:style w:type="paragraph" w:customStyle="1" w:styleId="BSnoteslist">
    <w:name w:val="BS_notes list"/>
    <w:basedOn w:val="Normal"/>
    <w:link w:val="BSnoteslistChar"/>
    <w:qFormat/>
    <w:rsid w:val="00742CC5"/>
    <w:pPr>
      <w:numPr>
        <w:numId w:val="2"/>
      </w:numPr>
      <w:spacing w:after="0" w:line="240" w:lineRule="auto"/>
    </w:pPr>
    <w:rPr>
      <w:rFonts w:ascii="Calibri" w:eastAsia="Times New Roman" w:hAnsi="Calibri" w:cs="Times New Roman"/>
      <w:sz w:val="18"/>
      <w:szCs w:val="24"/>
      <w:lang w:val="x-none"/>
    </w:rPr>
  </w:style>
  <w:style w:type="character" w:customStyle="1" w:styleId="BSnoteslistChar">
    <w:name w:val="BS_notes list Char"/>
    <w:basedOn w:val="DefaultParagraphFont"/>
    <w:link w:val="BSnoteslist"/>
    <w:rsid w:val="00742CC5"/>
    <w:rPr>
      <w:rFonts w:ascii="Calibri" w:eastAsia="Times New Roman" w:hAnsi="Calibri" w:cs="Times New Roman"/>
      <w:sz w:val="18"/>
      <w:szCs w:val="24"/>
      <w:lang w:val="x-none"/>
    </w:rPr>
  </w:style>
  <w:style w:type="character" w:customStyle="1" w:styleId="BStabletextboldChar">
    <w:name w:val="BS_table text bold Char"/>
    <w:link w:val="BStabletextbold"/>
    <w:rsid w:val="00742CC5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42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CC5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42CC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42CC5"/>
  </w:style>
  <w:style w:type="paragraph" w:styleId="Header">
    <w:name w:val="header"/>
    <w:basedOn w:val="Normal"/>
    <w:link w:val="HeaderChar"/>
    <w:uiPriority w:val="99"/>
    <w:unhideWhenUsed/>
    <w:rsid w:val="00783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1A4A1-E840-4BDE-9DE4-57A181C4A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8455E-1261-4721-9A3E-F79C58250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DB2417-E2EF-44AD-8D15-C43E28776D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Corrigenda - 22 November 2022 - Appendix F - General Government Sector Key Aggregates History</dc:title>
  <dc:subject/>
  <dc:creator>ACT Government</dc:creator>
  <cp:keywords/>
  <dc:description/>
  <cp:lastModifiedBy>Fitzgibbon, Kathleen</cp:lastModifiedBy>
  <cp:revision>4</cp:revision>
  <dcterms:created xsi:type="dcterms:W3CDTF">2022-11-23T02:49:00Z</dcterms:created>
  <dcterms:modified xsi:type="dcterms:W3CDTF">2022-12-05T03:40:00Z</dcterms:modified>
</cp:coreProperties>
</file>